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Choice of Law (Limitation Periods) Act 1994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Choice of Law (Limitation Periods) Act 1994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_Toc473117022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_Toc473117023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_Toc473117024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Interpretation</w:t>
      </w:r>
      <w:r>
        <w:tab/>
      </w:r>
      <w:r>
        <w:fldChar w:fldCharType="begin"/>
      </w:r>
      <w:r>
        <w:instrText xml:space="preserve"> PAGEREF _Toc473117025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Characterization of limitation laws</w:t>
      </w:r>
      <w:r>
        <w:tab/>
      </w:r>
      <w:r>
        <w:fldChar w:fldCharType="begin"/>
      </w:r>
      <w:r>
        <w:instrText xml:space="preserve"> PAGEREF _Toc473117026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Exercise of discretion under limitation law</w:t>
      </w:r>
      <w:r>
        <w:tab/>
      </w:r>
      <w:r>
        <w:fldChar w:fldCharType="begin"/>
      </w:r>
      <w:r>
        <w:instrText xml:space="preserve"> PAGEREF _Toc473117027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_Toc473117029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Choice of Law (Limitation Periods) Act 1994 </w:t>
      </w:r>
    </w:p>
    <w:p>
      <w:pPr>
        <w:pStyle w:val="LongTitle"/>
        <w:rPr>
          <w:snapToGrid w:val="0"/>
        </w:rPr>
      </w:pPr>
      <w:r>
        <w:rPr>
          <w:snapToGrid w:val="0"/>
        </w:rPr>
        <w:t xml:space="preserve">An Act relating to limitation periods for choice of law purposes. </w:t>
      </w:r>
    </w:p>
    <w:p>
      <w:pPr>
        <w:pStyle w:val="Heading5"/>
        <w:spacing w:before="400"/>
        <w:rPr>
          <w:snapToGrid w:val="0"/>
        </w:rPr>
      </w:pPr>
      <w:bookmarkStart w:id="3" w:name="_Toc378076049"/>
      <w:bookmarkStart w:id="4" w:name="_Toc473117022"/>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Choice of Law (Limitation Periods) Act 1994</w:t>
      </w:r>
      <w:r>
        <w:rPr>
          <w:snapToGrid w:val="0"/>
          <w:vertAlign w:val="superscript"/>
        </w:rPr>
        <w:t> 1</w:t>
      </w:r>
      <w:r>
        <w:rPr>
          <w:snapToGrid w:val="0"/>
        </w:rPr>
        <w:t>.</w:t>
      </w:r>
    </w:p>
    <w:p>
      <w:pPr>
        <w:pStyle w:val="Heading5"/>
        <w:rPr>
          <w:snapToGrid w:val="0"/>
        </w:rPr>
      </w:pPr>
      <w:bookmarkStart w:id="5" w:name="_Toc378076050"/>
      <w:bookmarkStart w:id="6" w:name="_Toc473117023"/>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rPr>
          <w:snapToGrid w:val="0"/>
        </w:rPr>
      </w:pPr>
      <w:bookmarkStart w:id="7" w:name="_Toc378076051"/>
      <w:bookmarkStart w:id="8" w:name="_Toc473117024"/>
      <w:r>
        <w:rPr>
          <w:rStyle w:val="CharSectno"/>
        </w:rPr>
        <w:t>3</w:t>
      </w:r>
      <w:r>
        <w:rPr>
          <w:snapToGrid w:val="0"/>
        </w:rPr>
        <w:t>.</w:t>
      </w:r>
      <w:r>
        <w:rPr>
          <w:snapToGrid w:val="0"/>
        </w:rPr>
        <w:tab/>
        <w:t>Application</w:t>
      </w:r>
      <w:bookmarkEnd w:id="7"/>
      <w:bookmarkEnd w:id="8"/>
      <w:r>
        <w:rPr>
          <w:snapToGrid w:val="0"/>
        </w:rPr>
        <w:t xml:space="preserve"> </w:t>
      </w:r>
    </w:p>
    <w:p>
      <w:pPr>
        <w:pStyle w:val="Subsection"/>
        <w:rPr>
          <w:snapToGrid w:val="0"/>
        </w:rPr>
      </w:pPr>
      <w:r>
        <w:rPr>
          <w:snapToGrid w:val="0"/>
        </w:rPr>
        <w:tab/>
        <w:t>(1)</w:t>
      </w:r>
      <w:r>
        <w:rPr>
          <w:snapToGrid w:val="0"/>
        </w:rPr>
        <w:tab/>
        <w:t>This Act extends to a cause of action that arose before the commencement of this section but does not apply to proceedings instituted before the commencement of this section.</w:t>
      </w:r>
    </w:p>
    <w:p>
      <w:pPr>
        <w:pStyle w:val="Subsection"/>
        <w:rPr>
          <w:snapToGrid w:val="0"/>
        </w:rPr>
      </w:pPr>
      <w:r>
        <w:rPr>
          <w:snapToGrid w:val="0"/>
        </w:rPr>
        <w:tab/>
        <w:t>(2)</w:t>
      </w:r>
      <w:r>
        <w:rPr>
          <w:snapToGrid w:val="0"/>
        </w:rPr>
        <w:tab/>
        <w:t>This Act does not apply in relation to New Zealand unless a declaration that it does so apply is made by the proclamation made under section 2 or by a proclamation made under this subsection.</w:t>
      </w:r>
    </w:p>
    <w:p>
      <w:pPr>
        <w:pStyle w:val="Subsection"/>
        <w:rPr>
          <w:snapToGrid w:val="0"/>
        </w:rPr>
      </w:pPr>
      <w:r>
        <w:rPr>
          <w:snapToGrid w:val="0"/>
        </w:rPr>
        <w:tab/>
        <w:t>(3)</w:t>
      </w:r>
      <w:r>
        <w:rPr>
          <w:snapToGrid w:val="0"/>
        </w:rPr>
        <w:tab/>
        <w:t xml:space="preserve">If the substantive law of New Zealand is to govern a claim before a court of this State and proceedings have been instituted on the claim before a declaration is made as referred to in subsection (2), this Act does not apply to those proceedings. </w:t>
      </w:r>
    </w:p>
    <w:p>
      <w:pPr>
        <w:pStyle w:val="Heading5"/>
        <w:rPr>
          <w:snapToGrid w:val="0"/>
        </w:rPr>
      </w:pPr>
      <w:bookmarkStart w:id="9" w:name="_Toc378076052"/>
      <w:bookmarkStart w:id="10" w:name="_Toc473117025"/>
      <w:r>
        <w:rPr>
          <w:rStyle w:val="CharSectno"/>
        </w:rPr>
        <w:t>4</w:t>
      </w:r>
      <w:r>
        <w:rPr>
          <w:snapToGrid w:val="0"/>
        </w:rPr>
        <w:t>.</w:t>
      </w:r>
      <w:r>
        <w:rPr>
          <w:snapToGrid w:val="0"/>
        </w:rPr>
        <w:tab/>
        <w:t>Interpretation</w:t>
      </w:r>
      <w:bookmarkEnd w:id="9"/>
      <w:bookmarkEnd w:id="10"/>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court</w:t>
      </w:r>
      <w:r>
        <w:t xml:space="preserve"> includes arbitrator;</w:t>
      </w:r>
    </w:p>
    <w:p>
      <w:pPr>
        <w:pStyle w:val="Defstart"/>
      </w:pPr>
      <w:r>
        <w:rPr>
          <w:b/>
        </w:rPr>
        <w:tab/>
      </w:r>
      <w:r>
        <w:rPr>
          <w:rStyle w:val="CharDefText"/>
        </w:rPr>
        <w:t>limitation law</w:t>
      </w:r>
      <w:r>
        <w:t xml:space="preserve"> means a law that provides for the limitation or exclusion of any liability or the barring of a right of action in respect of a claim by reference to the time when a proceeding on, or the arbitration of, the claim is commenced.</w:t>
      </w:r>
    </w:p>
    <w:p>
      <w:pPr>
        <w:pStyle w:val="Heading5"/>
        <w:rPr>
          <w:snapToGrid w:val="0"/>
        </w:rPr>
      </w:pPr>
      <w:bookmarkStart w:id="11" w:name="_Toc378076053"/>
      <w:bookmarkStart w:id="12" w:name="_Toc473117026"/>
      <w:r>
        <w:rPr>
          <w:rStyle w:val="CharSectno"/>
        </w:rPr>
        <w:t>5</w:t>
      </w:r>
      <w:r>
        <w:rPr>
          <w:snapToGrid w:val="0"/>
        </w:rPr>
        <w:t>.</w:t>
      </w:r>
      <w:r>
        <w:rPr>
          <w:snapToGrid w:val="0"/>
        </w:rPr>
        <w:tab/>
        <w:t>Characterization of limitation laws</w:t>
      </w:r>
      <w:bookmarkEnd w:id="11"/>
      <w:bookmarkEnd w:id="12"/>
      <w:r>
        <w:rPr>
          <w:snapToGrid w:val="0"/>
        </w:rPr>
        <w:t xml:space="preserve"> </w:t>
      </w:r>
    </w:p>
    <w:p>
      <w:pPr>
        <w:pStyle w:val="Subsection"/>
        <w:rPr>
          <w:snapToGrid w:val="0"/>
        </w:rPr>
      </w:pPr>
      <w:r>
        <w:rPr>
          <w:snapToGrid w:val="0"/>
        </w:rPr>
        <w:tab/>
      </w:r>
      <w:r>
        <w:rPr>
          <w:snapToGrid w:val="0"/>
        </w:rPr>
        <w:tab/>
        <w:t>If the substantive law of another place being another State, a Territory or New Zealand, is to govern a claim before a court of this State, a limitation law of that place is to be regarded as part of that substantive law and applied accordingly by the court.</w:t>
      </w:r>
    </w:p>
    <w:p>
      <w:pPr>
        <w:pStyle w:val="Heading5"/>
        <w:rPr>
          <w:snapToGrid w:val="0"/>
        </w:rPr>
      </w:pPr>
      <w:bookmarkStart w:id="13" w:name="_Toc378076054"/>
      <w:bookmarkStart w:id="14" w:name="_Toc473117027"/>
      <w:r>
        <w:rPr>
          <w:rStyle w:val="CharSectno"/>
        </w:rPr>
        <w:t>6</w:t>
      </w:r>
      <w:r>
        <w:rPr>
          <w:snapToGrid w:val="0"/>
        </w:rPr>
        <w:t>.</w:t>
      </w:r>
      <w:r>
        <w:rPr>
          <w:snapToGrid w:val="0"/>
        </w:rPr>
        <w:tab/>
        <w:t>Exercise of discretion under limitation law</w:t>
      </w:r>
      <w:bookmarkEnd w:id="13"/>
      <w:bookmarkEnd w:id="14"/>
      <w:r>
        <w:rPr>
          <w:snapToGrid w:val="0"/>
        </w:rPr>
        <w:t xml:space="preserve"> </w:t>
      </w:r>
    </w:p>
    <w:p>
      <w:pPr>
        <w:pStyle w:val="Subsection"/>
        <w:rPr>
          <w:snapToGrid w:val="0"/>
        </w:rPr>
      </w:pPr>
      <w:r>
        <w:rPr>
          <w:snapToGrid w:val="0"/>
        </w:rPr>
        <w:tab/>
      </w:r>
      <w:r>
        <w:rPr>
          <w:snapToGrid w:val="0"/>
        </w:rPr>
        <w:tab/>
        <w:t>Where a court of this State exercises a discretion conferred under a limitation law of a place being another State, a Territory or New Zealand that discretion, as far as practicable, is to be exercised in the manner in which it is exercised in comparable cases by the courts of that place.</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5" w:name="_Toc378076055"/>
      <w:bookmarkStart w:id="16" w:name="_Toc415651921"/>
      <w:bookmarkStart w:id="17" w:name="_Toc415652229"/>
      <w:bookmarkStart w:id="18" w:name="_Toc415652237"/>
      <w:bookmarkStart w:id="19" w:name="_Toc415652258"/>
      <w:bookmarkStart w:id="20" w:name="_Toc473117028"/>
      <w:r>
        <w:t>Notes</w:t>
      </w:r>
      <w:bookmarkEnd w:id="15"/>
      <w:bookmarkEnd w:id="16"/>
      <w:bookmarkEnd w:id="17"/>
      <w:bookmarkEnd w:id="18"/>
      <w:bookmarkEnd w:id="19"/>
      <w:bookmarkEnd w:id="20"/>
    </w:p>
    <w:p>
      <w:pPr>
        <w:pStyle w:val="nSubsection"/>
        <w:rPr>
          <w:snapToGrid w:val="0"/>
        </w:rPr>
      </w:pPr>
      <w:r>
        <w:rPr>
          <w:snapToGrid w:val="0"/>
          <w:vertAlign w:val="superscript"/>
        </w:rPr>
        <w:t>1</w:t>
      </w:r>
      <w:r>
        <w:rPr>
          <w:snapToGrid w:val="0"/>
        </w:rPr>
        <w:tab/>
        <w:t xml:space="preserve">This is a compilation of the </w:t>
      </w:r>
      <w:r>
        <w:rPr>
          <w:i/>
          <w:noProof/>
          <w:snapToGrid w:val="0"/>
        </w:rPr>
        <w:t>Choice of Law (Limitation Periods) Act 1994</w:t>
      </w:r>
      <w:r>
        <w:rPr>
          <w:snapToGrid w:val="0"/>
        </w:rPr>
        <w:t xml:space="preserve">.  The following table contains information about that Act. </w:t>
      </w:r>
    </w:p>
    <w:p>
      <w:pPr>
        <w:pStyle w:val="nHeading3"/>
        <w:outlineLvl w:val="2"/>
        <w:rPr>
          <w:snapToGrid w:val="0"/>
        </w:rPr>
      </w:pPr>
      <w:bookmarkStart w:id="21" w:name="_Toc378076056"/>
      <w:bookmarkStart w:id="22" w:name="_Toc473117029"/>
      <w:r>
        <w:rPr>
          <w:snapToGrid w:val="0"/>
        </w:rPr>
        <w:t>Compilation table</w:t>
      </w:r>
      <w:bookmarkEnd w:id="21"/>
      <w:bookmarkEnd w:id="22"/>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nil"/>
            </w:tcBorders>
          </w:tcPr>
          <w:p>
            <w:pPr>
              <w:pStyle w:val="nTable"/>
              <w:spacing w:after="40"/>
              <w:rPr>
                <w:b/>
              </w:rPr>
            </w:pPr>
            <w:r>
              <w:rPr>
                <w:b/>
              </w:rPr>
              <w:t>Short title</w:t>
            </w:r>
          </w:p>
        </w:tc>
        <w:tc>
          <w:tcPr>
            <w:tcW w:w="1134" w:type="dxa"/>
            <w:tcBorders>
              <w:top w:val="single" w:sz="8" w:space="0" w:color="auto"/>
              <w:bottom w:val="nil"/>
            </w:tcBorders>
          </w:tcPr>
          <w:p>
            <w:pPr>
              <w:pStyle w:val="nTable"/>
              <w:spacing w:after="40"/>
              <w:rPr>
                <w:b/>
              </w:rPr>
            </w:pPr>
            <w:r>
              <w:rPr>
                <w:b/>
              </w:rPr>
              <w:t>Number and year</w:t>
            </w:r>
          </w:p>
        </w:tc>
        <w:tc>
          <w:tcPr>
            <w:tcW w:w="1134" w:type="dxa"/>
            <w:tcBorders>
              <w:top w:val="single" w:sz="8" w:space="0" w:color="auto"/>
              <w:bottom w:val="nil"/>
            </w:tcBorders>
          </w:tcPr>
          <w:p>
            <w:pPr>
              <w:pStyle w:val="nTable"/>
              <w:spacing w:after="40"/>
              <w:rPr>
                <w:b/>
              </w:rPr>
            </w:pPr>
            <w:r>
              <w:rPr>
                <w:b/>
              </w:rPr>
              <w:t>Assent</w:t>
            </w:r>
          </w:p>
        </w:tc>
        <w:tc>
          <w:tcPr>
            <w:tcW w:w="2551" w:type="dxa"/>
            <w:tcBorders>
              <w:top w:val="single" w:sz="8" w:space="0" w:color="auto"/>
              <w:bottom w:val="nil"/>
            </w:tcBorders>
          </w:tcPr>
          <w:p>
            <w:pPr>
              <w:pStyle w:val="nTable"/>
              <w:spacing w:after="40"/>
              <w:rPr>
                <w:b/>
              </w:rPr>
            </w:pPr>
            <w:r>
              <w:rPr>
                <w:b/>
              </w:rPr>
              <w:t>Commencement</w:t>
            </w:r>
          </w:p>
        </w:tc>
      </w:tr>
      <w:tr>
        <w:tc>
          <w:tcPr>
            <w:tcW w:w="2268" w:type="dxa"/>
            <w:tcBorders>
              <w:top w:val="single" w:sz="8" w:space="0" w:color="auto"/>
              <w:bottom w:val="nil"/>
            </w:tcBorders>
          </w:tcPr>
          <w:p>
            <w:pPr>
              <w:pStyle w:val="nTable"/>
            </w:pPr>
            <w:r>
              <w:rPr>
                <w:i/>
              </w:rPr>
              <w:t>Choice of Law (Limitation Periods) Act 1994</w:t>
            </w:r>
          </w:p>
        </w:tc>
        <w:tc>
          <w:tcPr>
            <w:tcW w:w="1134" w:type="dxa"/>
            <w:tcBorders>
              <w:top w:val="single" w:sz="8" w:space="0" w:color="auto"/>
              <w:bottom w:val="nil"/>
            </w:tcBorders>
          </w:tcPr>
          <w:p>
            <w:pPr>
              <w:pStyle w:val="nTable"/>
            </w:pPr>
            <w:r>
              <w:t>4 of 1994</w:t>
            </w:r>
          </w:p>
        </w:tc>
        <w:tc>
          <w:tcPr>
            <w:tcW w:w="1134" w:type="dxa"/>
            <w:tcBorders>
              <w:top w:val="single" w:sz="8" w:space="0" w:color="auto"/>
              <w:bottom w:val="nil"/>
            </w:tcBorders>
          </w:tcPr>
          <w:p>
            <w:pPr>
              <w:pStyle w:val="nTable"/>
            </w:pPr>
            <w:r>
              <w:t>11 Apr 1994</w:t>
            </w:r>
          </w:p>
        </w:tc>
        <w:tc>
          <w:tcPr>
            <w:tcW w:w="2551" w:type="dxa"/>
            <w:tcBorders>
              <w:top w:val="single" w:sz="8" w:space="0" w:color="auto"/>
              <w:bottom w:val="nil"/>
            </w:tcBorders>
          </w:tcPr>
          <w:p>
            <w:pPr>
              <w:pStyle w:val="nTable"/>
            </w:pPr>
            <w:r>
              <w:t xml:space="preserve">27 May 1994 (see s. 2 and </w:t>
            </w:r>
            <w:r>
              <w:rPr>
                <w:i/>
              </w:rPr>
              <w:t>Gazette</w:t>
            </w:r>
            <w:r>
              <w:t xml:space="preserve"> 27 May 1994 p. 2205)</w:t>
            </w:r>
          </w:p>
        </w:tc>
      </w:tr>
      <w:tr>
        <w:trPr>
          <w:cantSplit/>
        </w:trPr>
        <w:tc>
          <w:tcPr>
            <w:tcW w:w="7087" w:type="dxa"/>
            <w:gridSpan w:val="4"/>
            <w:tcBorders>
              <w:top w:val="nil"/>
              <w:bottom w:val="single" w:sz="8" w:space="0" w:color="auto"/>
            </w:tcBorders>
          </w:tcPr>
          <w:p>
            <w:pPr>
              <w:pStyle w:val="nTable"/>
            </w:pPr>
            <w:r>
              <w:rPr>
                <w:b/>
              </w:rPr>
              <w:t xml:space="preserve">Reprint of the </w:t>
            </w:r>
            <w:r>
              <w:rPr>
                <w:b/>
                <w:i/>
              </w:rPr>
              <w:t>Choice of Law (Lmitation Periods) Act 1994</w:t>
            </w:r>
            <w:r>
              <w:rPr>
                <w:b/>
              </w:rPr>
              <w:t xml:space="preserve"> as at 8 Nov 2002</w:t>
            </w:r>
          </w:p>
        </w:tc>
      </w:tr>
    </w:tbl>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rPr>
          <w:sz w:val="28"/>
        </w:rPr>
      </w:pPr>
      <w:bookmarkStart w:id="24" w:name="_Toc473117030"/>
      <w:r>
        <w:rPr>
          <w:sz w:val="28"/>
        </w:rPr>
        <w:t>Defined terms</w:t>
      </w:r>
      <w:bookmarkEnd w:id="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court</w:t>
      </w:r>
      <w:r>
        <w:tab/>
        <w:t>4</w:t>
      </w:r>
    </w:p>
    <w:p>
      <w:pPr>
        <w:pStyle w:val="DefinedTerms"/>
      </w:pPr>
      <w:r>
        <w:t>limitation law</w:t>
      </w:r>
      <w:r>
        <w:tab/>
        <w:t>4</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pPr>
        <w:rPr>
          <w:snapToGrid w:val="0"/>
        </w:rPr>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Nov 2002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Nov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01-a0-14</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Nov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01-a0-14</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Nov 2002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Nov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Nov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Choice of Law (Limitation Periods) Act 1994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Choice of Law (Limitation Periods) Act 1994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3" w:name="Compilation"/>
    <w:bookmarkEnd w:id="2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Choice of Law (Limitation Periods) Act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Choice of Law (Limitation Periods) Act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5" w:name="DefinedTerms"/>
    <w:bookmarkEnd w:id="2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 w:name="Coversheet"/>
    <w:bookmarkEnd w:id="2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Choice of Law (Limitation Periods)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Choice of Law (Limitation Periods)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Choice of Law (Limitation Periods) Act 1994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Choice of Law (Limitation Periods) Act 1994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lvlText w:val="%1."/>
      <w:lvlJc w:val="left"/>
      <w:pPr>
        <w:tabs>
          <w:tab w:val="num" w:pos="1800"/>
        </w:tabs>
        <w:ind w:left="1800" w:hanging="360"/>
      </w:pPr>
    </w:lvl>
  </w:abstractNum>
  <w:abstractNum w:abstractNumId="1">
    <w:nsid w:val="FFFFFF7D"/>
    <w:multiLevelType w:val="singleLevel"/>
    <w:tmpl w:val="43CA18F2"/>
    <w:lvl w:ilvl="0">
      <w:start w:val="1"/>
      <w:numFmt w:val="decimal"/>
      <w:lvlText w:val="%1."/>
      <w:lvlJc w:val="left"/>
      <w:pPr>
        <w:tabs>
          <w:tab w:val="num" w:pos="1440"/>
        </w:tabs>
        <w:ind w:left="1440" w:hanging="360"/>
      </w:pPr>
    </w:lvl>
  </w:abstractNum>
  <w:abstractNum w:abstractNumId="2">
    <w:nsid w:val="FFFFFF7E"/>
    <w:multiLevelType w:val="singleLevel"/>
    <w:tmpl w:val="A4164DE8"/>
    <w:lvl w:ilvl="0">
      <w:start w:val="1"/>
      <w:numFmt w:val="decimal"/>
      <w:lvlText w:val="%1."/>
      <w:lvlJc w:val="left"/>
      <w:pPr>
        <w:tabs>
          <w:tab w:val="num" w:pos="1080"/>
        </w:tabs>
        <w:ind w:left="1080" w:hanging="360"/>
      </w:pPr>
    </w:lvl>
  </w:abstractNum>
  <w:abstractNum w:abstractNumId="3">
    <w:nsid w:val="FFFFFF7F"/>
    <w:multiLevelType w:val="singleLevel"/>
    <w:tmpl w:val="97869DE4"/>
    <w:lvl w:ilvl="0">
      <w:start w:val="1"/>
      <w:numFmt w:val="decimal"/>
      <w:lvlText w:val="%1."/>
      <w:lvlJc w:val="left"/>
      <w:pPr>
        <w:tabs>
          <w:tab w:val="num" w:pos="720"/>
        </w:tabs>
        <w:ind w:left="720" w:hanging="360"/>
      </w:pPr>
    </w:lvl>
  </w:abstractNum>
  <w:abstractNum w:abstractNumId="4">
    <w:nsid w:val="FFFFFF80"/>
    <w:multiLevelType w:val="singleLevel"/>
    <w:tmpl w:val="F89625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lvlText w:val="%1."/>
      <w:lvlJc w:val="left"/>
      <w:pPr>
        <w:tabs>
          <w:tab w:val="num" w:pos="360"/>
        </w:tabs>
        <w:ind w:left="360" w:hanging="360"/>
      </w:pPr>
    </w:lvl>
  </w:abstractNum>
  <w:abstractNum w:abstractNumId="9">
    <w:nsid w:val="FFFFFF89"/>
    <w:multiLevelType w:val="singleLevel"/>
    <w:tmpl w:val="955A0B0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DD2BB0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51134"/>
    <w:docVar w:name="WAFER_20140121133246" w:val="RemoveTocBookmarks,RemoveUnusedBookmarks,RemoveLanguageTags,UsedStyles,ResetPageSize,UpdateArrangement"/>
    <w:docVar w:name="WAFER_20140121133246_GUID" w:val="2d4ba497-2bc7-4f22-9d39-a45fab9e7765"/>
    <w:docVar w:name="WAFER_20140121135135" w:val="RemoveTocBookmarks,RunningHeaders"/>
    <w:docVar w:name="WAFER_20140121135135_GUID" w:val="d4ca27f9-940b-4771-9d95-cfdce9cf227f"/>
    <w:docVar w:name="WAFER_20150401114146" w:val="ResetPageSize,UpdateArrangement,UpdateNTable"/>
    <w:docVar w:name="WAFER_20150401114146_GUID" w:val="43725cec-1b2c-4be0-9b18-a85154ae5c08"/>
    <w:docVar w:name="WAFER_20151102151134" w:val="UpdateStyles,UsedStyles"/>
    <w:docVar w:name="WAFER_20151102151134_GUID" w:val="55a2f782-43ec-45a4-b3bc-91297f5503c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607</Words>
  <Characters>2868</Characters>
  <Application>Microsoft Office Word</Application>
  <DocSecurity>0</DocSecurity>
  <Lines>106</Lines>
  <Paragraphs>73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Choice of Law (Limitation Periods) Act 1994 - 01-a0-14</dc:title>
  <dc:subject/>
  <dc:creator/>
  <cp:keywords/>
  <dc:description/>
  <cp:lastModifiedBy>svcMRProcess</cp:lastModifiedBy>
  <cp:revision>4</cp:revision>
  <cp:lastPrinted>2002-10-30T03:45:00Z</cp:lastPrinted>
  <dcterms:created xsi:type="dcterms:W3CDTF">2019-01-18T07:53:00Z</dcterms:created>
  <dcterms:modified xsi:type="dcterms:W3CDTF">2019-01-18T07:53:00Z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1994</vt:lpwstr>
  </property>
  <property fmtid="{D5CDD505-2E9C-101B-9397-08002B2CF9AE}" pid="3" name="CommencementDate">
    <vt:lpwstr>20021108</vt:lpwstr>
  </property>
  <property fmtid="{D5CDD505-2E9C-101B-9397-08002B2CF9AE}" pid="4" name="DocumentType">
    <vt:lpwstr>Act</vt:lpwstr>
  </property>
  <property fmtid="{D5CDD505-2E9C-101B-9397-08002B2CF9AE}" pid="5" name="ReprintedAsAt">
    <vt:filetime>2002-11-07T16:00:00Z</vt:filetime>
  </property>
  <property fmtid="{D5CDD505-2E9C-101B-9397-08002B2CF9AE}" pid="6" name="ReprintNo">
    <vt:lpwstr/>
  </property>
  <property fmtid="{D5CDD505-2E9C-101B-9397-08002B2CF9AE}" pid="7" name="AsAtDate">
    <vt:lpwstr>08 Nov 2002</vt:lpwstr>
  </property>
  <property fmtid="{D5CDD505-2E9C-101B-9397-08002B2CF9AE}" pid="8" name="Suffix">
    <vt:lpwstr>01-a0-14</vt:lpwstr>
  </property>
</Properties>
</file>