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_Toc454893514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_Toc454893515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_Toc454893516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Area</w:t>
      </w:r>
    </w:p>
    <w:p>
      <w:pPr>
        <w:pStyle w:val="TOC8"/>
        <w:rPr>
          <w:rFonts w:asciiTheme="minorHAnsi" w:eastAsiaTheme="minorEastAsia" w:hAnsiTheme="minorHAnsi" w:cstheme="minorBidi"/>
          <w:szCs w:val="22"/>
        </w:rPr>
      </w:pPr>
      <w:r>
        <w:t>6</w:t>
      </w:r>
      <w:r>
        <w:rPr>
          <w:snapToGrid w:val="0"/>
        </w:rPr>
        <w:t>.</w:t>
      </w:r>
      <w:r>
        <w:rPr>
          <w:snapToGrid w:val="0"/>
        </w:rPr>
        <w:tab/>
        <w:t>Constitution of Area</w:t>
      </w:r>
      <w:r>
        <w:tab/>
      </w:r>
      <w:r>
        <w:fldChar w:fldCharType="begin"/>
      </w:r>
      <w:r>
        <w:instrText xml:space="preserve"> PAGEREF _Toc454893518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Altering or extending boundaries of Area</w:t>
      </w:r>
      <w:r>
        <w:tab/>
      </w:r>
      <w:r>
        <w:fldChar w:fldCharType="begin"/>
      </w:r>
      <w:r>
        <w:instrText xml:space="preserve"> PAGEREF _Toc454893519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Water reserves</w:t>
      </w:r>
    </w:p>
    <w:p>
      <w:pPr>
        <w:pStyle w:val="TOC8"/>
        <w:rPr>
          <w:rFonts w:asciiTheme="minorHAnsi" w:eastAsiaTheme="minorEastAsia" w:hAnsiTheme="minorHAnsi" w:cstheme="minorBidi"/>
          <w:szCs w:val="22"/>
        </w:rPr>
      </w:pPr>
      <w:r>
        <w:t>13</w:t>
      </w:r>
      <w:r>
        <w:rPr>
          <w:snapToGrid w:val="0"/>
        </w:rPr>
        <w:t>.</w:t>
      </w:r>
      <w:r>
        <w:rPr>
          <w:snapToGrid w:val="0"/>
        </w:rPr>
        <w:tab/>
        <w:t>Water reserves and catchment areas</w:t>
      </w:r>
      <w:r>
        <w:tab/>
      </w:r>
      <w:r>
        <w:fldChar w:fldCharType="begin"/>
      </w:r>
      <w:r>
        <w:instrText xml:space="preserve"> PAGEREF _Toc454893521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Water services licensees’ power to take water</w:t>
      </w:r>
      <w:r>
        <w:tab/>
      </w:r>
      <w:r>
        <w:fldChar w:fldCharType="begin"/>
      </w:r>
      <w:r>
        <w:instrText xml:space="preserve"> PAGEREF _Toc454893522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power to take land</w:t>
      </w:r>
      <w:r>
        <w:tab/>
      </w:r>
      <w:r>
        <w:fldChar w:fldCharType="begin"/>
      </w:r>
      <w:r>
        <w:instrText xml:space="preserve"> PAGEREF _Toc454893523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Unauthorised taking of water, offence</w:t>
      </w:r>
      <w:r>
        <w:tab/>
      </w:r>
      <w:r>
        <w:fldChar w:fldCharType="begin"/>
      </w:r>
      <w:r>
        <w:instrText xml:space="preserve"> PAGEREF _Toc454893524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Pollution of water, Minister’s powers to prevent</w:t>
      </w:r>
      <w:r>
        <w:tab/>
      </w:r>
      <w:r>
        <w:fldChar w:fldCharType="begin"/>
      </w:r>
      <w:r>
        <w:instrText xml:space="preserve"> PAGEREF _Toc454893525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The protection of underground water</w:t>
      </w:r>
    </w:p>
    <w:p>
      <w:pPr>
        <w:pStyle w:val="TOC8"/>
        <w:rPr>
          <w:rFonts w:asciiTheme="minorHAnsi" w:eastAsiaTheme="minorEastAsia" w:hAnsiTheme="minorHAnsi" w:cstheme="minorBidi"/>
          <w:szCs w:val="22"/>
        </w:rPr>
      </w:pPr>
      <w:r>
        <w:t>57A</w:t>
      </w:r>
      <w:r>
        <w:rPr>
          <w:snapToGrid w:val="0"/>
        </w:rPr>
        <w:t>.</w:t>
      </w:r>
      <w:r>
        <w:rPr>
          <w:snapToGrid w:val="0"/>
        </w:rPr>
        <w:tab/>
        <w:t>Underground Water Pollution Control Areas</w:t>
      </w:r>
      <w:r>
        <w:tab/>
      </w:r>
      <w:r>
        <w:fldChar w:fldCharType="begin"/>
      </w:r>
      <w:r>
        <w:instrText xml:space="preserve"> PAGEREF _Toc454893527 \h </w:instrText>
      </w:r>
      <w:r>
        <w:fldChar w:fldCharType="separate"/>
      </w:r>
      <w:r>
        <w:t>11</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By</w:t>
      </w:r>
      <w:r>
        <w:rPr>
          <w:snapToGrid w:val="0"/>
        </w:rPr>
        <w:noBreakHyphen/>
        <w:t>laws for pollution areas</w:t>
      </w:r>
      <w:r>
        <w:tab/>
      </w:r>
      <w:r>
        <w:fldChar w:fldCharType="begin"/>
      </w:r>
      <w:r>
        <w:instrText xml:space="preserve"> PAGEREF _Toc454893528 \h </w:instrText>
      </w:r>
      <w:r>
        <w:fldChar w:fldCharType="separate"/>
      </w:r>
      <w:r>
        <w:t>11</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Dispensation from by</w:t>
      </w:r>
      <w:r>
        <w:rPr>
          <w:snapToGrid w:val="0"/>
        </w:rPr>
        <w:noBreakHyphen/>
        <w:t>laws: grant by Minister</w:t>
      </w:r>
      <w:r>
        <w:tab/>
      </w:r>
      <w:r>
        <w:fldChar w:fldCharType="begin"/>
      </w:r>
      <w:r>
        <w:instrText xml:space="preserve"> PAGEREF _Toc454893529 \h </w:instrText>
      </w:r>
      <w:r>
        <w:fldChar w:fldCharType="separate"/>
      </w:r>
      <w:r>
        <w:t>12</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Dispensation from by-laws: review by SAT</w:t>
      </w:r>
      <w:r>
        <w:tab/>
      </w:r>
      <w:r>
        <w:fldChar w:fldCharType="begin"/>
      </w:r>
      <w:r>
        <w:instrText xml:space="preserve"> PAGEREF _Toc454893530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By</w:t>
      </w:r>
      <w:r>
        <w:noBreakHyphen/>
        <w:t>laws</w:t>
      </w:r>
    </w:p>
    <w:p>
      <w:pPr>
        <w:pStyle w:val="TOC8"/>
        <w:rPr>
          <w:rFonts w:asciiTheme="minorHAnsi" w:eastAsiaTheme="minorEastAsia" w:hAnsiTheme="minorHAnsi" w:cstheme="minorBidi"/>
          <w:szCs w:val="22"/>
        </w:rPr>
      </w:pPr>
      <w:r>
        <w:t>146</w:t>
      </w:r>
      <w:r>
        <w:rPr>
          <w:snapToGrid w:val="0"/>
        </w:rPr>
        <w:t>.</w:t>
      </w:r>
      <w:r>
        <w:rPr>
          <w:snapToGrid w:val="0"/>
        </w:rPr>
        <w:tab/>
        <w:t>Minister may make by</w:t>
      </w:r>
      <w:r>
        <w:rPr>
          <w:snapToGrid w:val="0"/>
        </w:rPr>
        <w:noBreakHyphen/>
        <w:t>laws</w:t>
      </w:r>
      <w:r>
        <w:tab/>
      </w:r>
      <w:r>
        <w:fldChar w:fldCharType="begin"/>
      </w:r>
      <w:r>
        <w:instrText xml:space="preserve"> PAGEREF _Toc454893532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XII — General provisions</w:t>
      </w:r>
    </w:p>
    <w:p>
      <w:pPr>
        <w:pStyle w:val="TOC8"/>
        <w:rPr>
          <w:rFonts w:asciiTheme="minorHAnsi" w:eastAsiaTheme="minorEastAsia" w:hAnsiTheme="minorHAnsi" w:cstheme="minorBidi"/>
          <w:szCs w:val="22"/>
        </w:rPr>
      </w:pPr>
      <w:r>
        <w:t>149</w:t>
      </w:r>
      <w:r>
        <w:rPr>
          <w:snapToGrid w:val="0"/>
        </w:rPr>
        <w:t>.</w:t>
      </w:r>
      <w:r>
        <w:rPr>
          <w:snapToGrid w:val="0"/>
        </w:rPr>
        <w:tab/>
        <w:t>Notices and demands, form of</w:t>
      </w:r>
      <w:r>
        <w:tab/>
      </w:r>
      <w:r>
        <w:fldChar w:fldCharType="begin"/>
      </w:r>
      <w:r>
        <w:instrText xml:space="preserve"> PAGEREF _Toc454893534 \h </w:instrText>
      </w:r>
      <w:r>
        <w:fldChar w:fldCharType="separate"/>
      </w:r>
      <w:r>
        <w:t>16</w:t>
      </w:r>
      <w:r>
        <w:fldChar w:fldCharType="end"/>
      </w:r>
    </w:p>
    <w:p>
      <w:pPr>
        <w:pStyle w:val="TOC8"/>
        <w:rPr>
          <w:rFonts w:asciiTheme="minorHAnsi" w:eastAsiaTheme="minorEastAsia" w:hAnsiTheme="minorHAnsi" w:cstheme="minorBidi"/>
          <w:szCs w:val="22"/>
        </w:rPr>
      </w:pPr>
      <w:r>
        <w:t>152A.</w:t>
      </w:r>
      <w:r>
        <w:tab/>
        <w:t>Limitation period for prosecutions</w:t>
      </w:r>
      <w:r>
        <w:tab/>
      </w:r>
      <w:r>
        <w:fldChar w:fldCharType="begin"/>
      </w:r>
      <w:r>
        <w:instrText xml:space="preserve"> PAGEREF _Toc454893535 \h </w:instrText>
      </w:r>
      <w:r>
        <w:fldChar w:fldCharType="separate"/>
      </w:r>
      <w:r>
        <w:t>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Civil remedies not affected by convictions or proceedings</w:t>
      </w:r>
      <w:r>
        <w:tab/>
      </w:r>
      <w:r>
        <w:fldChar w:fldCharType="begin"/>
      </w:r>
      <w:r>
        <w:instrText xml:space="preserve"> PAGEREF _Toc454893536 \h </w:instrText>
      </w:r>
      <w:r>
        <w:fldChar w:fldCharType="separate"/>
      </w:r>
      <w:r>
        <w:t>16</w:t>
      </w:r>
      <w:r>
        <w:fldChar w:fldCharType="end"/>
      </w:r>
    </w:p>
    <w:p>
      <w:pPr>
        <w:pStyle w:val="TOC8"/>
        <w:rPr>
          <w:rFonts w:asciiTheme="minorHAnsi" w:eastAsiaTheme="minorEastAsia" w:hAnsiTheme="minorHAnsi" w:cstheme="minorBidi"/>
          <w:szCs w:val="22"/>
        </w:rPr>
      </w:pPr>
      <w:r>
        <w:t>156.</w:t>
      </w:r>
      <w:r>
        <w:tab/>
        <w:t>Obstructing Minister, officers or authorised persons in performance of duty</w:t>
      </w:r>
      <w:r>
        <w:tab/>
      </w:r>
      <w:r>
        <w:fldChar w:fldCharType="begin"/>
      </w:r>
      <w:r>
        <w:instrText xml:space="preserve"> PAGEREF _Toc454893537 \h </w:instrText>
      </w:r>
      <w:r>
        <w:fldChar w:fldCharType="separate"/>
      </w:r>
      <w:r>
        <w:t>16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Refusing to give up possession of certain property, offence</w:t>
      </w:r>
      <w:r>
        <w:tab/>
      </w:r>
      <w:r>
        <w:fldChar w:fldCharType="begin"/>
      </w:r>
      <w:r>
        <w:instrText xml:space="preserve"> PAGEREF _Toc454893538 \h </w:instrText>
      </w:r>
      <w:r>
        <w:fldChar w:fldCharType="separate"/>
      </w:r>
      <w:r>
        <w:t>17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Arrest powers</w:t>
      </w:r>
      <w:r>
        <w:tab/>
      </w:r>
      <w:r>
        <w:fldChar w:fldCharType="begin"/>
      </w:r>
      <w:r>
        <w:instrText xml:space="preserve"> PAGEREF _Toc454893539 \h </w:instrText>
      </w:r>
      <w:r>
        <w:fldChar w:fldCharType="separate"/>
      </w:r>
      <w:r>
        <w:t>17</w:t>
      </w:r>
      <w:r>
        <w:fldChar w:fldCharType="end"/>
      </w:r>
    </w:p>
    <w:p>
      <w:pPr>
        <w:pStyle w:val="TOC8"/>
        <w:rPr>
          <w:rFonts w:asciiTheme="minorHAnsi" w:eastAsiaTheme="minorEastAsia" w:hAnsiTheme="minorHAnsi" w:cstheme="minorBidi"/>
          <w:szCs w:val="22"/>
        </w:rPr>
      </w:pPr>
      <w:r>
        <w:t>158A</w:t>
      </w:r>
      <w:r>
        <w:rPr>
          <w:snapToGrid w:val="0"/>
        </w:rPr>
        <w:t>.</w:t>
      </w:r>
      <w:r>
        <w:rPr>
          <w:snapToGrid w:val="0"/>
        </w:rPr>
        <w:tab/>
        <w:t>General penalty</w:t>
      </w:r>
      <w:r>
        <w:tab/>
      </w:r>
      <w:r>
        <w:fldChar w:fldCharType="begin"/>
      </w:r>
      <w:r>
        <w:instrText xml:space="preserve"> PAGEREF _Toc454893540 \h </w:instrText>
      </w:r>
      <w:r>
        <w:fldChar w:fldCharType="separate"/>
      </w:r>
      <w:r>
        <w:t>17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Prosecutions</w:t>
      </w:r>
      <w:r>
        <w:tab/>
      </w:r>
      <w:r>
        <w:fldChar w:fldCharType="begin"/>
      </w:r>
      <w:r>
        <w:instrText xml:space="preserve"> PAGEREF _Toc454893541 \h </w:instrText>
      </w:r>
      <w:r>
        <w:fldChar w:fldCharType="separate"/>
      </w:r>
      <w:r>
        <w:t>18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Proof of ownership or occupancy</w:t>
      </w:r>
      <w:r>
        <w:tab/>
      </w:r>
      <w:r>
        <w:fldChar w:fldCharType="begin"/>
      </w:r>
      <w:r>
        <w:instrText xml:space="preserve"> PAGEREF _Toc454893542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_Toc454893544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_Toc454893545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2016</w:t>
            </w:r>
          </w:p>
        </w:tc>
      </w:tr>
    </w:tbl>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NoteHeading"/>
        <w:sectPr>
          <w:headerReference w:type="even" r:id="rId23"/>
          <w:headerReference w:type="default" r:id="rId24"/>
          <w:pgSz w:w="11907" w:h="16840" w:code="9"/>
          <w:pgMar w:top="2376" w:right="2404" w:bottom="3544" w:left="2404" w:header="720" w:footer="3379" w:gutter="0"/>
          <w:cols w:space="720"/>
          <w:noEndnote/>
          <w:docGrid w:linePitch="326"/>
        </w:sectPr>
      </w:pPr>
    </w:p>
    <w:p>
      <w:pPr>
        <w:pStyle w:val="Heading2"/>
      </w:pPr>
      <w:bookmarkStart w:id="3" w:name="_Toc454877931"/>
      <w:bookmarkStart w:id="4" w:name="_Toc454893513"/>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489351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6" w:name="_Toc45489351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7" w:name="_Toc454893516"/>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8" w:name="_Toc454877935"/>
      <w:bookmarkStart w:id="9" w:name="_Toc454893517"/>
      <w:r>
        <w:rPr>
          <w:rStyle w:val="CharPartNo"/>
        </w:rPr>
        <w:t>Part II</w:t>
      </w:r>
      <w:r>
        <w:rPr>
          <w:rStyle w:val="CharDivNo"/>
        </w:rPr>
        <w:t> </w:t>
      </w:r>
      <w:r>
        <w:t>—</w:t>
      </w:r>
      <w:r>
        <w:rPr>
          <w:rStyle w:val="CharDivText"/>
        </w:rPr>
        <w:t> </w:t>
      </w:r>
      <w:r>
        <w:rPr>
          <w:rStyle w:val="CharPartText"/>
        </w:rPr>
        <w:t>The Area</w:t>
      </w:r>
      <w:bookmarkEnd w:id="8"/>
      <w:bookmarkEnd w:id="9"/>
    </w:p>
    <w:p>
      <w:pPr>
        <w:pStyle w:val="Footnoteheading"/>
        <w:rPr>
          <w:snapToGrid w:val="0"/>
        </w:rPr>
      </w:pPr>
      <w:r>
        <w:rPr>
          <w:snapToGrid w:val="0"/>
        </w:rPr>
        <w:tab/>
        <w:t>[Heading amended by No. 14 of 1967 s. 6.]</w:t>
      </w:r>
    </w:p>
    <w:p>
      <w:pPr>
        <w:pStyle w:val="Heading5"/>
        <w:rPr>
          <w:snapToGrid w:val="0"/>
        </w:rPr>
      </w:pPr>
      <w:bookmarkStart w:id="10" w:name="_Toc454893518"/>
      <w:r>
        <w:rPr>
          <w:rStyle w:val="CharSectno"/>
        </w:rPr>
        <w:t>6</w:t>
      </w:r>
      <w:r>
        <w:rPr>
          <w:snapToGrid w:val="0"/>
        </w:rPr>
        <w:t>.</w:t>
      </w:r>
      <w:r>
        <w:rPr>
          <w:snapToGrid w:val="0"/>
        </w:rPr>
        <w:tab/>
        <w:t>Constitution of Area</w:t>
      </w:r>
      <w:bookmarkEnd w:id="1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11" w:name="_Toc454893519"/>
      <w:r>
        <w:rPr>
          <w:rStyle w:val="CharSectno"/>
        </w:rPr>
        <w:t>7</w:t>
      </w:r>
      <w:r>
        <w:rPr>
          <w:snapToGrid w:val="0"/>
        </w:rPr>
        <w:t>.</w:t>
      </w:r>
      <w:r>
        <w:rPr>
          <w:snapToGrid w:val="0"/>
        </w:rPr>
        <w:tab/>
        <w:t>Altering or extending boundaries of Area</w:t>
      </w:r>
      <w:bookmarkEnd w:id="1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12" w:name="_Toc454877938"/>
      <w:bookmarkStart w:id="13" w:name="_Toc454893520"/>
      <w:r>
        <w:rPr>
          <w:rStyle w:val="CharPartNo"/>
        </w:rPr>
        <w:t>Part IV</w:t>
      </w:r>
      <w:r>
        <w:rPr>
          <w:rStyle w:val="CharDivNo"/>
        </w:rPr>
        <w:t> </w:t>
      </w:r>
      <w:r>
        <w:t>—</w:t>
      </w:r>
      <w:r>
        <w:rPr>
          <w:rStyle w:val="CharDivText"/>
        </w:rPr>
        <w:t> </w:t>
      </w:r>
      <w:r>
        <w:rPr>
          <w:rStyle w:val="CharPartText"/>
        </w:rPr>
        <w:t>Water reserves</w:t>
      </w:r>
      <w:bookmarkEnd w:id="12"/>
      <w:bookmarkEnd w:id="13"/>
    </w:p>
    <w:p>
      <w:pPr>
        <w:pStyle w:val="Heading5"/>
        <w:rPr>
          <w:snapToGrid w:val="0"/>
        </w:rPr>
      </w:pPr>
      <w:bookmarkStart w:id="14" w:name="_Toc454893521"/>
      <w:r>
        <w:rPr>
          <w:rStyle w:val="CharSectno"/>
        </w:rPr>
        <w:t>13</w:t>
      </w:r>
      <w:r>
        <w:rPr>
          <w:snapToGrid w:val="0"/>
        </w:rPr>
        <w:t>.</w:t>
      </w:r>
      <w:r>
        <w:rPr>
          <w:snapToGrid w:val="0"/>
        </w:rPr>
        <w:tab/>
        <w:t>Water reserves and catchment areas</w:t>
      </w:r>
      <w:bookmarkEnd w:id="1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15" w:name="_Toc454893522"/>
      <w:r>
        <w:rPr>
          <w:rStyle w:val="CharSectno"/>
        </w:rPr>
        <w:t>14</w:t>
      </w:r>
      <w:r>
        <w:rPr>
          <w:snapToGrid w:val="0"/>
        </w:rPr>
        <w:t>.</w:t>
      </w:r>
      <w:r>
        <w:rPr>
          <w:snapToGrid w:val="0"/>
        </w:rPr>
        <w:tab/>
        <w:t>Water services licensees’ power to take water</w:t>
      </w:r>
      <w:bookmarkEnd w:id="15"/>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 No. 25 of 2012 s. 33.]</w:t>
      </w:r>
    </w:p>
    <w:p>
      <w:pPr>
        <w:pStyle w:val="Heading5"/>
        <w:rPr>
          <w:snapToGrid w:val="0"/>
        </w:rPr>
      </w:pPr>
      <w:bookmarkStart w:id="16" w:name="_Toc454893523"/>
      <w:r>
        <w:rPr>
          <w:rStyle w:val="CharSectno"/>
        </w:rPr>
        <w:t>15</w:t>
      </w:r>
      <w:r>
        <w:rPr>
          <w:snapToGrid w:val="0"/>
        </w:rPr>
        <w:t>.</w:t>
      </w:r>
      <w:r>
        <w:rPr>
          <w:snapToGrid w:val="0"/>
        </w:rPr>
        <w:tab/>
        <w:t>Minister’s power to take land</w:t>
      </w:r>
      <w:bookmarkEnd w:id="1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17" w:name="_Toc454893524"/>
      <w:r>
        <w:rPr>
          <w:rStyle w:val="CharSectno"/>
        </w:rPr>
        <w:t>16</w:t>
      </w:r>
      <w:r>
        <w:rPr>
          <w:snapToGrid w:val="0"/>
        </w:rPr>
        <w:t>.</w:t>
      </w:r>
      <w:r>
        <w:rPr>
          <w:snapToGrid w:val="0"/>
        </w:rPr>
        <w:tab/>
        <w:t>Unauthorised taking of water, offence</w:t>
      </w:r>
      <w:bookmarkEnd w:id="17"/>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by No. 83 of 1976 s. 4; amended by No. 25 of 1985 s. 57; No. 73 of 1995 s. 98 and 108; No. 38 of 2007 s. 35.]</w:t>
      </w:r>
    </w:p>
    <w:p>
      <w:pPr>
        <w:pStyle w:val="Heading5"/>
        <w:pageBreakBefore/>
        <w:spacing w:before="0"/>
        <w:rPr>
          <w:snapToGrid w:val="0"/>
        </w:rPr>
      </w:pPr>
      <w:bookmarkStart w:id="18" w:name="_Toc454893525"/>
      <w:r>
        <w:rPr>
          <w:rStyle w:val="CharSectno"/>
        </w:rPr>
        <w:t>17</w:t>
      </w:r>
      <w:r>
        <w:rPr>
          <w:snapToGrid w:val="0"/>
        </w:rPr>
        <w:t>.</w:t>
      </w:r>
      <w:r>
        <w:rPr>
          <w:snapToGrid w:val="0"/>
        </w:rPr>
        <w:tab/>
        <w:t>Pollution of water, Minister’s powers to prevent</w:t>
      </w:r>
      <w:bookmarkEnd w:id="1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Ednotepart"/>
        <w:tabs>
          <w:tab w:val="left" w:pos="993"/>
        </w:tabs>
      </w:pPr>
      <w:r>
        <w:t>[Part V:</w:t>
      </w:r>
      <w:r>
        <w:tab/>
        <w:t>s. 18</w:t>
      </w:r>
      <w:r>
        <w:rPr>
          <w:bCs/>
        </w:rPr>
        <w:t xml:space="preserve"> </w:t>
      </w:r>
      <w:r>
        <w:t>deleted by No. 39 of 1963 s. 25;</w:t>
      </w:r>
      <w:r>
        <w:br/>
      </w:r>
      <w:r>
        <w:tab/>
        <w:t>s. 19</w:t>
      </w:r>
      <w:r>
        <w:noBreakHyphen/>
        <w:t>23 deleted by No. 100 of 1982 s. 7;</w:t>
      </w:r>
      <w:r>
        <w:br/>
      </w:r>
      <w:r>
        <w:tab/>
        <w:t>s. 23A</w:t>
      </w:r>
      <w:r>
        <w:noBreakHyphen/>
        <w:t>23C deleted by No. 59 of 1977 s. 9;</w:t>
      </w:r>
      <w:r>
        <w:br/>
      </w:r>
      <w:r>
        <w:tab/>
        <w:t>s. 24</w:t>
      </w:r>
      <w:r>
        <w:noBreakHyphen/>
        <w:t>30 deleted by No. 100 of 1982 s. 7;</w:t>
      </w:r>
      <w:r>
        <w:br/>
      </w:r>
      <w:r>
        <w:tab/>
        <w:t>s. 31</w:t>
      </w:r>
      <w:r>
        <w:noBreakHyphen/>
        <w:t>33 deleted by No. 25 of 2012 s. 35;</w:t>
      </w:r>
      <w:r>
        <w:br/>
      </w:r>
      <w:r>
        <w:tab/>
        <w:t>s. 34</w:t>
      </w:r>
      <w:r>
        <w:rPr>
          <w:b/>
        </w:rPr>
        <w:t xml:space="preserve"> </w:t>
      </w:r>
      <w:r>
        <w:t>deleted by No. 110 of 1985 s. 23;</w:t>
      </w:r>
      <w:r>
        <w:br/>
      </w:r>
      <w:r>
        <w:rPr>
          <w:b/>
          <w:bCs/>
        </w:rPr>
        <w:tab/>
      </w:r>
      <w:r>
        <w:rPr>
          <w:bCs/>
        </w:rPr>
        <w:t xml:space="preserve">s. 35 </w:t>
      </w:r>
      <w:r>
        <w:t>deleted by No. 38 of 2007 s. 36.]</w:t>
      </w:r>
    </w:p>
    <w:p>
      <w:pPr>
        <w:pStyle w:val="Heading2"/>
      </w:pPr>
      <w:bookmarkStart w:id="19" w:name="_Toc454877944"/>
      <w:bookmarkStart w:id="20" w:name="_Toc454893526"/>
      <w:r>
        <w:rPr>
          <w:rStyle w:val="CharPartNo"/>
        </w:rPr>
        <w:t>Part VI</w:t>
      </w:r>
      <w:r>
        <w:rPr>
          <w:b w:val="0"/>
        </w:rPr>
        <w:t> </w:t>
      </w:r>
      <w:r>
        <w:t>—</w:t>
      </w:r>
      <w:r>
        <w:rPr>
          <w:b w:val="0"/>
        </w:rPr>
        <w:t> </w:t>
      </w:r>
      <w:r>
        <w:rPr>
          <w:rStyle w:val="CharPartText"/>
        </w:rPr>
        <w:t>The protection of underground water</w:t>
      </w:r>
      <w:bookmarkEnd w:id="19"/>
      <w:bookmarkEnd w:id="20"/>
    </w:p>
    <w:p>
      <w:pPr>
        <w:pStyle w:val="Footnoteheading"/>
        <w:keepNext/>
        <w:rPr>
          <w:snapToGrid w:val="0"/>
        </w:rPr>
      </w:pPr>
      <w:r>
        <w:rPr>
          <w:snapToGrid w:val="0"/>
        </w:rPr>
        <w:tab/>
        <w:t>[Heading inserted by No. 25 of 2012 s. 36.]</w:t>
      </w:r>
    </w:p>
    <w:p>
      <w:pPr>
        <w:pStyle w:val="Ednotesection"/>
        <w:ind w:left="890" w:hanging="890"/>
      </w:pPr>
      <w:r>
        <w:t>[Division 1:</w:t>
      </w:r>
      <w:r>
        <w:tab/>
        <w:t>s. 40A</w:t>
      </w:r>
      <w:r>
        <w:rPr>
          <w:bCs/>
        </w:rPr>
        <w:t xml:space="preserve"> de</w:t>
      </w:r>
      <w:r>
        <w:t>leted by No. 24 of 1987 s. 25;</w:t>
      </w:r>
      <w:r>
        <w:br/>
      </w:r>
      <w:r>
        <w:tab/>
      </w:r>
      <w:r>
        <w:rPr>
          <w:b/>
        </w:rPr>
        <w:tab/>
      </w:r>
      <w:r>
        <w:t>s. 44 deleted by No. 41 of 1951 s. 4(3);</w:t>
      </w:r>
      <w:r>
        <w:br/>
      </w:r>
      <w:r>
        <w:tab/>
      </w:r>
      <w:r>
        <w:tab/>
        <w:t>s. 46 deleted by No. 73 of 1995 s. 101;</w:t>
      </w:r>
      <w:r>
        <w:br/>
      </w:r>
      <w:r>
        <w:tab/>
      </w:r>
      <w:r>
        <w:tab/>
        <w:t>balance deleted by No. 25 of 2012 s. 37.]</w:t>
      </w:r>
    </w:p>
    <w:p>
      <w:pPr>
        <w:pStyle w:val="Ednotesection"/>
        <w:ind w:left="890" w:hanging="890"/>
      </w:pPr>
      <w:r>
        <w:t>[Division 2:</w:t>
      </w:r>
      <w:r>
        <w:tab/>
        <w:t>s. 48 deleted by No. 110 of 1985 s. 26;</w:t>
      </w:r>
      <w:r>
        <w:br/>
      </w:r>
      <w:r>
        <w:tab/>
      </w:r>
      <w:r>
        <w:tab/>
        <w:t>balance deleted by No. 25 of 2012 s. 37.]</w:t>
      </w:r>
    </w:p>
    <w:p>
      <w:pPr>
        <w:pStyle w:val="Footnotesection"/>
        <w:keepNext/>
        <w:spacing w:before="160"/>
        <w:ind w:left="890" w:hanging="890"/>
      </w:pPr>
      <w:r>
        <w:tab/>
        <w:t>[Heading deleted by No. 25 of 2012 s. 38.]</w:t>
      </w:r>
    </w:p>
    <w:p>
      <w:pPr>
        <w:pStyle w:val="Heading5"/>
        <w:rPr>
          <w:snapToGrid w:val="0"/>
        </w:rPr>
      </w:pPr>
      <w:bookmarkStart w:id="21" w:name="_Toc454893527"/>
      <w:r>
        <w:rPr>
          <w:rStyle w:val="CharSectno"/>
        </w:rPr>
        <w:t>57A</w:t>
      </w:r>
      <w:r>
        <w:rPr>
          <w:snapToGrid w:val="0"/>
        </w:rPr>
        <w:t>.</w:t>
      </w:r>
      <w:r>
        <w:rPr>
          <w:snapToGrid w:val="0"/>
        </w:rPr>
        <w:tab/>
        <w:t>Underground Water Pollution Control Areas</w:t>
      </w:r>
      <w:bookmarkEnd w:id="2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22" w:name="_Toc454893528"/>
      <w:r>
        <w:rPr>
          <w:rStyle w:val="CharSectno"/>
        </w:rPr>
        <w:t>57B</w:t>
      </w:r>
      <w:r>
        <w:rPr>
          <w:snapToGrid w:val="0"/>
        </w:rPr>
        <w:t>.</w:t>
      </w:r>
      <w:r>
        <w:rPr>
          <w:snapToGrid w:val="0"/>
        </w:rPr>
        <w:tab/>
        <w:t>By</w:t>
      </w:r>
      <w:r>
        <w:rPr>
          <w:snapToGrid w:val="0"/>
        </w:rPr>
        <w:noBreakHyphen/>
        <w:t>laws for pollution areas</w:t>
      </w:r>
      <w:bookmarkEnd w:id="22"/>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3" w:name="_Toc454893529"/>
      <w:r>
        <w:rPr>
          <w:rStyle w:val="CharSectno"/>
        </w:rPr>
        <w:t>57C</w:t>
      </w:r>
      <w:r>
        <w:rPr>
          <w:snapToGrid w:val="0"/>
        </w:rPr>
        <w:t>.</w:t>
      </w:r>
      <w:r>
        <w:rPr>
          <w:snapToGrid w:val="0"/>
        </w:rPr>
        <w:tab/>
        <w:t>Dispensation from by</w:t>
      </w:r>
      <w:r>
        <w:rPr>
          <w:snapToGrid w:val="0"/>
        </w:rPr>
        <w:noBreakHyphen/>
        <w:t>laws: grant by Minister</w:t>
      </w:r>
      <w:bookmarkEnd w:id="23"/>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rPr>
      </w:pPr>
      <w:bookmarkStart w:id="24" w:name="_Toc454893530"/>
      <w:r>
        <w:rPr>
          <w:rStyle w:val="CharSectno"/>
        </w:rPr>
        <w:t>57D</w:t>
      </w:r>
      <w:r>
        <w:rPr>
          <w:snapToGrid w:val="0"/>
        </w:rPr>
        <w:t>.</w:t>
      </w:r>
      <w:r>
        <w:rPr>
          <w:snapToGrid w:val="0"/>
        </w:rPr>
        <w:tab/>
        <w:t>Dispensation from by-laws: review by SAT</w:t>
      </w:r>
      <w:bookmarkEnd w:id="24"/>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Ednotesection"/>
        <w:ind w:left="890" w:hanging="890"/>
      </w:pPr>
      <w:r>
        <w:t>[Division 4 (s. 57E, 57EA, 57F-57I) deleted by No. 25 of 2012 s. 40.]</w:t>
      </w:r>
    </w:p>
    <w:p>
      <w:pPr>
        <w:pStyle w:val="Ednotepart"/>
        <w:tabs>
          <w:tab w:val="left" w:pos="993"/>
          <w:tab w:val="left" w:pos="1418"/>
        </w:tabs>
        <w:ind w:left="1440" w:hanging="1440"/>
      </w:pPr>
      <w:r>
        <w:t>[Part VII:</w:t>
      </w:r>
      <w:r>
        <w:tab/>
      </w:r>
      <w:r>
        <w:tab/>
        <w:t>s. 62 deleted by No. 110 of 1985 s. 29;</w:t>
      </w:r>
      <w:r>
        <w:br/>
        <w:t>s. 69A deleted by No. 100 of 1982 s. 28;</w:t>
      </w:r>
      <w:r>
        <w:br/>
        <w:t>s. 71 deleted by No. 100 of 1982 s. 30;</w:t>
      </w:r>
      <w:r>
        <w:br/>
        <w:t>balance deleted by No. 25 of 2012 s. 41.]</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Ednotedivision"/>
        <w:ind w:left="1440" w:hanging="1440"/>
      </w:pPr>
      <w:r>
        <w:t>[Part VIII:</w:t>
      </w:r>
      <w:r>
        <w:tab/>
        <w:t>Div. 1</w:t>
      </w:r>
      <w:r>
        <w:noBreakHyphen/>
        <w:t>3 (s. 72</w:t>
      </w:r>
      <w:r>
        <w:noBreakHyphen/>
        <w:t>89, 89A) deleted by No. 37 of 1982 s. 8;</w:t>
      </w:r>
      <w:r>
        <w:br/>
        <w:t>Div. (4) and (5) (s. 90</w:t>
      </w:r>
      <w:r>
        <w:noBreakHyphen/>
        <w:t>102) deleted by No. 24 of 1987 s. 34;</w:t>
      </w:r>
      <w:r>
        <w:br/>
        <w:t>Division (6) heading deleted by No. 24 of 1987 s. 34;</w:t>
      </w:r>
      <w:r>
        <w:br/>
        <w:t>s. 107, 108 deleted by No. 24 of 1987 s. 41;</w:t>
      </w:r>
      <w:r>
        <w:br/>
        <w:t>s. 111 deleted by No. 37 of 1982 s. 27;</w:t>
      </w:r>
      <w:r>
        <w:br/>
        <w:t>s. 112 deleted by No. 24 of 1987 s. 44;</w:t>
      </w:r>
      <w:r>
        <w:br/>
      </w:r>
      <w:r>
        <w:rPr>
          <w:bCs/>
        </w:rPr>
        <w:t>s. 118</w:t>
      </w:r>
      <w:r>
        <w:rPr>
          <w:bCs/>
        </w:rPr>
        <w:noBreakHyphen/>
        <w:t>124 d</w:t>
      </w:r>
      <w:r>
        <w:t>eleted by No. 59 of 2004 s. 141;</w:t>
      </w:r>
      <w:r>
        <w:br/>
        <w:t>heading deleted by No. 25 of 2005 s. 45;</w:t>
      </w:r>
      <w:r>
        <w:br/>
      </w:r>
      <w:r>
        <w:rPr>
          <w:bCs/>
        </w:rPr>
        <w:t>s. 124A d</w:t>
      </w:r>
      <w:r>
        <w:t>eleted by No. 25 of 2005 s. 45;</w:t>
      </w:r>
      <w:r>
        <w:br/>
        <w:t>balance deleted by No. 25 of 2012 s. 41.]</w:t>
      </w:r>
    </w:p>
    <w:p>
      <w:pPr>
        <w:pStyle w:val="Ednotepart"/>
        <w:ind w:left="1080" w:hanging="1080"/>
      </w:pPr>
      <w:r>
        <w:t>[Part IX:</w:t>
      </w:r>
      <w:r>
        <w:tab/>
      </w:r>
      <w:r>
        <w:tab/>
        <w:t>s. 125 deleted by No. 39 of 1963 s. 118;</w:t>
      </w:r>
      <w:r>
        <w:br/>
      </w:r>
      <w:r>
        <w:tab/>
        <w:t>s. </w:t>
      </w:r>
      <w:r>
        <w:rPr>
          <w:bCs/>
        </w:rPr>
        <w:t>129</w:t>
      </w:r>
      <w:r>
        <w:rPr>
          <w:bCs/>
        </w:rPr>
        <w:noBreakHyphen/>
        <w:t>131</w:t>
      </w:r>
      <w:r>
        <w:t xml:space="preserve"> deleted by No. 39 of 1963 s. 123;</w:t>
      </w:r>
      <w:r>
        <w:br/>
      </w:r>
      <w:r>
        <w:tab/>
        <w:t>s. </w:t>
      </w:r>
      <w:r>
        <w:rPr>
          <w:bCs/>
        </w:rPr>
        <w:t xml:space="preserve">133 </w:t>
      </w:r>
      <w:r>
        <w:t>Deleted by No. 39 of 1963 s. 125;</w:t>
      </w:r>
      <w:r>
        <w:br/>
      </w:r>
      <w:r>
        <w:tab/>
        <w:t>s. </w:t>
      </w:r>
      <w:r>
        <w:rPr>
          <w:bCs/>
        </w:rPr>
        <w:t>136 deleted</w:t>
      </w:r>
      <w:r>
        <w:t xml:space="preserve"> by No. 39 of 1963 s. 128;</w:t>
      </w:r>
      <w:r>
        <w:br/>
      </w:r>
      <w:r>
        <w:tab/>
        <w:t>s. </w:t>
      </w:r>
      <w:r>
        <w:rPr>
          <w:bCs/>
        </w:rPr>
        <w:t>138 deleted</w:t>
      </w:r>
      <w:r>
        <w:t xml:space="preserve"> by No. 39 of 1963 s. 129;</w:t>
      </w:r>
      <w:r>
        <w:br/>
      </w:r>
      <w:r>
        <w:tab/>
        <w:t>s. </w:t>
      </w:r>
      <w:r>
        <w:rPr>
          <w:bCs/>
        </w:rPr>
        <w:t>139 deleted</w:t>
      </w:r>
      <w:r>
        <w:t xml:space="preserve"> by No. 39 of 1963 s. 130;</w:t>
      </w:r>
      <w:r>
        <w:br/>
      </w:r>
      <w:r>
        <w:tab/>
        <w:t>s. </w:t>
      </w:r>
      <w:r>
        <w:rPr>
          <w:bCs/>
        </w:rPr>
        <w:t>140 deleted</w:t>
      </w:r>
      <w:r>
        <w:t xml:space="preserve"> by No. 39 of 1963 s. 131;</w:t>
      </w:r>
      <w:r>
        <w:br/>
      </w:r>
      <w:r>
        <w:tab/>
        <w:t>s. </w:t>
      </w:r>
      <w:r>
        <w:rPr>
          <w:bCs/>
        </w:rPr>
        <w:t>127, 127A, 128, 132, 134, 135, 137</w:t>
      </w:r>
      <w:r>
        <w:t xml:space="preserve"> deleted by No. 37 of </w:t>
      </w:r>
      <w:r>
        <w:tab/>
        <w:t>1982 s. 37;</w:t>
      </w:r>
      <w:r>
        <w:br/>
      </w:r>
      <w:r>
        <w:tab/>
        <w:t>s. </w:t>
      </w:r>
      <w:r>
        <w:rPr>
          <w:bCs/>
        </w:rPr>
        <w:t>126 deleted</w:t>
      </w:r>
      <w:r>
        <w:t xml:space="preserve"> by No. 25 of 1985 s. 73;</w:t>
      </w:r>
      <w:r>
        <w:br/>
      </w:r>
      <w:r>
        <w:tab/>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25" w:name="_Toc454877949"/>
      <w:bookmarkStart w:id="26" w:name="_Toc45489353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5"/>
      <w:bookmarkEnd w:id="26"/>
    </w:p>
    <w:p>
      <w:pPr>
        <w:pStyle w:val="Heading5"/>
        <w:rPr>
          <w:snapToGrid w:val="0"/>
        </w:rPr>
      </w:pPr>
      <w:bookmarkStart w:id="27" w:name="_Toc454893532"/>
      <w:r>
        <w:rPr>
          <w:rStyle w:val="CharSectno"/>
        </w:rPr>
        <w:t>146</w:t>
      </w:r>
      <w:r>
        <w:rPr>
          <w:snapToGrid w:val="0"/>
        </w:rPr>
        <w:t>.</w:t>
      </w:r>
      <w:r>
        <w:rPr>
          <w:snapToGrid w:val="0"/>
        </w:rPr>
        <w:tab/>
        <w:t>Minister may make by</w:t>
      </w:r>
      <w:r>
        <w:rPr>
          <w:snapToGrid w:val="0"/>
        </w:rPr>
        <w:noBreakHyphen/>
        <w:t>laws</w:t>
      </w:r>
      <w:bookmarkEnd w:id="2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28" w:name="_Toc454877951"/>
      <w:bookmarkStart w:id="29" w:name="_Toc454893533"/>
      <w:r>
        <w:rPr>
          <w:rStyle w:val="CharPartNo"/>
        </w:rPr>
        <w:t>Part XII</w:t>
      </w:r>
      <w:r>
        <w:rPr>
          <w:rStyle w:val="CharDivNo"/>
        </w:rPr>
        <w:t> </w:t>
      </w:r>
      <w:r>
        <w:t>—</w:t>
      </w:r>
      <w:r>
        <w:rPr>
          <w:rStyle w:val="CharDivText"/>
        </w:rPr>
        <w:t> </w:t>
      </w:r>
      <w:r>
        <w:rPr>
          <w:rStyle w:val="CharPartText"/>
        </w:rPr>
        <w:t>General provisions</w:t>
      </w:r>
      <w:bookmarkEnd w:id="28"/>
      <w:bookmarkEnd w:id="29"/>
    </w:p>
    <w:p>
      <w:pPr>
        <w:pStyle w:val="Footnotesection"/>
        <w:spacing w:before="160"/>
      </w:pPr>
      <w:r>
        <w:t>[</w:t>
      </w:r>
      <w:r>
        <w:rPr>
          <w:b/>
        </w:rPr>
        <w:t>148</w:t>
      </w:r>
      <w:r>
        <w:rPr>
          <w:b/>
          <w:bCs/>
        </w:rPr>
        <w:t>.</w:t>
      </w:r>
      <w:r>
        <w:tab/>
        <w:t>Deleted by No. 25 of 2012 s. 43.]</w:t>
      </w:r>
    </w:p>
    <w:p>
      <w:pPr>
        <w:pStyle w:val="Footnotesection"/>
        <w:spacing w:before="160"/>
      </w:pPr>
      <w:r>
        <w:t>[</w:t>
      </w:r>
      <w:r>
        <w:rPr>
          <w:b/>
        </w:rPr>
        <w:t>148A</w:t>
      </w:r>
      <w:r>
        <w:rPr>
          <w:b/>
          <w:bCs/>
        </w:rPr>
        <w:t>.</w:t>
      </w:r>
      <w:r>
        <w:tab/>
        <w:t>Deleted by No. 25 of 1985 s. 78.]</w:t>
      </w:r>
    </w:p>
    <w:p>
      <w:pPr>
        <w:pStyle w:val="Heading5"/>
        <w:spacing w:before="160"/>
        <w:rPr>
          <w:snapToGrid w:val="0"/>
        </w:rPr>
      </w:pPr>
      <w:bookmarkStart w:id="30" w:name="_Toc454893534"/>
      <w:r>
        <w:rPr>
          <w:rStyle w:val="CharSectno"/>
        </w:rPr>
        <w:t>149</w:t>
      </w:r>
      <w:r>
        <w:rPr>
          <w:snapToGrid w:val="0"/>
        </w:rPr>
        <w:t>.</w:t>
      </w:r>
      <w:r>
        <w:rPr>
          <w:snapToGrid w:val="0"/>
        </w:rPr>
        <w:tab/>
        <w:t>Notices and demands, form of</w:t>
      </w:r>
      <w:bookmarkEnd w:id="30"/>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by No. 25 of 2012 s. 44.]</w:t>
      </w:r>
    </w:p>
    <w:p>
      <w:pPr>
        <w:pStyle w:val="Heading5"/>
        <w:spacing w:before="160"/>
      </w:pPr>
      <w:bookmarkStart w:id="31" w:name="_Toc454893535"/>
      <w:r>
        <w:rPr>
          <w:rStyle w:val="CharSectno"/>
        </w:rPr>
        <w:t>152A</w:t>
      </w:r>
      <w:r>
        <w:t>.</w:t>
      </w:r>
      <w:r>
        <w:tab/>
        <w:t>Limitation period for prosecutions</w:t>
      </w:r>
      <w:bookmarkEnd w:id="31"/>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by No. 84 of 2004 s. 80.]</w:t>
      </w:r>
    </w:p>
    <w:p>
      <w:pPr>
        <w:pStyle w:val="Heading5"/>
        <w:spacing w:before="160"/>
        <w:rPr>
          <w:snapToGrid w:val="0"/>
        </w:rPr>
      </w:pPr>
      <w:bookmarkStart w:id="32" w:name="_Toc454893536"/>
      <w:r>
        <w:rPr>
          <w:rStyle w:val="CharSectno"/>
        </w:rPr>
        <w:t>153</w:t>
      </w:r>
      <w:r>
        <w:rPr>
          <w:snapToGrid w:val="0"/>
        </w:rPr>
        <w:t>.</w:t>
      </w:r>
      <w:r>
        <w:rPr>
          <w:snapToGrid w:val="0"/>
        </w:rPr>
        <w:tab/>
        <w:t>Civil remedies not affected by convictions or proceedings</w:t>
      </w:r>
      <w:bookmarkEnd w:id="3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by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by No. 25 of 2012 s. 46.]</w:t>
      </w:r>
    </w:p>
    <w:p>
      <w:pPr>
        <w:pStyle w:val="Heading5"/>
        <w:spacing w:before="160"/>
      </w:pPr>
      <w:bookmarkStart w:id="33" w:name="_Toc454893537"/>
      <w:r>
        <w:rPr>
          <w:rStyle w:val="CharSectno"/>
        </w:rPr>
        <w:t>156</w:t>
      </w:r>
      <w:r>
        <w:t>.</w:t>
      </w:r>
      <w:r>
        <w:tab/>
        <w:t>Obstructing Minister, officers or authorised persons in performance of duty</w:t>
      </w:r>
      <w:bookmarkEnd w:id="33"/>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by No. 25 of 2012 s. 47.]</w:t>
      </w:r>
    </w:p>
    <w:p>
      <w:pPr>
        <w:pStyle w:val="Heading5"/>
        <w:rPr>
          <w:snapToGrid w:val="0"/>
        </w:rPr>
      </w:pPr>
      <w:bookmarkStart w:id="34" w:name="_Toc454893538"/>
      <w:r>
        <w:rPr>
          <w:rStyle w:val="CharSectno"/>
        </w:rPr>
        <w:t>157</w:t>
      </w:r>
      <w:r>
        <w:rPr>
          <w:snapToGrid w:val="0"/>
        </w:rPr>
        <w:t>.</w:t>
      </w:r>
      <w:r>
        <w:rPr>
          <w:snapToGrid w:val="0"/>
        </w:rPr>
        <w:tab/>
        <w:t>Refusing to give up possession of certain property, offence</w:t>
      </w:r>
      <w:bookmarkEnd w:id="34"/>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 No. 25 of 2012 s. 48.]</w:t>
      </w:r>
    </w:p>
    <w:p>
      <w:pPr>
        <w:pStyle w:val="Heading5"/>
        <w:rPr>
          <w:snapToGrid w:val="0"/>
        </w:rPr>
      </w:pPr>
      <w:bookmarkStart w:id="35" w:name="_Toc454893539"/>
      <w:r>
        <w:rPr>
          <w:rStyle w:val="CharSectno"/>
        </w:rPr>
        <w:t>158</w:t>
      </w:r>
      <w:r>
        <w:rPr>
          <w:snapToGrid w:val="0"/>
        </w:rPr>
        <w:t>.</w:t>
      </w:r>
      <w:r>
        <w:rPr>
          <w:snapToGrid w:val="0"/>
        </w:rPr>
        <w:tab/>
        <w:t>Arrest powers</w:t>
      </w:r>
      <w:bookmarkEnd w:id="3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 No. 25 of 2012 s. 49.]</w:t>
      </w:r>
    </w:p>
    <w:p>
      <w:pPr>
        <w:pStyle w:val="Heading5"/>
        <w:spacing w:before="180"/>
        <w:rPr>
          <w:snapToGrid w:val="0"/>
        </w:rPr>
      </w:pPr>
      <w:bookmarkStart w:id="36" w:name="_Toc454893540"/>
      <w:r>
        <w:rPr>
          <w:rStyle w:val="CharSectno"/>
        </w:rPr>
        <w:t>158A</w:t>
      </w:r>
      <w:r>
        <w:rPr>
          <w:snapToGrid w:val="0"/>
        </w:rPr>
        <w:t>.</w:t>
      </w:r>
      <w:r>
        <w:rPr>
          <w:snapToGrid w:val="0"/>
        </w:rPr>
        <w:tab/>
        <w:t>General penalty</w:t>
      </w:r>
      <w:bookmarkEnd w:id="36"/>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 No. 25 of 2012 s. 50.]</w:t>
      </w:r>
    </w:p>
    <w:p>
      <w:pPr>
        <w:pStyle w:val="Heading5"/>
        <w:rPr>
          <w:snapToGrid w:val="0"/>
        </w:rPr>
      </w:pPr>
      <w:bookmarkStart w:id="37" w:name="_Toc454893541"/>
      <w:r>
        <w:rPr>
          <w:rStyle w:val="CharSectno"/>
        </w:rPr>
        <w:t>159</w:t>
      </w:r>
      <w:r>
        <w:rPr>
          <w:snapToGrid w:val="0"/>
        </w:rPr>
        <w:t>.</w:t>
      </w:r>
      <w:r>
        <w:rPr>
          <w:snapToGrid w:val="0"/>
        </w:rPr>
        <w:tab/>
        <w:t>Prosecutions</w:t>
      </w:r>
      <w:bookmarkEnd w:id="37"/>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 No. 25 of 2012 s. 51.]</w:t>
      </w:r>
    </w:p>
    <w:p>
      <w:pPr>
        <w:pStyle w:val="Ednotesection"/>
      </w:pPr>
      <w:r>
        <w:t>[</w:t>
      </w:r>
      <w:r>
        <w:rPr>
          <w:b/>
          <w:bCs/>
        </w:rPr>
        <w:t>160.</w:t>
      </w:r>
      <w:r>
        <w:tab/>
        <w:t>Deleted by No. 38 of 2007 s. 48.]</w:t>
      </w:r>
    </w:p>
    <w:p>
      <w:pPr>
        <w:pStyle w:val="Ednotesection"/>
      </w:pPr>
      <w:r>
        <w:t>[</w:t>
      </w:r>
      <w:r>
        <w:rPr>
          <w:b/>
          <w:bCs/>
        </w:rPr>
        <w:t>161.</w:t>
      </w:r>
      <w:r>
        <w:tab/>
        <w:t>Deleted by No. 25 of 2012 s. 52.]</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38" w:name="_Toc454893542"/>
      <w:r>
        <w:rPr>
          <w:rStyle w:val="CharSectno"/>
        </w:rPr>
        <w:t>165</w:t>
      </w:r>
      <w:r>
        <w:rPr>
          <w:snapToGrid w:val="0"/>
        </w:rPr>
        <w:t>.</w:t>
      </w:r>
      <w:r>
        <w:rPr>
          <w:snapToGrid w:val="0"/>
        </w:rPr>
        <w:tab/>
        <w:t>Proof of ownership or occupancy</w:t>
      </w:r>
      <w:bookmarkEnd w:id="38"/>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 No. 25 of 2012 s. 53.]</w:t>
      </w:r>
    </w:p>
    <w:p>
      <w:pPr>
        <w:pStyle w:val="Ednotesection"/>
      </w:pPr>
      <w:r>
        <w:t>[</w:t>
      </w:r>
      <w:r>
        <w:rPr>
          <w:b/>
          <w:bCs/>
        </w:rPr>
        <w:t>166.</w:t>
      </w:r>
      <w:r>
        <w:tab/>
        <w:t>Deleted by No. 25 of 2012 s. 54.]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Ednotesection"/>
        <w:ind w:left="0" w:firstLine="0"/>
        <w:outlineLvl w:val="1"/>
        <w:rPr>
          <w:bCs/>
        </w:rPr>
      </w:pPr>
      <w:r>
        <w:t>[</w:t>
      </w:r>
      <w:r>
        <w:rPr>
          <w:bCs/>
        </w:rPr>
        <w:t>Ninth Schedule deleted by No. 25 of 2012 s. 55.]</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4" w:bottom="3544" w:left="2404" w:header="720" w:footer="3379" w:gutter="0"/>
          <w:cols w:space="720"/>
          <w:noEndnote/>
          <w:docGrid w:linePitch="326"/>
        </w:sectPr>
      </w:pPr>
    </w:p>
    <w:p>
      <w:pPr>
        <w:pStyle w:val="nHeading2"/>
      </w:pPr>
      <w:bookmarkStart w:id="39" w:name="_Toc454877961"/>
      <w:bookmarkStart w:id="40" w:name="_Toc454893543"/>
      <w:r>
        <w:t>Notes</w:t>
      </w:r>
      <w:bookmarkEnd w:id="39"/>
      <w:bookmarkEnd w:id="40"/>
    </w:p>
    <w:p>
      <w:pPr>
        <w:pStyle w:val="nSubsection"/>
      </w:pPr>
      <w:r>
        <w:rPr>
          <w:vertAlign w:val="superscript"/>
        </w:rPr>
        <w:t>1</w:t>
      </w:r>
      <w:r>
        <w:tab/>
        <w:t xml:space="preserve">This reprint is a compilation as at 1 July 2016 of the </w:t>
      </w:r>
      <w:r>
        <w:rPr>
          <w:i/>
          <w:noProof/>
        </w:rPr>
        <w:t>Metropolitan Water Supply, Sewerage, and Drainage Act 1909</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spacing w:before="160" w:after="80"/>
        <w:rPr>
          <w:snapToGrid w:val="0"/>
        </w:rPr>
      </w:pPr>
      <w:bookmarkStart w:id="41" w:name="_Toc454893544"/>
      <w:r>
        <w:rPr>
          <w:snapToGrid w:val="0"/>
        </w:rPr>
        <w:t>Compilation table</w:t>
      </w:r>
      <w:bookmarkEnd w:id="4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rPr>
          <w:trHeight w:val="2742"/>
        </w:trP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2" w:name="_Toc454893545"/>
      <w:r>
        <w:t>Provisions that have not come into operation</w:t>
      </w:r>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r>
              <w:rPr>
                <w:snapToGrid w:val="0"/>
                <w:vertAlign w:val="superscript"/>
              </w:rPr>
              <w:t> 11</w:t>
            </w:r>
          </w:p>
        </w:tc>
        <w:tc>
          <w:tcPr>
            <w:tcW w:w="1135" w:type="dxa"/>
            <w:tcBorders>
              <w:top w:val="single" w:sz="8" w:space="0" w:color="auto"/>
              <w:bottom w:val="single" w:sz="8" w:space="0" w:color="auto"/>
            </w:tcBorders>
            <w:shd w:val="clear" w:color="auto" w:fill="auto"/>
          </w:tcPr>
          <w:p>
            <w:pPr>
              <w:pStyle w:val="nTable"/>
              <w:spacing w:after="40"/>
              <w:rPr>
                <w:snapToGrid w:val="0"/>
              </w:rPr>
            </w:pPr>
            <w:r>
              <w:rPr>
                <w:snapToGrid w:val="0"/>
              </w:rPr>
              <w:t>25 of 2012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3 Sep 2012</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11</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34 and 39(2) had not come into operation.  They read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p>
    <w:p>
      <w:pPr>
        <w:pStyle w:val="nzHeading5"/>
      </w:pPr>
      <w:r>
        <w:rPr>
          <w:rStyle w:val="CharSectno"/>
        </w:rPr>
        <w:t>34</w:t>
      </w:r>
      <w:r>
        <w:t>.</w:t>
      </w:r>
      <w:r>
        <w:tab/>
        <w:t>Section 16 amended</w:t>
      </w:r>
    </w:p>
    <w:p>
      <w:pPr>
        <w:pStyle w:val="nzSubsection"/>
      </w:pPr>
      <w:r>
        <w:tab/>
      </w:r>
      <w:r>
        <w:tab/>
        <w:t>In section 16(c) delete “Act” and insert:</w:t>
      </w:r>
    </w:p>
    <w:p>
      <w:pPr>
        <w:pStyle w:val="BlankOpen"/>
      </w:pPr>
    </w:p>
    <w:p>
      <w:pPr>
        <w:pStyle w:val="nzSubsection"/>
      </w:pPr>
      <w:r>
        <w:tab/>
      </w:r>
      <w:r>
        <w:tab/>
        <w:t>act</w:t>
      </w:r>
    </w:p>
    <w:p>
      <w:pPr>
        <w:pStyle w:val="nzHeading5"/>
      </w:pPr>
      <w:r>
        <w:rPr>
          <w:rStyle w:val="CharSectno"/>
        </w:rPr>
        <w:t>39</w:t>
      </w:r>
      <w:r>
        <w:t>.</w:t>
      </w:r>
      <w:r>
        <w:tab/>
        <w:t>Section 57B amended</w:t>
      </w: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nSubsection"/>
      </w:pPr>
      <w:r>
        <w:tab/>
        <w:t>The sections that they seek to amend have been changed by Reprint 10.</w:t>
      </w:r>
    </w:p>
    <w:p/>
    <w:p>
      <w:pPr>
        <w:sectPr>
          <w:headerReference w:type="even" r:id="rId28"/>
          <w:headerReference w:type="default" r:id="rId29"/>
          <w:headerReference w:type="first" r:id="rId30"/>
          <w:pgSz w:w="11907" w:h="16840" w:code="9"/>
          <w:pgMar w:top="2376" w:right="2404" w:bottom="3544" w:left="2404" w:header="709" w:footer="3380" w:gutter="0"/>
          <w:cols w:space="720"/>
          <w:noEndnote/>
          <w:docGrid w:linePitch="326"/>
        </w:sectPr>
      </w:pPr>
    </w:p>
    <w:p>
      <w:pPr>
        <w:pStyle w:val="nHeading2"/>
        <w:rPr>
          <w:sz w:val="28"/>
        </w:rPr>
      </w:pPr>
      <w:bookmarkStart w:id="44" w:name="_Toc454877964"/>
      <w:bookmarkStart w:id="45" w:name="_Toc454893546"/>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5(1)</w:t>
      </w:r>
    </w:p>
    <w:p>
      <w:pPr>
        <w:pStyle w:val="DefinedTerms"/>
      </w:pPr>
      <w:r>
        <w:t>catchment area</w:t>
      </w:r>
      <w:r>
        <w:tab/>
        <w:t>5(1)</w:t>
      </w:r>
    </w:p>
    <w:p>
      <w:pPr>
        <w:pStyle w:val="DefinedTerms"/>
      </w:pPr>
      <w:r>
        <w:t>CEO</w:t>
      </w:r>
      <w:r>
        <w:tab/>
        <w:t>5(1)</w:t>
      </w:r>
    </w:p>
    <w:p>
      <w:pPr>
        <w:pStyle w:val="DefinedTerms"/>
      </w:pPr>
      <w:r>
        <w:t>Department</w:t>
      </w:r>
      <w:r>
        <w:tab/>
        <w:t>5(1)</w:t>
      </w:r>
    </w:p>
    <w:p>
      <w:pPr>
        <w:pStyle w:val="DefinedTerms"/>
      </w:pPr>
      <w:r>
        <w:t>former Authority</w:t>
      </w:r>
      <w:r>
        <w:tab/>
        <w:t>5(1)</w:t>
      </w:r>
    </w:p>
    <w:p>
      <w:pPr>
        <w:pStyle w:val="DefinedTerms"/>
      </w:pPr>
      <w:r>
        <w:t>former Metropolitan Authority</w:t>
      </w:r>
      <w:r>
        <w:tab/>
        <w:t>5(1)</w:t>
      </w:r>
    </w:p>
    <w:p>
      <w:pPr>
        <w:pStyle w:val="DefinedTerms"/>
      </w:pPr>
      <w:r>
        <w:t>pollution area</w:t>
      </w:r>
      <w:r>
        <w:tab/>
        <w:t>5(1)</w:t>
      </w:r>
    </w:p>
    <w:p>
      <w:pPr>
        <w:pStyle w:val="DefinedTerms"/>
      </w:pPr>
      <w:r>
        <w:t>Registrar of Deeds</w:t>
      </w:r>
      <w:r>
        <w:tab/>
        <w:t>5(1)</w:t>
      </w:r>
    </w:p>
    <w:p>
      <w:pPr>
        <w:pStyle w:val="DefinedTerms"/>
      </w:pPr>
      <w:r>
        <w:t>this Act</w:t>
      </w:r>
      <w:r>
        <w:tab/>
        <w:t>5(3)</w:t>
      </w:r>
    </w:p>
    <w:p>
      <w:pPr>
        <w:pStyle w:val="DefinedTerms"/>
      </w:pPr>
      <w:r>
        <w:t>watercourse</w:t>
      </w:r>
      <w:r>
        <w:tab/>
        <w:t>5(1)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4150914"/>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D0DC-D0D9-45A8-9726-8968CB67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7000</Words>
  <Characters>30032</Characters>
  <Application>Microsoft Office Word</Application>
  <DocSecurity>0</DocSecurity>
  <Lines>1112</Lines>
  <Paragraphs>673</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1909 - 11-a0-00</dc:title>
  <dc:subject/>
  <dc:creator/>
  <cp:keywords/>
  <dc:description/>
  <cp:lastModifiedBy>svcMRProcess</cp:lastModifiedBy>
  <cp:revision>4</cp:revision>
  <cp:lastPrinted>2016-06-28T08:10:00Z</cp:lastPrinted>
  <dcterms:created xsi:type="dcterms:W3CDTF">2016-07-04T04:00:00Z</dcterms:created>
  <dcterms:modified xsi:type="dcterms:W3CDTF">2016-07-04T04:00:00Z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AsAtDate">
    <vt:lpwstr>01 Jul 2016</vt:lpwstr>
  </property>
  <property fmtid="{D5CDD505-2E9C-101B-9397-08002B2CF9AE}" pid="9" name="Suffix">
    <vt:lpwstr>11-a0-00</vt:lpwstr>
  </property>
  <property fmtid="{D5CDD505-2E9C-101B-9397-08002B2CF9AE}" pid="10" name="CommencementDate">
    <vt:lpwstr>20160701</vt:lpwstr>
  </property>
</Properties>
</file>