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566"/>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_Toc455395409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_Toc455395410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_Toc455395411 \h </w:instrText>
      </w:r>
      <w:r>
        <w:fldChar w:fldCharType="separate"/>
      </w:r>
      <w:r>
        <w:t>2</w:t>
      </w:r>
      <w:r>
        <w:fldChar w:fldCharType="end"/>
      </w:r>
    </w:p>
    <w:p>
      <w:pPr>
        <w:pStyle w:val="TOC8"/>
        <w:rPr>
          <w:rFonts w:asciiTheme="minorHAnsi" w:eastAsiaTheme="minorEastAsia" w:hAnsiTheme="minorHAnsi" w:cstheme="minorBidi"/>
          <w:szCs w:val="22"/>
        </w:rPr>
      </w:pPr>
      <w:r>
        <w:t>3A.</w:t>
      </w:r>
      <w:r>
        <w:tab/>
        <w:t>Eligible community organisations</w:t>
      </w:r>
      <w:r>
        <w:tab/>
      </w:r>
      <w:r>
        <w:fldChar w:fldCharType="begin"/>
      </w:r>
      <w:r>
        <w:instrText xml:space="preserve"> PAGEREF _Toc455395412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Insurance Commission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Commission and the board of commissioners</w:t>
      </w:r>
    </w:p>
    <w:p>
      <w:pPr>
        <w:pStyle w:val="TOC8"/>
        <w:rPr>
          <w:rFonts w:asciiTheme="minorHAnsi" w:eastAsiaTheme="minorEastAsia" w:hAnsiTheme="minorHAnsi" w:cstheme="minorBidi"/>
          <w:szCs w:val="22"/>
        </w:rPr>
      </w:pPr>
      <w:r>
        <w:t>4</w:t>
      </w:r>
      <w:r>
        <w:rPr>
          <w:snapToGrid w:val="0"/>
        </w:rPr>
        <w:t>.</w:t>
      </w:r>
      <w:r>
        <w:rPr>
          <w:snapToGrid w:val="0"/>
        </w:rPr>
        <w:tab/>
        <w:t>Insurance Commission of Western Australia: corporate identity and status</w:t>
      </w:r>
      <w:r>
        <w:tab/>
      </w:r>
      <w:r>
        <w:fldChar w:fldCharType="begin"/>
      </w:r>
      <w:r>
        <w:instrText xml:space="preserve"> PAGEREF _Toc455395415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Agent of Crown</w:t>
      </w:r>
      <w:r>
        <w:tab/>
      </w:r>
      <w:r>
        <w:fldChar w:fldCharType="begin"/>
      </w:r>
      <w:r>
        <w:instrText xml:space="preserve"> PAGEREF _Toc455395416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of commissioners</w:t>
      </w:r>
      <w:r>
        <w:tab/>
      </w:r>
      <w:r>
        <w:fldChar w:fldCharType="begin"/>
      </w:r>
      <w:r>
        <w:instrText xml:space="preserve"> PAGEREF _Toc455395417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the Commission</w:t>
      </w:r>
    </w:p>
    <w:p>
      <w:pPr>
        <w:pStyle w:val="TOC8"/>
        <w:rPr>
          <w:rFonts w:asciiTheme="minorHAnsi" w:eastAsiaTheme="minorEastAsia" w:hAnsiTheme="minorHAnsi" w:cstheme="minorBidi"/>
          <w:szCs w:val="22"/>
        </w:rPr>
      </w:pPr>
      <w:r>
        <w:t>6</w:t>
      </w:r>
      <w:r>
        <w:rPr>
          <w:snapToGrid w:val="0"/>
        </w:rPr>
        <w:t>.</w:t>
      </w:r>
      <w:r>
        <w:rPr>
          <w:snapToGrid w:val="0"/>
        </w:rPr>
        <w:tab/>
        <w:t>Functions</w:t>
      </w:r>
      <w:r>
        <w:tab/>
      </w:r>
      <w:r>
        <w:fldChar w:fldCharType="begin"/>
      </w:r>
      <w:r>
        <w:instrText xml:space="preserve"> PAGEREF _Toc455395419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w:t>
      </w:r>
      <w:r>
        <w:tab/>
      </w:r>
      <w:r>
        <w:fldChar w:fldCharType="begin"/>
      </w:r>
      <w:r>
        <w:instrText xml:space="preserve"> PAGEREF _Toc455395420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 to act efficiently and economically</w:t>
      </w:r>
      <w:r>
        <w:tab/>
      </w:r>
      <w:r>
        <w:fldChar w:fldCharType="begin"/>
      </w:r>
      <w:r>
        <w:instrText xml:space="preserve"> PAGEREF _Toc455395421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w:t>
      </w:r>
      <w:r>
        <w:tab/>
      </w:r>
      <w:r>
        <w:fldChar w:fldCharType="begin"/>
      </w:r>
      <w:r>
        <w:instrText xml:space="preserve"> PAGEREF _Toc455395422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Directions by Minister</w:t>
      </w:r>
      <w:r>
        <w:tab/>
      </w:r>
      <w:r>
        <w:fldChar w:fldCharType="begin"/>
      </w:r>
      <w:r>
        <w:instrText xml:space="preserve"> PAGEREF _Toc455395423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Minister to have access to information</w:t>
      </w:r>
      <w:r>
        <w:tab/>
      </w:r>
      <w:r>
        <w:fldChar w:fldCharType="begin"/>
      </w:r>
      <w:r>
        <w:instrText xml:space="preserve"> PAGEREF _Toc455395424 \h </w:instrText>
      </w:r>
      <w:r>
        <w:fldChar w:fldCharType="separate"/>
      </w:r>
      <w:r>
        <w:t>11</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Confidential information</w:t>
      </w:r>
      <w:r>
        <w:tab/>
      </w:r>
      <w:r>
        <w:fldChar w:fldCharType="begin"/>
      </w:r>
      <w:r>
        <w:instrText xml:space="preserve"> PAGEREF _Toc455395425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 of the Commission</w:t>
      </w:r>
    </w:p>
    <w:p>
      <w:pPr>
        <w:pStyle w:val="TOC8"/>
        <w:rPr>
          <w:rFonts w:asciiTheme="minorHAnsi" w:eastAsiaTheme="minorEastAsia" w:hAnsiTheme="minorHAnsi" w:cstheme="minorBidi"/>
          <w:szCs w:val="22"/>
        </w:rPr>
      </w:pPr>
      <w:r>
        <w:t>11</w:t>
      </w:r>
      <w:r>
        <w:rPr>
          <w:snapToGrid w:val="0"/>
        </w:rPr>
        <w:t>.</w:t>
      </w:r>
      <w:r>
        <w:rPr>
          <w:snapToGrid w:val="0"/>
        </w:rPr>
        <w:tab/>
        <w:t>Managing director</w:t>
      </w:r>
      <w:r>
        <w:tab/>
      </w:r>
      <w:r>
        <w:fldChar w:fldCharType="begin"/>
      </w:r>
      <w:r>
        <w:instrText xml:space="preserve"> PAGEREF _Toc455395427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Appointment of staff and consultants</w:t>
      </w:r>
      <w:r>
        <w:tab/>
      </w:r>
      <w:r>
        <w:fldChar w:fldCharType="begin"/>
      </w:r>
      <w:r>
        <w:instrText xml:space="preserve"> PAGEREF _Toc455395428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Status of managing director and officers and employees of Commission</w:t>
      </w:r>
      <w:r>
        <w:tab/>
      </w:r>
      <w:r>
        <w:fldChar w:fldCharType="begin"/>
      </w:r>
      <w:r>
        <w:instrText xml:space="preserve"> PAGEREF _Toc455395429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Use of staff and facilities of departments and instrumentalities</w:t>
      </w:r>
      <w:r>
        <w:tab/>
      </w:r>
      <w:r>
        <w:fldChar w:fldCharType="begin"/>
      </w:r>
      <w:r>
        <w:instrText xml:space="preserve"> PAGEREF _Toc455395430 \h </w:instrText>
      </w:r>
      <w:r>
        <w:fldChar w:fldCharType="separate"/>
      </w:r>
      <w:r>
        <w:t>15</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Use of staff and facilities of an insurer</w:t>
      </w:r>
      <w:r>
        <w:tab/>
      </w:r>
      <w:r>
        <w:fldChar w:fldCharType="begin"/>
      </w:r>
      <w:r>
        <w:instrText xml:space="preserve"> PAGEREF _Toc455395431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Superannuation</w:t>
      </w:r>
      <w:r>
        <w:tab/>
      </w:r>
      <w:r>
        <w:fldChar w:fldCharType="begin"/>
      </w:r>
      <w:r>
        <w:instrText xml:space="preserve"> PAGEREF _Toc455395432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3A — Strategic development plan and statement of corporate intent</w:t>
      </w:r>
    </w:p>
    <w:p>
      <w:pPr>
        <w:pStyle w:val="TOC8"/>
        <w:rPr>
          <w:rFonts w:asciiTheme="minorHAnsi" w:eastAsiaTheme="minorEastAsia" w:hAnsiTheme="minorHAnsi" w:cstheme="minorBidi"/>
          <w:szCs w:val="22"/>
        </w:rPr>
      </w:pPr>
      <w:r>
        <w:t>14A.</w:t>
      </w:r>
      <w:r>
        <w:tab/>
        <w:t>Duty to observe policy instruments</w:t>
      </w:r>
      <w:r>
        <w:tab/>
      </w:r>
      <w:r>
        <w:fldChar w:fldCharType="begin"/>
      </w:r>
      <w:r>
        <w:instrText xml:space="preserve"> PAGEREF _Toc455395434 \h </w:instrText>
      </w:r>
      <w:r>
        <w:fldChar w:fldCharType="separate"/>
      </w:r>
      <w:r>
        <w:t>16</w:t>
      </w:r>
      <w:r>
        <w:fldChar w:fldCharType="end"/>
      </w:r>
    </w:p>
    <w:p>
      <w:pPr>
        <w:pStyle w:val="TOC8"/>
        <w:rPr>
          <w:rFonts w:asciiTheme="minorHAnsi" w:eastAsiaTheme="minorEastAsia" w:hAnsiTheme="minorHAnsi" w:cstheme="minorBidi"/>
          <w:szCs w:val="22"/>
        </w:rPr>
      </w:pPr>
      <w:r>
        <w:t>14B.</w:t>
      </w:r>
      <w:r>
        <w:tab/>
        <w:t>Strategic development plan and statement of corporate intent</w:t>
      </w:r>
      <w:r>
        <w:tab/>
      </w:r>
      <w:r>
        <w:fldChar w:fldCharType="begin"/>
      </w:r>
      <w:r>
        <w:instrText xml:space="preserve"> PAGEREF _Toc455395435 \h </w:instrText>
      </w:r>
      <w:r>
        <w:fldChar w:fldCharType="separate"/>
      </w:r>
      <w:r>
        <w:t>16</w:t>
      </w:r>
      <w:r>
        <w:fldChar w:fldCharType="end"/>
      </w:r>
    </w:p>
    <w:p>
      <w:pPr>
        <w:pStyle w:val="TOC8"/>
        <w:rPr>
          <w:rFonts w:asciiTheme="minorHAnsi" w:eastAsiaTheme="minorEastAsia" w:hAnsiTheme="minorHAnsi" w:cstheme="minorBidi"/>
          <w:szCs w:val="22"/>
        </w:rPr>
      </w:pPr>
      <w:r>
        <w:t>14C.</w:t>
      </w:r>
      <w:r>
        <w:tab/>
        <w:t>Laying directions about strategic development plan or statement of corporate intent before Parliament</w:t>
      </w:r>
      <w:r>
        <w:tab/>
      </w:r>
      <w:r>
        <w:fldChar w:fldCharType="begin"/>
      </w:r>
      <w:r>
        <w:instrText xml:space="preserve"> PAGEREF _Toc455395436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Financial provisions relating to the Commission</w:t>
      </w:r>
    </w:p>
    <w:p>
      <w:pPr>
        <w:pStyle w:val="TOC6"/>
        <w:tabs>
          <w:tab w:val="right" w:leader="dot" w:pos="7077"/>
        </w:tabs>
        <w:rPr>
          <w:rFonts w:asciiTheme="minorHAnsi" w:eastAsiaTheme="minorEastAsia" w:hAnsiTheme="minorHAnsi" w:cstheme="minorBidi"/>
          <w:b w:val="0"/>
          <w:sz w:val="22"/>
          <w:szCs w:val="22"/>
        </w:rPr>
      </w:pPr>
      <w:r>
        <w:rPr>
          <w:snapToGrid w:val="0"/>
        </w:rPr>
        <w:t>Subdivision A — Income, expenditure and property of the Commission</w:t>
      </w:r>
    </w:p>
    <w:p>
      <w:pPr>
        <w:pStyle w:val="TOC8"/>
        <w:rPr>
          <w:rFonts w:asciiTheme="minorHAnsi" w:eastAsiaTheme="minorEastAsia" w:hAnsiTheme="minorHAnsi" w:cstheme="minorBidi"/>
          <w:szCs w:val="22"/>
        </w:rPr>
      </w:pPr>
      <w:r>
        <w:t>15</w:t>
      </w:r>
      <w:r>
        <w:rPr>
          <w:snapToGrid w:val="0"/>
        </w:rPr>
        <w:t>.</w:t>
      </w:r>
      <w:r>
        <w:rPr>
          <w:snapToGrid w:val="0"/>
        </w:rPr>
        <w:tab/>
        <w:t>Moneys available to Commission</w:t>
      </w:r>
      <w:r>
        <w:tab/>
      </w:r>
      <w:r>
        <w:fldChar w:fldCharType="begin"/>
      </w:r>
      <w:r>
        <w:instrText xml:space="preserve"> PAGEREF _Toc455395439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Establishment and composition of Funds</w:t>
      </w:r>
      <w:r>
        <w:tab/>
      </w:r>
      <w:r>
        <w:fldChar w:fldCharType="begin"/>
      </w:r>
      <w:r>
        <w:instrText xml:space="preserve"> PAGEREF _Toc455395440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Apportionment of income, expenditure and assets</w:t>
      </w:r>
      <w:r>
        <w:tab/>
      </w:r>
      <w:r>
        <w:fldChar w:fldCharType="begin"/>
      </w:r>
      <w:r>
        <w:instrText xml:space="preserve"> PAGEREF _Toc455395441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Transfer between Funds</w:t>
      </w:r>
      <w:r>
        <w:tab/>
      </w:r>
      <w:r>
        <w:fldChar w:fldCharType="begin"/>
      </w:r>
      <w:r>
        <w:instrText xml:space="preserve"> PAGEREF _Toc455395442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Aa — Investment and property management</w:t>
      </w:r>
    </w:p>
    <w:p>
      <w:pPr>
        <w:pStyle w:val="TOC8"/>
        <w:rPr>
          <w:rFonts w:asciiTheme="minorHAnsi" w:eastAsiaTheme="minorEastAsia" w:hAnsiTheme="minorHAnsi" w:cstheme="minorBidi"/>
          <w:szCs w:val="22"/>
        </w:rPr>
      </w:pPr>
      <w:r>
        <w:t>19</w:t>
      </w:r>
      <w:r>
        <w:rPr>
          <w:snapToGrid w:val="0"/>
        </w:rPr>
        <w:t>.</w:t>
      </w:r>
      <w:r>
        <w:rPr>
          <w:snapToGrid w:val="0"/>
        </w:rPr>
        <w:tab/>
        <w:t>Arrangements for appointment of investment managers</w:t>
      </w:r>
      <w:r>
        <w:tab/>
      </w:r>
      <w:r>
        <w:fldChar w:fldCharType="begin"/>
      </w:r>
      <w:r>
        <w:instrText xml:space="preserve"> PAGEREF _Toc455395444 \h </w:instrText>
      </w:r>
      <w:r>
        <w:fldChar w:fldCharType="separate"/>
      </w:r>
      <w:r>
        <w:t>24</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Investment policy</w:t>
      </w:r>
      <w:r>
        <w:tab/>
      </w:r>
      <w:r>
        <w:fldChar w:fldCharType="begin"/>
      </w:r>
      <w:r>
        <w:instrText xml:space="preserve"> PAGEREF _Toc455395445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Financial administration, audit and reporting</w:t>
      </w:r>
    </w:p>
    <w:p>
      <w:pPr>
        <w:pStyle w:val="TOC8"/>
        <w:rPr>
          <w:rFonts w:asciiTheme="minorHAnsi" w:eastAsiaTheme="minorEastAsia" w:hAnsiTheme="minorHAnsi" w:cstheme="minorBidi"/>
          <w:szCs w:val="22"/>
        </w:rPr>
      </w:pPr>
      <w: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r>
        <w:tab/>
      </w:r>
      <w:r>
        <w:fldChar w:fldCharType="begin"/>
      </w:r>
      <w:r>
        <w:instrText xml:space="preserve"> PAGEREF _Toc455395447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Provisions and reserves</w:t>
      </w:r>
      <w:r>
        <w:tab/>
      </w:r>
      <w:r>
        <w:fldChar w:fldCharType="begin"/>
      </w:r>
      <w:r>
        <w:instrText xml:space="preserve"> PAGEREF _Toc455395448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Accounts</w:t>
      </w:r>
      <w:r>
        <w:tab/>
      </w:r>
      <w:r>
        <w:fldChar w:fldCharType="begin"/>
      </w:r>
      <w:r>
        <w:instrText xml:space="preserve"> PAGEREF _Toc455395449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Annual reports, financial statements</w:t>
      </w:r>
      <w:r>
        <w:tab/>
      </w:r>
      <w:r>
        <w:fldChar w:fldCharType="begin"/>
      </w:r>
      <w:r>
        <w:instrText xml:space="preserve"> PAGEREF _Toc455395450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Borrowing and financial accommodation</w:t>
      </w:r>
    </w:p>
    <w:p>
      <w:pPr>
        <w:pStyle w:val="TOC8"/>
        <w:rPr>
          <w:rFonts w:asciiTheme="minorHAnsi" w:eastAsiaTheme="minorEastAsia" w:hAnsiTheme="minorHAnsi" w:cstheme="minorBidi"/>
          <w:szCs w:val="22"/>
        </w:rPr>
      </w:pPr>
      <w:r>
        <w:t>24</w:t>
      </w:r>
      <w:r>
        <w:rPr>
          <w:snapToGrid w:val="0"/>
        </w:rPr>
        <w:t>.</w:t>
      </w:r>
      <w:r>
        <w:rPr>
          <w:snapToGrid w:val="0"/>
        </w:rPr>
        <w:tab/>
        <w:t>Power to borrow etc., generally</w:t>
      </w:r>
      <w:r>
        <w:tab/>
      </w:r>
      <w:r>
        <w:fldChar w:fldCharType="begin"/>
      </w:r>
      <w:r>
        <w:instrText xml:space="preserve"> PAGEREF _Toc455395452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make provision to pay off loans</w:t>
      </w:r>
      <w:r>
        <w:tab/>
      </w:r>
      <w:r>
        <w:fldChar w:fldCharType="begin"/>
      </w:r>
      <w:r>
        <w:instrText xml:space="preserve"> PAGEREF _Toc455395453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Borrowing power, from Treasury sources</w:t>
      </w:r>
      <w:r>
        <w:tab/>
      </w:r>
      <w:r>
        <w:fldChar w:fldCharType="begin"/>
      </w:r>
      <w:r>
        <w:instrText xml:space="preserve"> PAGEREF _Toc455395454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Specific State guarantees</w:t>
      </w:r>
      <w:r>
        <w:tab/>
      </w:r>
      <w:r>
        <w:fldChar w:fldCharType="begin"/>
      </w:r>
      <w:r>
        <w:instrText xml:space="preserve"> PAGEREF _Toc455395455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D — Dividends to State</w:t>
      </w:r>
    </w:p>
    <w:p>
      <w:pPr>
        <w:pStyle w:val="TOC8"/>
        <w:rPr>
          <w:rFonts w:asciiTheme="minorHAnsi" w:eastAsiaTheme="minorEastAsia" w:hAnsiTheme="minorHAnsi" w:cstheme="minorBidi"/>
          <w:szCs w:val="22"/>
        </w:rPr>
      </w:pPr>
      <w:r>
        <w:t>28.</w:t>
      </w:r>
      <w:r>
        <w:tab/>
        <w:t>Interim dividend</w:t>
      </w:r>
      <w:r>
        <w:tab/>
      </w:r>
      <w:r>
        <w:fldChar w:fldCharType="begin"/>
      </w:r>
      <w:r>
        <w:instrText xml:space="preserve"> PAGEREF _Toc455395457 \h </w:instrText>
      </w:r>
      <w:r>
        <w:fldChar w:fldCharType="separate"/>
      </w:r>
      <w:r>
        <w:t>28</w:t>
      </w:r>
      <w:r>
        <w:fldChar w:fldCharType="end"/>
      </w:r>
    </w:p>
    <w:p>
      <w:pPr>
        <w:pStyle w:val="TOC8"/>
        <w:rPr>
          <w:rFonts w:asciiTheme="minorHAnsi" w:eastAsiaTheme="minorEastAsia" w:hAnsiTheme="minorHAnsi" w:cstheme="minorBidi"/>
          <w:szCs w:val="22"/>
        </w:rPr>
      </w:pPr>
      <w:r>
        <w:t>29.</w:t>
      </w:r>
      <w:r>
        <w:tab/>
        <w:t>Annual dividend</w:t>
      </w:r>
      <w:r>
        <w:tab/>
      </w:r>
      <w:r>
        <w:fldChar w:fldCharType="begin"/>
      </w:r>
      <w:r>
        <w:instrText xml:space="preserve"> PAGEREF _Toc455395458 \h </w:instrText>
      </w:r>
      <w:r>
        <w:fldChar w:fldCharType="separate"/>
      </w:r>
      <w:r>
        <w:t>29</w:t>
      </w:r>
      <w:r>
        <w:fldChar w:fldCharType="end"/>
      </w:r>
    </w:p>
    <w:p>
      <w:pPr>
        <w:pStyle w:val="TOC8"/>
        <w:rPr>
          <w:rFonts w:asciiTheme="minorHAnsi" w:eastAsiaTheme="minorEastAsia" w:hAnsiTheme="minorHAnsi" w:cstheme="minorBidi"/>
          <w:szCs w:val="22"/>
        </w:rPr>
      </w:pPr>
      <w:r>
        <w:t>30.</w:t>
      </w:r>
      <w:r>
        <w:tab/>
        <w:t>Provisions for s. 28 and 29</w:t>
      </w:r>
      <w:r>
        <w:tab/>
      </w:r>
      <w:r>
        <w:fldChar w:fldCharType="begin"/>
      </w:r>
      <w:r>
        <w:instrText xml:space="preserve"> PAGEREF _Toc455395459 \h </w:instrText>
      </w:r>
      <w:r>
        <w:fldChar w:fldCharType="separate"/>
      </w:r>
      <w:r>
        <w:t>31</w:t>
      </w:r>
      <w:r>
        <w:fldChar w:fldCharType="end"/>
      </w:r>
    </w:p>
    <w:p>
      <w:pPr>
        <w:pStyle w:val="TOC8"/>
        <w:rPr>
          <w:rFonts w:asciiTheme="minorHAnsi" w:eastAsiaTheme="minorEastAsia" w:hAnsiTheme="minorHAnsi" w:cstheme="minorBidi"/>
          <w:szCs w:val="22"/>
        </w:rPr>
      </w:pPr>
      <w:r>
        <w:t>31.</w:t>
      </w:r>
      <w:r>
        <w:tab/>
        <w:t xml:space="preserve">Transitional provisions for </w:t>
      </w:r>
      <w:r>
        <w:rPr>
          <w:i/>
        </w:rPr>
        <w:t>Insurance Commission of Western Australia Amendment Act 2013</w:t>
      </w:r>
      <w:r>
        <w:t>: interim dividends</w:t>
      </w:r>
      <w:r>
        <w:tab/>
      </w:r>
      <w:r>
        <w:fldChar w:fldCharType="begin"/>
      </w:r>
      <w:r>
        <w:instrText xml:space="preserve"> PAGEREF _Toc455395460 \h </w:instrText>
      </w:r>
      <w:r>
        <w:fldChar w:fldCharType="separate"/>
      </w:r>
      <w:r>
        <w:t>31</w:t>
      </w:r>
      <w:r>
        <w:fldChar w:fldCharType="end"/>
      </w:r>
    </w:p>
    <w:p>
      <w:pPr>
        <w:pStyle w:val="TOC8"/>
        <w:rPr>
          <w:rFonts w:asciiTheme="minorHAnsi" w:eastAsiaTheme="minorEastAsia" w:hAnsiTheme="minorHAnsi" w:cstheme="minorBidi"/>
          <w:szCs w:val="22"/>
        </w:rPr>
      </w:pPr>
      <w:r>
        <w:t>32.</w:t>
      </w:r>
      <w:r>
        <w:tab/>
        <w:t xml:space="preserve">Transitional provisions for </w:t>
      </w:r>
      <w:r>
        <w:rPr>
          <w:i/>
        </w:rPr>
        <w:t>Insurance Commission of Western Australia Amendment Act 2013</w:t>
      </w:r>
      <w:r>
        <w:t>: annual dividends</w:t>
      </w:r>
      <w:r>
        <w:tab/>
      </w:r>
      <w:r>
        <w:fldChar w:fldCharType="begin"/>
      </w:r>
      <w:r>
        <w:instrText xml:space="preserve"> PAGEREF _Toc455395461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42</w:t>
      </w:r>
      <w:r>
        <w:rPr>
          <w:snapToGrid w:val="0"/>
        </w:rPr>
        <w:t>.</w:t>
      </w:r>
      <w:r>
        <w:rPr>
          <w:snapToGrid w:val="0"/>
        </w:rPr>
        <w:tab/>
        <w:t>Secrecy</w:t>
      </w:r>
      <w:r>
        <w:tab/>
      </w:r>
      <w:r>
        <w:fldChar w:fldCharType="begin"/>
      </w:r>
      <w:r>
        <w:instrText xml:space="preserve"> PAGEREF _Toc455395463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Execution of documents and entry into contracts</w:t>
      </w:r>
      <w:r>
        <w:tab/>
      </w:r>
      <w:r>
        <w:fldChar w:fldCharType="begin"/>
      </w:r>
      <w:r>
        <w:instrText xml:space="preserve"> PAGEREF _Toc455395464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Exemption of certain public authorities from workers’ compensation insurance requirements</w:t>
      </w:r>
      <w:r>
        <w:tab/>
      </w:r>
      <w:r>
        <w:fldChar w:fldCharType="begin"/>
      </w:r>
      <w:r>
        <w:instrText xml:space="preserve"> PAGEREF _Toc455395465 \h </w:instrText>
      </w:r>
      <w:r>
        <w:fldChar w:fldCharType="separate"/>
      </w:r>
      <w:r>
        <w:t>36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Regulations</w:t>
      </w:r>
      <w:r>
        <w:tab/>
      </w:r>
      <w:r>
        <w:fldChar w:fldCharType="begin"/>
      </w:r>
      <w:r>
        <w:instrText xml:space="preserve"> PAGEREF _Toc455395466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 — Repeal, amendments, saving, validation and transitional</w:t>
      </w:r>
    </w:p>
    <w:p>
      <w:pPr>
        <w:pStyle w:val="TOC8"/>
        <w:rPr>
          <w:rFonts w:asciiTheme="minorHAnsi" w:eastAsiaTheme="minorEastAsia" w:hAnsiTheme="minorHAnsi" w:cstheme="minorBidi"/>
          <w:szCs w:val="22"/>
        </w:rPr>
      </w:pPr>
      <w:r>
        <w:t>46</w:t>
      </w:r>
      <w:r>
        <w:rPr>
          <w:snapToGrid w:val="0"/>
        </w:rPr>
        <w:t>.</w:t>
      </w:r>
      <w:r>
        <w:rPr>
          <w:snapToGrid w:val="0"/>
        </w:rPr>
        <w:tab/>
        <w:t>Repeal and amendments</w:t>
      </w:r>
      <w:r>
        <w:tab/>
      </w:r>
      <w:r>
        <w:fldChar w:fldCharType="begin"/>
      </w:r>
      <w:r>
        <w:instrText xml:space="preserve"> PAGEREF _Toc455395468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Saving, validation and transitional provisions</w:t>
      </w:r>
      <w:r>
        <w:tab/>
      </w:r>
      <w:r>
        <w:fldChar w:fldCharType="begin"/>
      </w:r>
      <w:r>
        <w:instrText xml:space="preserve"> PAGEREF _Toc455395469 \h </w:instrText>
      </w:r>
      <w:r>
        <w:fldChar w:fldCharType="separate"/>
      </w:r>
      <w:r>
        <w:t>37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Oversight by Public Accounts Committee</w:t>
      </w:r>
      <w:r>
        <w:tab/>
      </w:r>
      <w:r>
        <w:fldChar w:fldCharType="begin"/>
      </w:r>
      <w:r>
        <w:instrText xml:space="preserve"> PAGEREF _Toc455395470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commissioners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_Toc455395472 \h </w:instrText>
      </w:r>
      <w:r>
        <w:fldChar w:fldCharType="separate"/>
      </w:r>
      <w:r>
        <w:t>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Commissioners — terms and vacation of office</w:t>
      </w:r>
      <w:r>
        <w:tab/>
      </w:r>
      <w:r>
        <w:fldChar w:fldCharType="begin"/>
      </w:r>
      <w:r>
        <w:instrText xml:space="preserve"> PAGEREF _Toc455395473 \h </w:instrText>
      </w:r>
      <w:r>
        <w:fldChar w:fldCharType="separate"/>
      </w:r>
      <w:r>
        <w:t>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Alternate commissioners</w:t>
      </w:r>
      <w:r>
        <w:tab/>
      </w:r>
      <w:r>
        <w:fldChar w:fldCharType="begin"/>
      </w:r>
      <w:r>
        <w:instrText xml:space="preserve"> PAGEREF _Toc455395474 \h </w:instrText>
      </w:r>
      <w:r>
        <w:fldChar w:fldCharType="separate"/>
      </w:r>
      <w:r>
        <w:t>39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Chairman and deputy chairman — term and vacation of office</w:t>
      </w:r>
      <w:r>
        <w:tab/>
      </w:r>
      <w:r>
        <w:fldChar w:fldCharType="begin"/>
      </w:r>
      <w:r>
        <w:instrText xml:space="preserve"> PAGEREF _Toc455395475 \h </w:instrText>
      </w:r>
      <w:r>
        <w:fldChar w:fldCharType="separate"/>
      </w:r>
      <w:r>
        <w:t>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Disclosure of pecuniary interests</w:t>
      </w:r>
      <w:r>
        <w:tab/>
      </w:r>
      <w:r>
        <w:fldChar w:fldCharType="begin"/>
      </w:r>
      <w:r>
        <w:instrText xml:space="preserve"> PAGEREF _Toc455395476 \h </w:instrText>
      </w:r>
      <w:r>
        <w:fldChar w:fldCharType="separate"/>
      </w:r>
      <w:r>
        <w:t>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_Toc455395477 \h </w:instrText>
      </w:r>
      <w:r>
        <w:fldChar w:fldCharType="separate"/>
      </w:r>
      <w:r>
        <w:t>40</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Telephone and video meetings</w:t>
      </w:r>
      <w:r>
        <w:tab/>
      </w:r>
      <w:r>
        <w:fldChar w:fldCharType="begin"/>
      </w:r>
      <w:r>
        <w:instrText xml:space="preserve"> PAGEREF _Toc455395478 \h </w:instrText>
      </w:r>
      <w:r>
        <w:fldChar w:fldCharType="separate"/>
      </w:r>
      <w:r>
        <w:t>41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Committees</w:t>
      </w:r>
      <w:r>
        <w:tab/>
      </w:r>
      <w:r>
        <w:fldChar w:fldCharType="begin"/>
      </w:r>
      <w:r>
        <w:instrText xml:space="preserve"> PAGEREF _Toc455395479 \h </w:instrText>
      </w:r>
      <w:r>
        <w:fldChar w:fldCharType="separate"/>
      </w:r>
      <w:r>
        <w:t>41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_Toc455395480 \h </w:instrText>
      </w:r>
      <w:r>
        <w:fldChar w:fldCharType="separate"/>
      </w:r>
      <w:r>
        <w:t>41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Minutes of meetings etc.</w:t>
      </w:r>
      <w:r>
        <w:tab/>
      </w:r>
      <w:r>
        <w:fldChar w:fldCharType="begin"/>
      </w:r>
      <w:r>
        <w:instrText xml:space="preserve"> PAGEREF _Toc455395481 \h </w:instrText>
      </w:r>
      <w:r>
        <w:fldChar w:fldCharType="separate"/>
      </w:r>
      <w:r>
        <w:t>42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Leave of absence</w:t>
      </w:r>
      <w:r>
        <w:tab/>
      </w:r>
      <w:r>
        <w:fldChar w:fldCharType="begin"/>
      </w:r>
      <w:r>
        <w:instrText xml:space="preserve"> PAGEREF _Toc455395482 \h </w:instrText>
      </w:r>
      <w:r>
        <w:fldChar w:fldCharType="separate"/>
      </w:r>
      <w:r>
        <w:t>43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Board to determine own procedures</w:t>
      </w:r>
      <w:r>
        <w:tab/>
      </w:r>
      <w:r>
        <w:fldChar w:fldCharType="begin"/>
      </w:r>
      <w:r>
        <w:instrText xml:space="preserve"> PAGEREF _Toc455395483 \h </w:instrText>
      </w:r>
      <w:r>
        <w:fldChar w:fldCharType="separate"/>
      </w:r>
      <w:r>
        <w:t>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commissioners</w:t>
      </w:r>
      <w:r>
        <w:tab/>
      </w:r>
      <w:r>
        <w:fldChar w:fldCharType="begin"/>
      </w:r>
      <w:r>
        <w:instrText xml:space="preserve"> PAGEREF _Toc455395484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4 — Saving, validation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_Toc455395486 \h </w:instrText>
      </w:r>
      <w:r>
        <w:fldChar w:fldCharType="separate"/>
      </w:r>
      <w:r>
        <w:t>44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Transfer of assets, liabilities and records of MVIT</w:t>
      </w:r>
      <w:r>
        <w:tab/>
      </w:r>
      <w:r>
        <w:fldChar w:fldCharType="begin"/>
      </w:r>
      <w:r>
        <w:instrText xml:space="preserve"> PAGEREF _Toc455395487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MVIT insurance policies</w:t>
      </w:r>
      <w:r>
        <w:tab/>
      </w:r>
      <w:r>
        <w:fldChar w:fldCharType="begin"/>
      </w:r>
      <w:r>
        <w:instrText xml:space="preserve"> PAGEREF _Toc455395488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instruments, determinations and proceedings generally</w:t>
      </w:r>
      <w:r>
        <w:tab/>
      </w:r>
      <w:r>
        <w:fldChar w:fldCharType="begin"/>
      </w:r>
      <w:r>
        <w:instrText xml:space="preserve"> PAGEREF _Toc455395489 \h </w:instrText>
      </w:r>
      <w:r>
        <w:fldChar w:fldCharType="separate"/>
      </w:r>
      <w:r>
        <w:t>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Final reports on operations of MVIT</w:t>
      </w:r>
      <w:r>
        <w:tab/>
      </w:r>
      <w:r>
        <w:fldChar w:fldCharType="begin"/>
      </w:r>
      <w:r>
        <w:instrText xml:space="preserve"> PAGEREF _Toc455395490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Assessment as to sufficiency of income</w:t>
      </w:r>
      <w:r>
        <w:tab/>
      </w:r>
      <w:r>
        <w:fldChar w:fldCharType="begin"/>
      </w:r>
      <w:r>
        <w:instrText xml:space="preserve"> PAGEREF _Toc455395491 \h </w:instrText>
      </w:r>
      <w:r>
        <w:fldChar w:fldCharType="separate"/>
      </w:r>
      <w:r>
        <w:t>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Employment of current officers</w:t>
      </w:r>
      <w:r>
        <w:tab/>
      </w:r>
      <w:r>
        <w:fldChar w:fldCharType="begin"/>
      </w:r>
      <w:r>
        <w:instrText xml:space="preserve"> PAGEREF _Toc455395492 \h </w:instrText>
      </w:r>
      <w:r>
        <w:fldChar w:fldCharType="separate"/>
      </w:r>
      <w:r>
        <w:t>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References to MVIT in laws</w:t>
      </w:r>
      <w:r>
        <w:tab/>
      </w:r>
      <w:r>
        <w:fldChar w:fldCharType="begin"/>
      </w:r>
      <w:r>
        <w:instrText xml:space="preserve"> PAGEREF _Toc455395493 \h </w:instrText>
      </w:r>
      <w:r>
        <w:fldChar w:fldCharType="separate"/>
      </w:r>
      <w:r>
        <w:t>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of assets, liabilities and records of SGIO</w:t>
      </w:r>
      <w:r>
        <w:tab/>
      </w:r>
      <w:r>
        <w:fldChar w:fldCharType="begin"/>
      </w:r>
      <w:r>
        <w:instrText xml:space="preserve"> PAGEREF _Toc455395494 \h </w:instrText>
      </w:r>
      <w:r>
        <w:fldChar w:fldCharType="separate"/>
      </w:r>
      <w:r>
        <w:t>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SGIO insurance policies and re</w:t>
      </w:r>
      <w:r>
        <w:rPr>
          <w:snapToGrid w:val="0"/>
        </w:rPr>
        <w:noBreakHyphen/>
        <w:t>insurance</w:t>
      </w:r>
      <w:r>
        <w:tab/>
      </w:r>
      <w:r>
        <w:fldChar w:fldCharType="begin"/>
      </w:r>
      <w:r>
        <w:instrText xml:space="preserve"> PAGEREF _Toc455395495 \h </w:instrText>
      </w:r>
      <w:r>
        <w:fldChar w:fldCharType="separate"/>
      </w:r>
      <w:r>
        <w:t>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Agents and brokers</w:t>
      </w:r>
      <w:r>
        <w:tab/>
      </w:r>
      <w:r>
        <w:fldChar w:fldCharType="begin"/>
      </w:r>
      <w:r>
        <w:instrText xml:space="preserve"> PAGEREF _Toc455395496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 instruments and proceedings generally</w:t>
      </w:r>
      <w:r>
        <w:tab/>
      </w:r>
      <w:r>
        <w:fldChar w:fldCharType="begin"/>
      </w:r>
      <w:r>
        <w:instrText xml:space="preserve"> PAGEREF _Toc455395497 \h </w:instrText>
      </w:r>
      <w:r>
        <w:fldChar w:fldCharType="separate"/>
      </w:r>
      <w:r>
        <w:t>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Final reports on operations of SGIO</w:t>
      </w:r>
      <w:r>
        <w:tab/>
      </w:r>
      <w:r>
        <w:fldChar w:fldCharType="begin"/>
      </w:r>
      <w:r>
        <w:instrText xml:space="preserve"> PAGEREF _Toc455395498 \h </w:instrText>
      </w:r>
      <w:r>
        <w:fldChar w:fldCharType="separate"/>
      </w:r>
      <w:r>
        <w:t>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outstanding obligations to be met by Commission</w:t>
      </w:r>
      <w:r>
        <w:tab/>
      </w:r>
      <w:r>
        <w:fldChar w:fldCharType="begin"/>
      </w:r>
      <w:r>
        <w:instrText xml:space="preserve"> PAGEREF _Toc455395499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Saving of presumption and protection</w:t>
      </w:r>
      <w:r>
        <w:tab/>
      </w:r>
      <w:r>
        <w:fldChar w:fldCharType="begin"/>
      </w:r>
      <w:r>
        <w:instrText xml:space="preserve"> PAGEREF _Toc455395500 \h </w:instrText>
      </w:r>
      <w:r>
        <w:fldChar w:fldCharType="separate"/>
      </w:r>
      <w:r>
        <w:t>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Employment of staff of SGIO</w:t>
      </w:r>
      <w:r>
        <w:tab/>
      </w:r>
      <w:r>
        <w:fldChar w:fldCharType="begin"/>
      </w:r>
      <w:r>
        <w:instrText xml:space="preserve"> PAGEREF _Toc455395501 \h </w:instrText>
      </w:r>
      <w:r>
        <w:fldChar w:fldCharType="separate"/>
      </w:r>
      <w:r>
        <w:t>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References to the SGIO in laws</w:t>
      </w:r>
      <w:r>
        <w:tab/>
      </w:r>
      <w:r>
        <w:fldChar w:fldCharType="begin"/>
      </w:r>
      <w:r>
        <w:instrText xml:space="preserve"> PAGEREF _Toc455395502 \h </w:instrText>
      </w:r>
      <w:r>
        <w:fldChar w:fldCharType="separate"/>
      </w:r>
      <w:r>
        <w:t>52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Apportionment of assets and liabilities</w:t>
      </w:r>
      <w:r>
        <w:tab/>
      </w:r>
      <w:r>
        <w:fldChar w:fldCharType="begin"/>
      </w:r>
      <w:r>
        <w:instrText xml:space="preserve"> PAGEREF _Toc455395503 \h </w:instrText>
      </w:r>
      <w:r>
        <w:fldChar w:fldCharType="separate"/>
      </w:r>
      <w:r>
        <w:t>53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Interpretation Act to apply</w:t>
      </w:r>
      <w:r>
        <w:tab/>
      </w:r>
      <w:r>
        <w:fldChar w:fldCharType="begin"/>
      </w:r>
      <w:r>
        <w:instrText xml:space="preserve"> PAGEREF _Toc455395504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_Toc455395506 \h </w:instrText>
      </w:r>
      <w:r>
        <w:fldChar w:fldCharType="separate"/>
      </w:r>
      <w:r>
        <w:t>54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_Toc455395507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w:t>
      </w:r>
    </w:p>
    <w:p>
      <w:pPr>
        <w:pStyle w:val="LongTitle"/>
        <w:spacing w:before="240"/>
        <w:rPr>
          <w:snapToGrid w:val="0"/>
        </w:rPr>
      </w:pPr>
      <w:r>
        <w:rPr>
          <w:snapToGrid w:val="0"/>
        </w:rPr>
        <w:t xml:space="preserve">An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3" w:name="_Toc381880215"/>
      <w:bookmarkStart w:id="4" w:name="_Toc381880316"/>
      <w:bookmarkStart w:id="5" w:name="_Toc381881036"/>
      <w:bookmarkStart w:id="6" w:name="_Toc419713675"/>
      <w:bookmarkStart w:id="7" w:name="_Toc419713775"/>
      <w:bookmarkStart w:id="8" w:name="_Toc426464921"/>
      <w:bookmarkStart w:id="9" w:name="_Toc448483619"/>
      <w:bookmarkStart w:id="10" w:name="_Toc450913361"/>
      <w:bookmarkStart w:id="11" w:name="_Toc455395307"/>
      <w:bookmarkStart w:id="12" w:name="_Toc45539540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spacing w:before="180"/>
        <w:rPr>
          <w:snapToGrid w:val="0"/>
        </w:rPr>
      </w:pPr>
      <w:bookmarkStart w:id="13" w:name="_Toc381881037"/>
      <w:bookmarkStart w:id="14" w:name="_Toc455395409"/>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15" w:name="_Toc381881038"/>
      <w:bookmarkStart w:id="16" w:name="_Toc455395410"/>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17" w:name="_Toc381881039"/>
      <w:bookmarkStart w:id="18" w:name="_Toc455395411"/>
      <w:r>
        <w:rPr>
          <w:rStyle w:val="CharSectno"/>
        </w:rPr>
        <w:t>3</w:t>
      </w:r>
      <w:r>
        <w:rPr>
          <w:snapToGrid w:val="0"/>
        </w:rPr>
        <w:t>.</w:t>
      </w:r>
      <w:r>
        <w:rPr>
          <w:snapToGrid w:val="0"/>
        </w:rPr>
        <w:tab/>
        <w:t>Terms used</w:t>
      </w:r>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spacing w:before="70"/>
      </w:pPr>
      <w:r>
        <w:tab/>
        <w:t>(a)</w:t>
      </w:r>
      <w:r>
        <w:tab/>
        <w:t xml:space="preserve">an association incorporated, or taken to be incorporated, under the </w:t>
      </w:r>
      <w:r>
        <w:rPr>
          <w:i/>
        </w:rPr>
        <w:t>Associations Incorporation Act 2015</w:t>
      </w:r>
      <w:r>
        <w:t>; or</w:t>
      </w:r>
    </w:p>
    <w:p>
      <w:pPr>
        <w:pStyle w:val="Defpara"/>
        <w:spacing w:before="70"/>
      </w:pPr>
      <w:r>
        <w:tab/>
        <w:t>(b)</w:t>
      </w:r>
      <w:r>
        <w:tab/>
        <w:t xml:space="preserve">a company limited by guarantee that is registered under section 150 of the </w:t>
      </w:r>
      <w:r>
        <w:rPr>
          <w:i/>
        </w:rPr>
        <w:t>Corporations Act 2001</w:t>
      </w:r>
      <w:r>
        <w:t xml:space="preserve"> of the Commonwealth; or</w:t>
      </w:r>
    </w:p>
    <w:p>
      <w:pPr>
        <w:pStyle w:val="Defpara"/>
        <w:spacing w:before="70"/>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spacing w:before="70"/>
      </w:pPr>
      <w:r>
        <w:tab/>
        <w:t>(a)</w:t>
      </w:r>
      <w:r>
        <w:tab/>
        <w:t>a department of the Public Service; or</w:t>
      </w:r>
    </w:p>
    <w:p>
      <w:pPr>
        <w:pStyle w:val="Defpara"/>
        <w:spacing w:before="70"/>
      </w:pPr>
      <w:r>
        <w:tab/>
        <w:t>(b)</w:t>
      </w:r>
      <w:r>
        <w:tab/>
        <w:t>an agency, authority or instrumentality of the Crown in right of the State; or</w:t>
      </w:r>
    </w:p>
    <w:p>
      <w:pPr>
        <w:pStyle w:val="Defpara"/>
        <w:spacing w:before="70"/>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No. 30 of 2015 s. 219.] </w:t>
      </w:r>
    </w:p>
    <w:p>
      <w:pPr>
        <w:pStyle w:val="Heading5"/>
      </w:pPr>
      <w:bookmarkStart w:id="19" w:name="_Toc381881040"/>
      <w:bookmarkStart w:id="20" w:name="_Toc455395412"/>
      <w:r>
        <w:rPr>
          <w:rStyle w:val="CharSectno"/>
        </w:rPr>
        <w:t>3A</w:t>
      </w:r>
      <w:r>
        <w:t>.</w:t>
      </w:r>
      <w:r>
        <w:tab/>
        <w:t>Eligible community organisations</w:t>
      </w:r>
      <w:bookmarkEnd w:id="19"/>
      <w:bookmarkEnd w:id="20"/>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21" w:name="_Toc381880220"/>
      <w:bookmarkStart w:id="22" w:name="_Toc381880321"/>
      <w:bookmarkStart w:id="23" w:name="_Toc381881041"/>
      <w:bookmarkStart w:id="24" w:name="_Toc419713680"/>
      <w:bookmarkStart w:id="25" w:name="_Toc419713780"/>
      <w:bookmarkStart w:id="26" w:name="_Toc426464926"/>
      <w:bookmarkStart w:id="27" w:name="_Toc448483624"/>
      <w:bookmarkStart w:id="28" w:name="_Toc450913366"/>
      <w:bookmarkStart w:id="29" w:name="_Toc455395312"/>
      <w:bookmarkStart w:id="30" w:name="_Toc455395413"/>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21"/>
      <w:bookmarkEnd w:id="22"/>
      <w:bookmarkEnd w:id="23"/>
      <w:bookmarkEnd w:id="24"/>
      <w:bookmarkEnd w:id="25"/>
      <w:bookmarkEnd w:id="26"/>
      <w:bookmarkEnd w:id="27"/>
      <w:bookmarkEnd w:id="28"/>
      <w:bookmarkEnd w:id="29"/>
      <w:bookmarkEnd w:id="30"/>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31" w:name="_Toc381880221"/>
      <w:bookmarkStart w:id="32" w:name="_Toc381880322"/>
      <w:bookmarkStart w:id="33" w:name="_Toc381881042"/>
      <w:bookmarkStart w:id="34" w:name="_Toc419713681"/>
      <w:bookmarkStart w:id="35" w:name="_Toc419713781"/>
      <w:bookmarkStart w:id="36" w:name="_Toc426464927"/>
      <w:bookmarkStart w:id="37" w:name="_Toc448483625"/>
      <w:bookmarkStart w:id="38" w:name="_Toc450913367"/>
      <w:bookmarkStart w:id="39" w:name="_Toc455395313"/>
      <w:bookmarkStart w:id="40" w:name="_Toc455395414"/>
      <w:r>
        <w:rPr>
          <w:rStyle w:val="CharDivNo"/>
        </w:rPr>
        <w:t>Division 1</w:t>
      </w:r>
      <w:r>
        <w:rPr>
          <w:snapToGrid w:val="0"/>
        </w:rPr>
        <w:t> — </w:t>
      </w:r>
      <w:r>
        <w:rPr>
          <w:rStyle w:val="CharDivText"/>
        </w:rPr>
        <w:t>The Commission and the board of commissioners</w:t>
      </w:r>
      <w:bookmarkEnd w:id="31"/>
      <w:bookmarkEnd w:id="32"/>
      <w:bookmarkEnd w:id="33"/>
      <w:bookmarkEnd w:id="34"/>
      <w:bookmarkEnd w:id="35"/>
      <w:bookmarkEnd w:id="36"/>
      <w:bookmarkEnd w:id="37"/>
      <w:bookmarkEnd w:id="38"/>
      <w:bookmarkEnd w:id="39"/>
      <w:bookmarkEnd w:id="40"/>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41" w:name="_Toc381881043"/>
      <w:bookmarkStart w:id="42" w:name="_Toc455395415"/>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41"/>
      <w:bookmarkEnd w:id="42"/>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snapToGrid w:val="0"/>
        </w:rPr>
        <w:t xml:space="preserve"> 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43" w:name="_Toc381881044"/>
      <w:bookmarkStart w:id="44" w:name="_Toc455395416"/>
      <w:r>
        <w:rPr>
          <w:rStyle w:val="CharSectno"/>
        </w:rPr>
        <w:t>4A</w:t>
      </w:r>
      <w:r>
        <w:rPr>
          <w:snapToGrid w:val="0"/>
        </w:rPr>
        <w:t>.</w:t>
      </w:r>
      <w:r>
        <w:rPr>
          <w:snapToGrid w:val="0"/>
        </w:rPr>
        <w:tab/>
        <w:t>Agent of Crown</w:t>
      </w:r>
      <w:bookmarkEnd w:id="43"/>
      <w:bookmarkEnd w:id="44"/>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45" w:name="_Toc381881045"/>
      <w:bookmarkStart w:id="46" w:name="_Toc455395417"/>
      <w:r>
        <w:rPr>
          <w:rStyle w:val="CharSectno"/>
        </w:rPr>
        <w:t>5</w:t>
      </w:r>
      <w:r>
        <w:rPr>
          <w:snapToGrid w:val="0"/>
        </w:rPr>
        <w:t>.</w:t>
      </w:r>
      <w:r>
        <w:rPr>
          <w:snapToGrid w:val="0"/>
        </w:rPr>
        <w:tab/>
        <w:t>Board of commissioners</w:t>
      </w:r>
      <w:bookmarkEnd w:id="45"/>
      <w:bookmarkEnd w:id="46"/>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47" w:name="_Toc381880225"/>
      <w:bookmarkStart w:id="48" w:name="_Toc381880326"/>
      <w:bookmarkStart w:id="49" w:name="_Toc381881046"/>
      <w:bookmarkStart w:id="50" w:name="_Toc419713685"/>
      <w:bookmarkStart w:id="51" w:name="_Toc419713785"/>
      <w:bookmarkStart w:id="52" w:name="_Toc426464931"/>
      <w:bookmarkStart w:id="53" w:name="_Toc448483629"/>
      <w:bookmarkStart w:id="54" w:name="_Toc450913371"/>
      <w:bookmarkStart w:id="55" w:name="_Toc455395317"/>
      <w:bookmarkStart w:id="56" w:name="_Toc455395418"/>
      <w:r>
        <w:rPr>
          <w:rStyle w:val="CharDivNo"/>
        </w:rPr>
        <w:t>Division 2</w:t>
      </w:r>
      <w:r>
        <w:rPr>
          <w:snapToGrid w:val="0"/>
        </w:rPr>
        <w:t> — </w:t>
      </w:r>
      <w:r>
        <w:rPr>
          <w:rStyle w:val="CharDivText"/>
        </w:rPr>
        <w:t>Functions and powers of the Commission</w:t>
      </w:r>
      <w:bookmarkEnd w:id="47"/>
      <w:bookmarkEnd w:id="48"/>
      <w:bookmarkEnd w:id="49"/>
      <w:bookmarkEnd w:id="50"/>
      <w:bookmarkEnd w:id="51"/>
      <w:bookmarkEnd w:id="52"/>
      <w:bookmarkEnd w:id="53"/>
      <w:bookmarkEnd w:id="54"/>
      <w:bookmarkEnd w:id="55"/>
      <w:bookmarkEnd w:id="56"/>
      <w:r>
        <w:rPr>
          <w:rStyle w:val="CharDivText"/>
        </w:rPr>
        <w:t xml:space="preserve"> </w:t>
      </w:r>
    </w:p>
    <w:p>
      <w:pPr>
        <w:pStyle w:val="Heading5"/>
        <w:rPr>
          <w:snapToGrid w:val="0"/>
        </w:rPr>
      </w:pPr>
      <w:bookmarkStart w:id="57" w:name="_Toc381881047"/>
      <w:bookmarkStart w:id="58" w:name="_Toc455395419"/>
      <w:r>
        <w:rPr>
          <w:rStyle w:val="CharSectno"/>
        </w:rPr>
        <w:t>6</w:t>
      </w:r>
      <w:r>
        <w:rPr>
          <w:snapToGrid w:val="0"/>
        </w:rPr>
        <w:t>.</w:t>
      </w:r>
      <w:r>
        <w:rPr>
          <w:snapToGrid w:val="0"/>
        </w:rPr>
        <w:tab/>
        <w:t>Functions</w:t>
      </w:r>
      <w:bookmarkEnd w:id="57"/>
      <w:bookmarkEnd w:id="58"/>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No. 8 of 2016 s. 40.] </w:t>
      </w:r>
    </w:p>
    <w:p>
      <w:pPr>
        <w:pStyle w:val="Heading5"/>
        <w:rPr>
          <w:snapToGrid w:val="0"/>
        </w:rPr>
      </w:pPr>
      <w:bookmarkStart w:id="59" w:name="_Toc381881048"/>
      <w:bookmarkStart w:id="60" w:name="_Toc455395420"/>
      <w:r>
        <w:rPr>
          <w:rStyle w:val="CharSectno"/>
        </w:rPr>
        <w:t>7</w:t>
      </w:r>
      <w:r>
        <w:rPr>
          <w:snapToGrid w:val="0"/>
        </w:rPr>
        <w:t>.</w:t>
      </w:r>
      <w:r>
        <w:rPr>
          <w:snapToGrid w:val="0"/>
        </w:rPr>
        <w:tab/>
        <w:t>Powers</w:t>
      </w:r>
      <w:bookmarkEnd w:id="59"/>
      <w:bookmarkEnd w:id="60"/>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spacing w:before="80"/>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spacing w:before="70"/>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spacing w:before="70"/>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spacing w:before="70"/>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spacing w:before="70"/>
        <w:rPr>
          <w:snapToGrid w:val="0"/>
        </w:rPr>
      </w:pPr>
      <w:r>
        <w:rPr>
          <w:snapToGrid w:val="0"/>
        </w:rPr>
        <w:tab/>
        <w:t>(a)</w:t>
      </w:r>
      <w:r>
        <w:rPr>
          <w:snapToGrid w:val="0"/>
        </w:rPr>
        <w:tab/>
        <w:t>power to invest in real or personal property of any kind; and</w:t>
      </w:r>
    </w:p>
    <w:p>
      <w:pPr>
        <w:pStyle w:val="Indenta"/>
        <w:spacing w:before="70"/>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61" w:name="_Toc381881049"/>
      <w:bookmarkStart w:id="62" w:name="_Toc455395421"/>
      <w:r>
        <w:rPr>
          <w:rStyle w:val="CharSectno"/>
        </w:rPr>
        <w:t>8</w:t>
      </w:r>
      <w:r>
        <w:rPr>
          <w:snapToGrid w:val="0"/>
        </w:rPr>
        <w:t>.</w:t>
      </w:r>
      <w:r>
        <w:rPr>
          <w:snapToGrid w:val="0"/>
        </w:rPr>
        <w:tab/>
        <w:t>Commission to act efficiently and economically</w:t>
      </w:r>
      <w:bookmarkEnd w:id="61"/>
      <w:bookmarkEnd w:id="62"/>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63" w:name="_Toc381881050"/>
      <w:bookmarkStart w:id="64" w:name="_Toc455395422"/>
      <w:r>
        <w:rPr>
          <w:rStyle w:val="CharSectno"/>
        </w:rPr>
        <w:t>9</w:t>
      </w:r>
      <w:r>
        <w:rPr>
          <w:snapToGrid w:val="0"/>
        </w:rPr>
        <w:t>.</w:t>
      </w:r>
      <w:r>
        <w:rPr>
          <w:snapToGrid w:val="0"/>
        </w:rPr>
        <w:tab/>
        <w:t>Delegation</w:t>
      </w:r>
      <w:bookmarkEnd w:id="63"/>
      <w:bookmarkEnd w:id="64"/>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80"/>
        <w:ind w:left="890" w:hanging="890"/>
      </w:pPr>
      <w:r>
        <w:tab/>
        <w:t>[Section 9 amended by No. 49 of 1992 s. 28.]</w:t>
      </w:r>
    </w:p>
    <w:p>
      <w:pPr>
        <w:pStyle w:val="Heading5"/>
        <w:rPr>
          <w:snapToGrid w:val="0"/>
        </w:rPr>
      </w:pPr>
      <w:bookmarkStart w:id="65" w:name="_Toc381881051"/>
      <w:bookmarkStart w:id="66" w:name="_Toc455395423"/>
      <w:r>
        <w:rPr>
          <w:rStyle w:val="CharSectno"/>
        </w:rPr>
        <w:t>10</w:t>
      </w:r>
      <w:r>
        <w:rPr>
          <w:snapToGrid w:val="0"/>
        </w:rPr>
        <w:t>.</w:t>
      </w:r>
      <w:r>
        <w:rPr>
          <w:snapToGrid w:val="0"/>
        </w:rPr>
        <w:tab/>
        <w:t>Directions by Minister</w:t>
      </w:r>
      <w:bookmarkEnd w:id="65"/>
      <w:bookmarkEnd w:id="66"/>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10 amended by No. 5 of 1989 s. 16; No. 41 of 1996 s. 3; No. 77 of 2006 Sch. 1 cl. 91(1).]</w:t>
      </w:r>
    </w:p>
    <w:p>
      <w:pPr>
        <w:pStyle w:val="Heading5"/>
        <w:rPr>
          <w:snapToGrid w:val="0"/>
        </w:rPr>
      </w:pPr>
      <w:bookmarkStart w:id="67" w:name="_Toc381881052"/>
      <w:bookmarkStart w:id="68" w:name="_Toc455395424"/>
      <w:r>
        <w:rPr>
          <w:rStyle w:val="CharSectno"/>
        </w:rPr>
        <w:t>10A</w:t>
      </w:r>
      <w:r>
        <w:rPr>
          <w:snapToGrid w:val="0"/>
        </w:rPr>
        <w:t>.</w:t>
      </w:r>
      <w:r>
        <w:rPr>
          <w:snapToGrid w:val="0"/>
        </w:rPr>
        <w:tab/>
        <w:t>Minister to have access to information</w:t>
      </w:r>
      <w:bookmarkEnd w:id="67"/>
      <w:bookmarkEnd w:id="6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spacing w:before="90"/>
        <w:ind w:left="890" w:hanging="890"/>
      </w:pPr>
      <w:r>
        <w:tab/>
        <w:t xml:space="preserve">[Section 10A inserted by No. 45 of 1996 s. 12.] </w:t>
      </w:r>
    </w:p>
    <w:p>
      <w:pPr>
        <w:pStyle w:val="Heading5"/>
        <w:rPr>
          <w:snapToGrid w:val="0"/>
        </w:rPr>
      </w:pPr>
      <w:bookmarkStart w:id="69" w:name="_Toc381881053"/>
      <w:bookmarkStart w:id="70" w:name="_Toc455395425"/>
      <w:r>
        <w:rPr>
          <w:rStyle w:val="CharSectno"/>
        </w:rPr>
        <w:t>10B</w:t>
      </w:r>
      <w:r>
        <w:rPr>
          <w:snapToGrid w:val="0"/>
        </w:rPr>
        <w:t>.</w:t>
      </w:r>
      <w:r>
        <w:rPr>
          <w:snapToGrid w:val="0"/>
        </w:rPr>
        <w:tab/>
        <w:t>Confidential information</w:t>
      </w:r>
      <w:bookmarkEnd w:id="69"/>
      <w:bookmarkEnd w:id="70"/>
      <w:r>
        <w:rPr>
          <w:snapToGrid w:val="0"/>
        </w:rPr>
        <w:t xml:space="preserve"> </w:t>
      </w:r>
    </w:p>
    <w:p>
      <w:pPr>
        <w:pStyle w:val="Subsection"/>
        <w:spacing w:before="14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4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4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90"/>
        <w:ind w:left="890" w:hanging="890"/>
      </w:pPr>
      <w:r>
        <w:tab/>
        <w:t xml:space="preserve">[Section 10B inserted by No. 45 of 1996 s. 12.] </w:t>
      </w:r>
    </w:p>
    <w:p>
      <w:pPr>
        <w:pStyle w:val="Heading3"/>
        <w:rPr>
          <w:snapToGrid w:val="0"/>
        </w:rPr>
      </w:pPr>
      <w:bookmarkStart w:id="71" w:name="_Toc381880233"/>
      <w:bookmarkStart w:id="72" w:name="_Toc381880334"/>
      <w:bookmarkStart w:id="73" w:name="_Toc381881054"/>
      <w:bookmarkStart w:id="74" w:name="_Toc419713693"/>
      <w:bookmarkStart w:id="75" w:name="_Toc419713793"/>
      <w:bookmarkStart w:id="76" w:name="_Toc426464939"/>
      <w:bookmarkStart w:id="77" w:name="_Toc448483637"/>
      <w:bookmarkStart w:id="78" w:name="_Toc450913379"/>
      <w:bookmarkStart w:id="79" w:name="_Toc455395325"/>
      <w:bookmarkStart w:id="80" w:name="_Toc455395426"/>
      <w:r>
        <w:rPr>
          <w:rStyle w:val="CharDivNo"/>
        </w:rPr>
        <w:t>Division 3</w:t>
      </w:r>
      <w:r>
        <w:rPr>
          <w:snapToGrid w:val="0"/>
        </w:rPr>
        <w:t> — </w:t>
      </w:r>
      <w:r>
        <w:rPr>
          <w:rStyle w:val="CharDivText"/>
        </w:rPr>
        <w:t>Staff of the Commission</w:t>
      </w:r>
      <w:bookmarkEnd w:id="71"/>
      <w:bookmarkEnd w:id="72"/>
      <w:bookmarkEnd w:id="73"/>
      <w:bookmarkEnd w:id="74"/>
      <w:bookmarkEnd w:id="75"/>
      <w:bookmarkEnd w:id="76"/>
      <w:bookmarkEnd w:id="77"/>
      <w:bookmarkEnd w:id="78"/>
      <w:bookmarkEnd w:id="79"/>
      <w:bookmarkEnd w:id="80"/>
      <w:r>
        <w:rPr>
          <w:rStyle w:val="CharDivText"/>
        </w:rPr>
        <w:t xml:space="preserve"> </w:t>
      </w:r>
    </w:p>
    <w:p>
      <w:pPr>
        <w:pStyle w:val="Heading5"/>
        <w:spacing w:before="200"/>
        <w:rPr>
          <w:snapToGrid w:val="0"/>
        </w:rPr>
      </w:pPr>
      <w:bookmarkStart w:id="81" w:name="_Toc381881055"/>
      <w:bookmarkStart w:id="82" w:name="_Toc455395427"/>
      <w:r>
        <w:rPr>
          <w:rStyle w:val="CharSectno"/>
        </w:rPr>
        <w:t>11</w:t>
      </w:r>
      <w:r>
        <w:rPr>
          <w:snapToGrid w:val="0"/>
        </w:rPr>
        <w:t>.</w:t>
      </w:r>
      <w:r>
        <w:rPr>
          <w:snapToGrid w:val="0"/>
        </w:rPr>
        <w:tab/>
        <w:t>Managing director</w:t>
      </w:r>
      <w:bookmarkEnd w:id="81"/>
      <w:bookmarkEnd w:id="82"/>
      <w:r>
        <w:rPr>
          <w:snapToGrid w:val="0"/>
        </w:rPr>
        <w:t xml:space="preserve"> </w:t>
      </w:r>
    </w:p>
    <w:p>
      <w:pPr>
        <w:pStyle w:val="Subsection"/>
        <w:spacing w:before="140"/>
        <w:rPr>
          <w:snapToGrid w:val="0"/>
        </w:rPr>
      </w:pPr>
      <w:r>
        <w:rPr>
          <w:snapToGrid w:val="0"/>
        </w:rPr>
        <w:tab/>
        <w:t>(1)</w:t>
      </w:r>
      <w:r>
        <w:rPr>
          <w:snapToGrid w:val="0"/>
        </w:rPr>
        <w:tab/>
        <w:t>There shall be an office of managing director of the Commission.</w:t>
      </w:r>
    </w:p>
    <w:p>
      <w:pPr>
        <w:pStyle w:val="Subsection"/>
        <w:spacing w:before="140"/>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spacing w:before="140"/>
        <w:rPr>
          <w:snapToGrid w:val="0"/>
        </w:rPr>
      </w:pPr>
      <w:r>
        <w:rPr>
          <w:snapToGrid w:val="0"/>
        </w:rPr>
        <w:tab/>
        <w:t>(3)</w:t>
      </w:r>
      <w:r>
        <w:rPr>
          <w:snapToGrid w:val="0"/>
        </w:rPr>
        <w:tab/>
        <w:t>The managing director shall be appointed by the Governor on the nomination of the Minister.</w:t>
      </w:r>
    </w:p>
    <w:p>
      <w:pPr>
        <w:pStyle w:val="Subsection"/>
        <w:spacing w:before="140"/>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spacing w:before="140"/>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spacing w:before="140"/>
        <w:rPr>
          <w:snapToGrid w:val="0"/>
        </w:rPr>
      </w:pPr>
      <w:r>
        <w:rPr>
          <w:snapToGrid w:val="0"/>
        </w:rPr>
        <w:tab/>
        <w:t>(6)</w:t>
      </w:r>
      <w:r>
        <w:rPr>
          <w:snapToGrid w:val="0"/>
        </w:rPr>
        <w:tab/>
        <w:t>The managing director may resign his office by notice in writing delivered to the Minister.</w:t>
      </w:r>
    </w:p>
    <w:p>
      <w:pPr>
        <w:pStyle w:val="Subsection"/>
        <w:spacing w:before="140"/>
        <w:rPr>
          <w:snapToGrid w:val="0"/>
        </w:rPr>
      </w:pPr>
      <w:r>
        <w:rPr>
          <w:snapToGrid w:val="0"/>
        </w:rPr>
        <w:tab/>
        <w:t>(7)</w:t>
      </w:r>
      <w:r>
        <w:rPr>
          <w:snapToGrid w:val="0"/>
        </w:rPr>
        <w:tab/>
        <w:t>The managing director may be removed from office by the Governor for any reason mentioned in clause 2(4) of Schedule 1.</w:t>
      </w:r>
    </w:p>
    <w:p>
      <w:pPr>
        <w:pStyle w:val="Subsection"/>
        <w:spacing w:before="140"/>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spacing w:before="100"/>
      </w:pPr>
      <w:r>
        <w:tab/>
        <w:t>[Section 11 amended by No. 39 of 2010 s. 89.]</w:t>
      </w:r>
    </w:p>
    <w:p>
      <w:pPr>
        <w:pStyle w:val="Heading5"/>
        <w:spacing w:before="200"/>
        <w:rPr>
          <w:snapToGrid w:val="0"/>
        </w:rPr>
      </w:pPr>
      <w:bookmarkStart w:id="83" w:name="_Toc381881056"/>
      <w:bookmarkStart w:id="84" w:name="_Toc455395428"/>
      <w:r>
        <w:rPr>
          <w:rStyle w:val="CharSectno"/>
        </w:rPr>
        <w:t>12</w:t>
      </w:r>
      <w:r>
        <w:rPr>
          <w:snapToGrid w:val="0"/>
        </w:rPr>
        <w:t>.</w:t>
      </w:r>
      <w:r>
        <w:rPr>
          <w:snapToGrid w:val="0"/>
        </w:rPr>
        <w:tab/>
        <w:t>Appointment of staff and consultants</w:t>
      </w:r>
      <w:bookmarkEnd w:id="83"/>
      <w:bookmarkEnd w:id="84"/>
      <w:r>
        <w:rPr>
          <w:snapToGrid w:val="0"/>
        </w:rPr>
        <w:t xml:space="preserve"> </w:t>
      </w:r>
    </w:p>
    <w:p>
      <w:pPr>
        <w:pStyle w:val="Subsection"/>
        <w:spacing w:before="140"/>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r>
        <w:rPr>
          <w:snapToGrid w:val="0"/>
        </w:rPr>
        <w:t>to carry out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the board considers necessary to enable the Commission to carry out its functions.</w:t>
      </w:r>
    </w:p>
    <w:p>
      <w:pPr>
        <w:pStyle w:val="Footnotesection"/>
      </w:pPr>
      <w:r>
        <w:tab/>
        <w:t>[Section 12 amended by No. 45 of 1996 s. 13.]</w:t>
      </w:r>
    </w:p>
    <w:p>
      <w:pPr>
        <w:pStyle w:val="Heading5"/>
        <w:rPr>
          <w:snapToGrid w:val="0"/>
        </w:rPr>
      </w:pPr>
      <w:bookmarkStart w:id="85" w:name="_Toc381881057"/>
      <w:bookmarkStart w:id="86" w:name="_Toc455395429"/>
      <w:r>
        <w:rPr>
          <w:rStyle w:val="CharSectno"/>
        </w:rPr>
        <w:t>12A</w:t>
      </w:r>
      <w:r>
        <w:rPr>
          <w:snapToGrid w:val="0"/>
        </w:rPr>
        <w:t>.</w:t>
      </w:r>
      <w:r>
        <w:rPr>
          <w:snapToGrid w:val="0"/>
        </w:rPr>
        <w:tab/>
        <w:t>Status of managing director and officers and employees of Commission</w:t>
      </w:r>
      <w:bookmarkEnd w:id="85"/>
      <w:bookmarkEnd w:id="86"/>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87" w:name="_Toc381881058"/>
      <w:bookmarkStart w:id="88" w:name="_Toc455395430"/>
      <w:r>
        <w:rPr>
          <w:rStyle w:val="CharSectno"/>
        </w:rPr>
        <w:t>13</w:t>
      </w:r>
      <w:r>
        <w:rPr>
          <w:snapToGrid w:val="0"/>
        </w:rPr>
        <w:t>.</w:t>
      </w:r>
      <w:r>
        <w:rPr>
          <w:snapToGrid w:val="0"/>
        </w:rPr>
        <w:tab/>
        <w:t>Use of staff and facilities of departments and instrumentalities</w:t>
      </w:r>
      <w:bookmarkEnd w:id="87"/>
      <w:bookmarkEnd w:id="88"/>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89" w:name="_Toc381881059"/>
      <w:bookmarkStart w:id="90" w:name="_Toc455395431"/>
      <w:r>
        <w:rPr>
          <w:rStyle w:val="CharSectno"/>
        </w:rPr>
        <w:t>13A</w:t>
      </w:r>
      <w:r>
        <w:rPr>
          <w:snapToGrid w:val="0"/>
        </w:rPr>
        <w:t>.</w:t>
      </w:r>
      <w:r>
        <w:rPr>
          <w:snapToGrid w:val="0"/>
        </w:rPr>
        <w:tab/>
        <w:t>Use of staff and facilities of an insurer</w:t>
      </w:r>
      <w:bookmarkEnd w:id="89"/>
      <w:bookmarkEnd w:id="90"/>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91" w:name="_Toc381881060"/>
      <w:bookmarkStart w:id="92" w:name="_Toc455395432"/>
      <w:r>
        <w:rPr>
          <w:rStyle w:val="CharSectno"/>
        </w:rPr>
        <w:t>14</w:t>
      </w:r>
      <w:r>
        <w:rPr>
          <w:snapToGrid w:val="0"/>
        </w:rPr>
        <w:t>.</w:t>
      </w:r>
      <w:r>
        <w:rPr>
          <w:snapToGrid w:val="0"/>
        </w:rPr>
        <w:tab/>
        <w:t>Superannuation</w:t>
      </w:r>
      <w:bookmarkEnd w:id="91"/>
      <w:bookmarkEnd w:id="92"/>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spacing w:before="280"/>
      </w:pPr>
      <w:bookmarkStart w:id="93" w:name="_Toc381880240"/>
      <w:bookmarkStart w:id="94" w:name="_Toc381880341"/>
      <w:bookmarkStart w:id="95" w:name="_Toc381881061"/>
      <w:bookmarkStart w:id="96" w:name="_Toc419713700"/>
      <w:bookmarkStart w:id="97" w:name="_Toc419713800"/>
      <w:bookmarkStart w:id="98" w:name="_Toc426464946"/>
      <w:bookmarkStart w:id="99" w:name="_Toc448483644"/>
      <w:bookmarkStart w:id="100" w:name="_Toc450913386"/>
      <w:bookmarkStart w:id="101" w:name="_Toc455395332"/>
      <w:bookmarkStart w:id="102" w:name="_Toc455395433"/>
      <w:r>
        <w:rPr>
          <w:rStyle w:val="CharDivNo"/>
        </w:rPr>
        <w:t>Division 3A</w:t>
      </w:r>
      <w:r>
        <w:t> — </w:t>
      </w:r>
      <w:r>
        <w:rPr>
          <w:rStyle w:val="CharDivText"/>
        </w:rPr>
        <w:t>Strategic development plan and statement of corporate intent</w:t>
      </w:r>
      <w:bookmarkEnd w:id="93"/>
      <w:bookmarkEnd w:id="94"/>
      <w:bookmarkEnd w:id="95"/>
      <w:bookmarkEnd w:id="96"/>
      <w:bookmarkEnd w:id="97"/>
      <w:bookmarkEnd w:id="98"/>
      <w:bookmarkEnd w:id="99"/>
      <w:bookmarkEnd w:id="100"/>
      <w:bookmarkEnd w:id="101"/>
      <w:bookmarkEnd w:id="102"/>
    </w:p>
    <w:p>
      <w:pPr>
        <w:pStyle w:val="Footnoteheading"/>
      </w:pPr>
      <w:r>
        <w:tab/>
        <w:t>[Heading inserted by No. 28 of 2006 s. 425.]</w:t>
      </w:r>
    </w:p>
    <w:p>
      <w:pPr>
        <w:pStyle w:val="Heading5"/>
      </w:pPr>
      <w:bookmarkStart w:id="103" w:name="_Toc381881062"/>
      <w:bookmarkStart w:id="104" w:name="_Toc455395434"/>
      <w:r>
        <w:rPr>
          <w:rStyle w:val="CharSectno"/>
        </w:rPr>
        <w:t>14A</w:t>
      </w:r>
      <w:r>
        <w:t>.</w:t>
      </w:r>
      <w:r>
        <w:tab/>
        <w:t>Duty to observe policy instruments</w:t>
      </w:r>
      <w:bookmarkEnd w:id="103"/>
      <w:bookmarkEnd w:id="104"/>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14A inserted by No. 28 of 2006 s. 425.]</w:t>
      </w:r>
    </w:p>
    <w:p>
      <w:pPr>
        <w:pStyle w:val="Heading5"/>
      </w:pPr>
      <w:bookmarkStart w:id="105" w:name="_Toc381881063"/>
      <w:bookmarkStart w:id="106" w:name="_Toc455395435"/>
      <w:r>
        <w:rPr>
          <w:rStyle w:val="CharSectno"/>
        </w:rPr>
        <w:t>14B</w:t>
      </w:r>
      <w:r>
        <w:t>.</w:t>
      </w:r>
      <w:r>
        <w:tab/>
        <w:t>Strategic development plan and statement of corporate intent</w:t>
      </w:r>
      <w:bookmarkEnd w:id="105"/>
      <w:bookmarkEnd w:id="106"/>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keepLines/>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r>
        <w:tab/>
        <w:t>[Section 14B inserted by No. 28 of 2006 s. 425.]</w:t>
      </w:r>
    </w:p>
    <w:p>
      <w:pPr>
        <w:pStyle w:val="Heading5"/>
        <w:spacing w:before="240"/>
      </w:pPr>
      <w:bookmarkStart w:id="107" w:name="_Toc381881064"/>
      <w:bookmarkStart w:id="108" w:name="_Toc455395436"/>
      <w:r>
        <w:rPr>
          <w:rStyle w:val="CharSectno"/>
        </w:rPr>
        <w:t>14C</w:t>
      </w:r>
      <w:r>
        <w:t>.</w:t>
      </w:r>
      <w:r>
        <w:tab/>
        <w:t>Laying directions about strategic development plan or statement of corporate intent before Parliament</w:t>
      </w:r>
      <w:bookmarkEnd w:id="107"/>
      <w:bookmarkEnd w:id="108"/>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109" w:name="_Toc381880244"/>
      <w:bookmarkStart w:id="110" w:name="_Toc381880345"/>
      <w:bookmarkStart w:id="111" w:name="_Toc381881065"/>
      <w:bookmarkStart w:id="112" w:name="_Toc419713704"/>
      <w:bookmarkStart w:id="113" w:name="_Toc419713804"/>
      <w:bookmarkStart w:id="114" w:name="_Toc426464950"/>
      <w:bookmarkStart w:id="115" w:name="_Toc448483648"/>
      <w:bookmarkStart w:id="116" w:name="_Toc450913390"/>
      <w:bookmarkStart w:id="117" w:name="_Toc455395336"/>
      <w:bookmarkStart w:id="118" w:name="_Toc455395437"/>
      <w:r>
        <w:rPr>
          <w:rStyle w:val="CharDivNo"/>
        </w:rPr>
        <w:t>Division 4</w:t>
      </w:r>
      <w:r>
        <w:rPr>
          <w:snapToGrid w:val="0"/>
        </w:rPr>
        <w:t> — </w:t>
      </w:r>
      <w:r>
        <w:rPr>
          <w:rStyle w:val="CharDivText"/>
        </w:rPr>
        <w:t>Financial provisions relating to the Commission</w:t>
      </w:r>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4"/>
        <w:rPr>
          <w:snapToGrid w:val="0"/>
        </w:rPr>
      </w:pPr>
      <w:bookmarkStart w:id="119" w:name="_Toc381880245"/>
      <w:bookmarkStart w:id="120" w:name="_Toc381880346"/>
      <w:bookmarkStart w:id="121" w:name="_Toc381881066"/>
      <w:bookmarkStart w:id="122" w:name="_Toc419713705"/>
      <w:bookmarkStart w:id="123" w:name="_Toc419713805"/>
      <w:bookmarkStart w:id="124" w:name="_Toc426464951"/>
      <w:bookmarkStart w:id="125" w:name="_Toc448483649"/>
      <w:bookmarkStart w:id="126" w:name="_Toc450913391"/>
      <w:bookmarkStart w:id="127" w:name="_Toc455395337"/>
      <w:bookmarkStart w:id="128" w:name="_Toc455395438"/>
      <w:r>
        <w:rPr>
          <w:snapToGrid w:val="0"/>
        </w:rPr>
        <w:t>Subdivision A — Income, expenditure and property of the Commission</w:t>
      </w:r>
      <w:bookmarkEnd w:id="119"/>
      <w:bookmarkEnd w:id="120"/>
      <w:bookmarkEnd w:id="121"/>
      <w:bookmarkEnd w:id="122"/>
      <w:bookmarkEnd w:id="123"/>
      <w:bookmarkEnd w:id="124"/>
      <w:bookmarkEnd w:id="125"/>
      <w:bookmarkEnd w:id="126"/>
      <w:bookmarkEnd w:id="127"/>
      <w:bookmarkEnd w:id="128"/>
      <w:r>
        <w:rPr>
          <w:snapToGrid w:val="0"/>
        </w:rPr>
        <w:t xml:space="preserve"> </w:t>
      </w:r>
    </w:p>
    <w:p>
      <w:pPr>
        <w:pStyle w:val="Heading5"/>
        <w:rPr>
          <w:snapToGrid w:val="0"/>
        </w:rPr>
      </w:pPr>
      <w:bookmarkStart w:id="129" w:name="_Toc381881067"/>
      <w:bookmarkStart w:id="130" w:name="_Toc455395439"/>
      <w:r>
        <w:rPr>
          <w:rStyle w:val="CharSectno"/>
        </w:rPr>
        <w:t>15</w:t>
      </w:r>
      <w:r>
        <w:rPr>
          <w:snapToGrid w:val="0"/>
        </w:rPr>
        <w:t>.</w:t>
      </w:r>
      <w:r>
        <w:rPr>
          <w:snapToGrid w:val="0"/>
        </w:rPr>
        <w:tab/>
        <w:t>Moneys available to Commission</w:t>
      </w:r>
      <w:bookmarkEnd w:id="129"/>
      <w:bookmarkEnd w:id="130"/>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Ednotepara"/>
        <w:spacing w:before="80"/>
        <w:rPr>
          <w:snapToGrid w:val="0"/>
        </w:rPr>
      </w:pPr>
      <w:r>
        <w:tab/>
        <w:t>[(d)</w:t>
      </w:r>
      <w:r>
        <w:tab/>
        <w:t>deleted]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pPr>
      <w:r>
        <w:tab/>
        <w:t>[Section 15 amended by No. 45 of 1996 s. 14.]</w:t>
      </w:r>
    </w:p>
    <w:p>
      <w:pPr>
        <w:pStyle w:val="Heading5"/>
        <w:rPr>
          <w:snapToGrid w:val="0"/>
        </w:rPr>
      </w:pPr>
      <w:bookmarkStart w:id="131" w:name="_Toc381881068"/>
      <w:bookmarkStart w:id="132" w:name="_Toc455395440"/>
      <w:r>
        <w:rPr>
          <w:rStyle w:val="CharSectno"/>
        </w:rPr>
        <w:t>16</w:t>
      </w:r>
      <w:r>
        <w:rPr>
          <w:snapToGrid w:val="0"/>
        </w:rPr>
        <w:t>.</w:t>
      </w:r>
      <w:r>
        <w:rPr>
          <w:snapToGrid w:val="0"/>
        </w:rPr>
        <w:tab/>
        <w:t>Establishment and composition of Funds</w:t>
      </w:r>
      <w:bookmarkEnd w:id="131"/>
      <w:bookmarkEnd w:id="132"/>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pPr>
      <w:r>
        <w:tab/>
        <w:t>(b)</w:t>
      </w:r>
      <w:r>
        <w:tab/>
        <w:t>a fund to be called the “Motor Vehicle (Catastrophic Injuries)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pPr>
      <w:r>
        <w:tab/>
        <w:t>(3)</w:t>
      </w:r>
      <w:r>
        <w:tab/>
        <w:t>The Motor Vehicle (Catastrophic Injuries) Fund shall consist of — </w:t>
      </w:r>
    </w:p>
    <w:p>
      <w:pPr>
        <w:pStyle w:val="Indenta"/>
      </w:pPr>
      <w:r>
        <w:tab/>
        <w:t>(a)</w:t>
      </w:r>
      <w:r>
        <w:tab/>
        <w:t>moneys appropriated for, or derived from or in connection with, the Commission’s functions under section 6(aa) or its functions under section 6(e) in so far as they relate to personal injury; and</w:t>
      </w:r>
    </w:p>
    <w:p>
      <w:pPr>
        <w:pStyle w:val="Indenta"/>
      </w:pPr>
      <w:r>
        <w:tab/>
        <w:t>(b)</w:t>
      </w:r>
      <w:r>
        <w:tab/>
        <w:t>other property received or acquired by the Commission in connection with the Commission’s functions referred to in paragraph (a); and</w:t>
      </w:r>
    </w:p>
    <w:p>
      <w:pPr>
        <w:pStyle w:val="Indenta"/>
      </w:pPr>
      <w:r>
        <w:tab/>
        <w:t>(c)</w:t>
      </w:r>
      <w:r>
        <w:tab/>
        <w:t>moneys or other property credited, apportioned or transferred to that Fund under section 17 or 18,</w:t>
      </w:r>
    </w:p>
    <w:p>
      <w:pPr>
        <w:pStyle w:val="Subsection"/>
      </w:pPr>
      <w:r>
        <w:tab/>
      </w:r>
      <w:r>
        <w:tab/>
        <w:t>and, subject to section 18, may be applied for the purpose of carrying out the Commission’s functions referred to in paragraph (a) and for that purpose only.</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45 of 1996 s. 15; No. 49 of 1996 s. 64; No. 34 of 2002 s. 8; No. 77 of 2006 Sch. 1 cl. 91(3) and (4); No. 8 of 2009 s. 79(3); No. 8 of 2016 s. 41.]</w:t>
      </w:r>
    </w:p>
    <w:p>
      <w:pPr>
        <w:pStyle w:val="Heading5"/>
        <w:rPr>
          <w:snapToGrid w:val="0"/>
        </w:rPr>
      </w:pPr>
      <w:bookmarkStart w:id="133" w:name="_Toc381881069"/>
      <w:bookmarkStart w:id="134" w:name="_Toc455395441"/>
      <w:r>
        <w:rPr>
          <w:rStyle w:val="CharSectno"/>
        </w:rPr>
        <w:t>17</w:t>
      </w:r>
      <w:r>
        <w:rPr>
          <w:snapToGrid w:val="0"/>
        </w:rPr>
        <w:t>.</w:t>
      </w:r>
      <w:r>
        <w:rPr>
          <w:snapToGrid w:val="0"/>
        </w:rPr>
        <w:tab/>
        <w:t>Apportionment of income, expenditure and assets</w:t>
      </w:r>
      <w:bookmarkEnd w:id="133"/>
      <w:bookmarkEnd w:id="134"/>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135" w:name="_Toc381881070"/>
      <w:bookmarkStart w:id="136" w:name="_Toc455395442"/>
      <w:r>
        <w:rPr>
          <w:rStyle w:val="CharSectno"/>
        </w:rPr>
        <w:t>18</w:t>
      </w:r>
      <w:r>
        <w:rPr>
          <w:snapToGrid w:val="0"/>
        </w:rPr>
        <w:t>.</w:t>
      </w:r>
      <w:r>
        <w:rPr>
          <w:snapToGrid w:val="0"/>
        </w:rPr>
        <w:tab/>
        <w:t>Transfer between Funds</w:t>
      </w:r>
      <w:bookmarkEnd w:id="135"/>
      <w:bookmarkEnd w:id="136"/>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 xml:space="preserve">in respect of the Third Party Insurance Fund, </w:t>
      </w:r>
      <w:r>
        <w:t xml:space="preserve">the Motor Vehicle (Catastrophic Injuries) Fund, </w:t>
      </w:r>
      <w:r>
        <w:rPr>
          <w:snapToGrid w:val="0"/>
        </w:rPr>
        <w:t>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r>
        <w:rPr>
          <w:spacing w:val="-4"/>
        </w:rPr>
        <w:t>; No. 47 of 2011 s.</w:t>
      </w:r>
      <w:r>
        <w:t> 6; No. 8 of 2016 s. 42.]</w:t>
      </w:r>
    </w:p>
    <w:p>
      <w:pPr>
        <w:pStyle w:val="Heading4"/>
        <w:keepLines/>
        <w:rPr>
          <w:snapToGrid w:val="0"/>
        </w:rPr>
      </w:pPr>
      <w:bookmarkStart w:id="137" w:name="_Toc381880250"/>
      <w:bookmarkStart w:id="138" w:name="_Toc381880351"/>
      <w:bookmarkStart w:id="139" w:name="_Toc381881071"/>
      <w:bookmarkStart w:id="140" w:name="_Toc419713710"/>
      <w:bookmarkStart w:id="141" w:name="_Toc419713810"/>
      <w:bookmarkStart w:id="142" w:name="_Toc426464956"/>
      <w:bookmarkStart w:id="143" w:name="_Toc448483654"/>
      <w:bookmarkStart w:id="144" w:name="_Toc450913396"/>
      <w:bookmarkStart w:id="145" w:name="_Toc455395342"/>
      <w:bookmarkStart w:id="146" w:name="_Toc455395443"/>
      <w:r>
        <w:rPr>
          <w:snapToGrid w:val="0"/>
        </w:rPr>
        <w:t>Subdivision Aa — Investment and property management</w:t>
      </w:r>
      <w:bookmarkEnd w:id="137"/>
      <w:bookmarkEnd w:id="138"/>
      <w:bookmarkEnd w:id="139"/>
      <w:bookmarkEnd w:id="140"/>
      <w:bookmarkEnd w:id="141"/>
      <w:bookmarkEnd w:id="142"/>
      <w:bookmarkEnd w:id="143"/>
      <w:bookmarkEnd w:id="144"/>
      <w:bookmarkEnd w:id="145"/>
      <w:bookmarkEnd w:id="146"/>
      <w:r>
        <w:rPr>
          <w:snapToGrid w:val="0"/>
        </w:rPr>
        <w:t xml:space="preserve"> </w:t>
      </w:r>
    </w:p>
    <w:p>
      <w:pPr>
        <w:pStyle w:val="Footnoteheading"/>
        <w:keepNext/>
        <w:keepLines/>
      </w:pPr>
      <w:r>
        <w:tab/>
        <w:t>[Heading inserted by No. 45 of 1996 s. 17.]</w:t>
      </w:r>
    </w:p>
    <w:p>
      <w:pPr>
        <w:pStyle w:val="Heading5"/>
        <w:rPr>
          <w:snapToGrid w:val="0"/>
        </w:rPr>
      </w:pPr>
      <w:bookmarkStart w:id="147" w:name="_Toc381881072"/>
      <w:bookmarkStart w:id="148" w:name="_Toc455395444"/>
      <w:r>
        <w:rPr>
          <w:rStyle w:val="CharSectno"/>
        </w:rPr>
        <w:t>19</w:t>
      </w:r>
      <w:r>
        <w:rPr>
          <w:snapToGrid w:val="0"/>
        </w:rPr>
        <w:t>.</w:t>
      </w:r>
      <w:r>
        <w:rPr>
          <w:snapToGrid w:val="0"/>
        </w:rPr>
        <w:tab/>
        <w:t>Arrangements for appointment of investment managers</w:t>
      </w:r>
      <w:bookmarkEnd w:id="147"/>
      <w:bookmarkEnd w:id="148"/>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149" w:name="_Toc381881073"/>
      <w:bookmarkStart w:id="150" w:name="_Toc455395445"/>
      <w:r>
        <w:rPr>
          <w:rStyle w:val="CharSectno"/>
        </w:rPr>
        <w:t>19A</w:t>
      </w:r>
      <w:r>
        <w:rPr>
          <w:snapToGrid w:val="0"/>
        </w:rPr>
        <w:t>.</w:t>
      </w:r>
      <w:r>
        <w:rPr>
          <w:snapToGrid w:val="0"/>
        </w:rPr>
        <w:tab/>
        <w:t>Investment policy</w:t>
      </w:r>
      <w:bookmarkEnd w:id="149"/>
      <w:bookmarkEnd w:id="150"/>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151" w:name="_Toc381880253"/>
      <w:bookmarkStart w:id="152" w:name="_Toc381880354"/>
      <w:bookmarkStart w:id="153" w:name="_Toc381881074"/>
      <w:bookmarkStart w:id="154" w:name="_Toc419713713"/>
      <w:bookmarkStart w:id="155" w:name="_Toc419713813"/>
      <w:bookmarkStart w:id="156" w:name="_Toc426464959"/>
      <w:bookmarkStart w:id="157" w:name="_Toc448483657"/>
      <w:bookmarkStart w:id="158" w:name="_Toc450913399"/>
      <w:bookmarkStart w:id="159" w:name="_Toc455395345"/>
      <w:bookmarkStart w:id="160" w:name="_Toc455395446"/>
      <w:r>
        <w:rPr>
          <w:snapToGrid w:val="0"/>
        </w:rPr>
        <w:t>Subdivision B — Financial administration, audit and reporting</w:t>
      </w:r>
      <w:bookmarkEnd w:id="151"/>
      <w:bookmarkEnd w:id="152"/>
      <w:bookmarkEnd w:id="153"/>
      <w:bookmarkEnd w:id="154"/>
      <w:bookmarkEnd w:id="155"/>
      <w:bookmarkEnd w:id="156"/>
      <w:bookmarkEnd w:id="157"/>
      <w:bookmarkEnd w:id="158"/>
      <w:bookmarkEnd w:id="159"/>
      <w:bookmarkEnd w:id="160"/>
      <w:r>
        <w:rPr>
          <w:snapToGrid w:val="0"/>
        </w:rPr>
        <w:t xml:space="preserve"> </w:t>
      </w:r>
    </w:p>
    <w:p>
      <w:pPr>
        <w:pStyle w:val="Heading5"/>
        <w:spacing w:before="240"/>
        <w:rPr>
          <w:snapToGrid w:val="0"/>
        </w:rPr>
      </w:pPr>
      <w:bookmarkStart w:id="161" w:name="_Toc381881075"/>
      <w:bookmarkStart w:id="162" w:name="_Toc455395447"/>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161"/>
      <w:bookmarkEnd w:id="162"/>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163" w:name="_Toc381881076"/>
      <w:bookmarkStart w:id="164" w:name="_Toc455395448"/>
      <w:r>
        <w:rPr>
          <w:rStyle w:val="CharSectno"/>
        </w:rPr>
        <w:t>21</w:t>
      </w:r>
      <w:r>
        <w:rPr>
          <w:snapToGrid w:val="0"/>
        </w:rPr>
        <w:t>.</w:t>
      </w:r>
      <w:r>
        <w:rPr>
          <w:snapToGrid w:val="0"/>
        </w:rPr>
        <w:tab/>
        <w:t>Provisions and reserves</w:t>
      </w:r>
      <w:bookmarkEnd w:id="163"/>
      <w:bookmarkEnd w:id="164"/>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165" w:name="_Toc381881077"/>
      <w:bookmarkStart w:id="166" w:name="_Toc455395449"/>
      <w:r>
        <w:rPr>
          <w:rStyle w:val="CharSectno"/>
        </w:rPr>
        <w:t>22</w:t>
      </w:r>
      <w:r>
        <w:rPr>
          <w:snapToGrid w:val="0"/>
        </w:rPr>
        <w:t>.</w:t>
      </w:r>
      <w:r>
        <w:rPr>
          <w:snapToGrid w:val="0"/>
        </w:rPr>
        <w:tab/>
        <w:t>Accounts</w:t>
      </w:r>
      <w:bookmarkEnd w:id="165"/>
      <w:bookmarkEnd w:id="166"/>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167" w:name="_Toc381881078"/>
      <w:bookmarkStart w:id="168" w:name="_Toc455395450"/>
      <w:r>
        <w:rPr>
          <w:rStyle w:val="CharSectno"/>
        </w:rPr>
        <w:t>23</w:t>
      </w:r>
      <w:r>
        <w:rPr>
          <w:snapToGrid w:val="0"/>
        </w:rPr>
        <w:t>.</w:t>
      </w:r>
      <w:r>
        <w:rPr>
          <w:snapToGrid w:val="0"/>
        </w:rPr>
        <w:tab/>
        <w:t>Annual reports, financial statements</w:t>
      </w:r>
      <w:bookmarkEnd w:id="167"/>
      <w:bookmarkEnd w:id="168"/>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169" w:name="_Toc381880258"/>
      <w:bookmarkStart w:id="170" w:name="_Toc381880359"/>
      <w:bookmarkStart w:id="171" w:name="_Toc381881079"/>
      <w:bookmarkStart w:id="172" w:name="_Toc419713718"/>
      <w:bookmarkStart w:id="173" w:name="_Toc419713818"/>
      <w:bookmarkStart w:id="174" w:name="_Toc426464964"/>
      <w:bookmarkStart w:id="175" w:name="_Toc448483662"/>
      <w:bookmarkStart w:id="176" w:name="_Toc450913404"/>
      <w:bookmarkStart w:id="177" w:name="_Toc455395350"/>
      <w:bookmarkStart w:id="178" w:name="_Toc455395451"/>
      <w:r>
        <w:rPr>
          <w:snapToGrid w:val="0"/>
        </w:rPr>
        <w:t>Subdivision C — Borrowing and financial accommodation</w:t>
      </w:r>
      <w:bookmarkEnd w:id="169"/>
      <w:bookmarkEnd w:id="170"/>
      <w:bookmarkEnd w:id="171"/>
      <w:bookmarkEnd w:id="172"/>
      <w:bookmarkEnd w:id="173"/>
      <w:bookmarkEnd w:id="174"/>
      <w:bookmarkEnd w:id="175"/>
      <w:bookmarkEnd w:id="176"/>
      <w:bookmarkEnd w:id="177"/>
      <w:bookmarkEnd w:id="178"/>
      <w:r>
        <w:rPr>
          <w:snapToGrid w:val="0"/>
        </w:rPr>
        <w:t xml:space="preserve"> </w:t>
      </w:r>
    </w:p>
    <w:p>
      <w:pPr>
        <w:pStyle w:val="Heading5"/>
        <w:rPr>
          <w:snapToGrid w:val="0"/>
        </w:rPr>
      </w:pPr>
      <w:bookmarkStart w:id="179" w:name="_Toc381881080"/>
      <w:bookmarkStart w:id="180" w:name="_Toc455395452"/>
      <w:r>
        <w:rPr>
          <w:rStyle w:val="CharSectno"/>
        </w:rPr>
        <w:t>24</w:t>
      </w:r>
      <w:r>
        <w:rPr>
          <w:snapToGrid w:val="0"/>
        </w:rPr>
        <w:t>.</w:t>
      </w:r>
      <w:r>
        <w:rPr>
          <w:snapToGrid w:val="0"/>
        </w:rPr>
        <w:tab/>
        <w:t>Power to borrow etc., generally</w:t>
      </w:r>
      <w:bookmarkEnd w:id="179"/>
      <w:bookmarkEnd w:id="180"/>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181" w:name="_Toc381881081"/>
      <w:bookmarkStart w:id="182" w:name="_Toc455395453"/>
      <w:r>
        <w:rPr>
          <w:rStyle w:val="CharSectno"/>
        </w:rPr>
        <w:t>25</w:t>
      </w:r>
      <w:r>
        <w:rPr>
          <w:snapToGrid w:val="0"/>
        </w:rPr>
        <w:t>.</w:t>
      </w:r>
      <w:r>
        <w:rPr>
          <w:snapToGrid w:val="0"/>
        </w:rPr>
        <w:tab/>
        <w:t>Power to make provision to pay off loans</w:t>
      </w:r>
      <w:bookmarkEnd w:id="181"/>
      <w:bookmarkEnd w:id="182"/>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183" w:name="_Toc381881082"/>
      <w:bookmarkStart w:id="184" w:name="_Toc455395454"/>
      <w:r>
        <w:rPr>
          <w:rStyle w:val="CharSectno"/>
        </w:rPr>
        <w:t>26</w:t>
      </w:r>
      <w:r>
        <w:rPr>
          <w:snapToGrid w:val="0"/>
        </w:rPr>
        <w:t>.</w:t>
      </w:r>
      <w:r>
        <w:rPr>
          <w:snapToGrid w:val="0"/>
        </w:rPr>
        <w:tab/>
        <w:t>Borrowing power, from Treasury sources</w:t>
      </w:r>
      <w:bookmarkEnd w:id="183"/>
      <w:bookmarkEnd w:id="184"/>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185" w:name="_Toc381881083"/>
      <w:bookmarkStart w:id="186" w:name="_Toc455395455"/>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185"/>
      <w:bookmarkEnd w:id="186"/>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keepNext/>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4"/>
      </w:pPr>
      <w:bookmarkStart w:id="187" w:name="_Toc381880263"/>
      <w:bookmarkStart w:id="188" w:name="_Toc381880364"/>
      <w:bookmarkStart w:id="189" w:name="_Toc381881084"/>
      <w:bookmarkStart w:id="190" w:name="_Toc419713723"/>
      <w:bookmarkStart w:id="191" w:name="_Toc419713823"/>
      <w:bookmarkStart w:id="192" w:name="_Toc426464969"/>
      <w:bookmarkStart w:id="193" w:name="_Toc448483667"/>
      <w:bookmarkStart w:id="194" w:name="_Toc450913409"/>
      <w:bookmarkStart w:id="195" w:name="_Toc455395355"/>
      <w:bookmarkStart w:id="196" w:name="_Toc455395456"/>
      <w:r>
        <w:t>Subdivision D — Dividends to State</w:t>
      </w:r>
      <w:bookmarkEnd w:id="187"/>
      <w:bookmarkEnd w:id="188"/>
      <w:bookmarkEnd w:id="189"/>
      <w:bookmarkEnd w:id="190"/>
      <w:bookmarkEnd w:id="191"/>
      <w:bookmarkEnd w:id="192"/>
      <w:bookmarkEnd w:id="193"/>
      <w:bookmarkEnd w:id="194"/>
      <w:bookmarkEnd w:id="195"/>
      <w:bookmarkEnd w:id="196"/>
    </w:p>
    <w:p>
      <w:pPr>
        <w:pStyle w:val="Footnoteheading"/>
        <w:keepNext/>
      </w:pPr>
      <w:r>
        <w:tab/>
        <w:t>[Heading inserted by No. 7 of 2013 s. 4.]</w:t>
      </w:r>
    </w:p>
    <w:p>
      <w:pPr>
        <w:pStyle w:val="Heading5"/>
      </w:pPr>
      <w:bookmarkStart w:id="197" w:name="_Toc381881085"/>
      <w:bookmarkStart w:id="198" w:name="_Toc455395457"/>
      <w:r>
        <w:rPr>
          <w:rStyle w:val="CharSectno"/>
        </w:rPr>
        <w:t>28</w:t>
      </w:r>
      <w:r>
        <w:t>.</w:t>
      </w:r>
      <w:r>
        <w:tab/>
        <w:t>Interim dividend</w:t>
      </w:r>
      <w:bookmarkEnd w:id="197"/>
      <w:bookmarkEnd w:id="198"/>
    </w:p>
    <w:p>
      <w:pPr>
        <w:pStyle w:val="Subsection"/>
      </w:pPr>
      <w:r>
        <w:tab/>
        <w:t>(1)</w:t>
      </w:r>
      <w:r>
        <w:tab/>
        <w:t xml:space="preserve">Not later than the last day of February in each financial year, the Commission must give the Minister a written report that — </w:t>
      </w:r>
    </w:p>
    <w:p>
      <w:pPr>
        <w:pStyle w:val="Indenta"/>
      </w:pPr>
      <w:r>
        <w:tab/>
        <w:t>(a)</w:t>
      </w:r>
      <w:r>
        <w:tab/>
        <w:t>sets out a forecast of the Commission’s net profits for that financial year, prepared in accordance with generally accepted accounting practice; and</w:t>
      </w:r>
    </w:p>
    <w:p>
      <w:pPr>
        <w:pStyle w:val="Indenta"/>
      </w:pPr>
      <w:r>
        <w:tab/>
        <w:t>(b)</w:t>
      </w:r>
      <w:r>
        <w:tab/>
        <w:t>states any factors or circumstances that the Commission has taken into account in accordance with subsection (2) in preparing the forecast and the report’s recommendation; and</w:t>
      </w:r>
    </w:p>
    <w:p>
      <w:pPr>
        <w:pStyle w:val="Indenta"/>
      </w:pPr>
      <w:r>
        <w:tab/>
        <w:t>(c)</w:t>
      </w:r>
      <w:r>
        <w:tab/>
        <w:t xml:space="preserve">recommends — </w:t>
      </w:r>
    </w:p>
    <w:p>
      <w:pPr>
        <w:pStyle w:val="Indenti"/>
      </w:pPr>
      <w:r>
        <w:tab/>
        <w:t>(i)</w:t>
      </w:r>
      <w:r>
        <w:tab/>
        <w:t>whether the Commission should pay the State an interim dividend for that financial year; and</w:t>
      </w:r>
    </w:p>
    <w:p>
      <w:pPr>
        <w:pStyle w:val="Indenti"/>
      </w:pPr>
      <w:r>
        <w:tab/>
        <w:t>(ii)</w:t>
      </w:r>
      <w:r>
        <w:tab/>
        <w:t>the amount of the interim dividend (if any).</w:t>
      </w:r>
    </w:p>
    <w:p>
      <w:pPr>
        <w:pStyle w:val="Subsection"/>
      </w:pPr>
      <w:r>
        <w:tab/>
        <w:t>(2)</w:t>
      </w:r>
      <w:r>
        <w:tab/>
        <w:t>The profit forecast and recommendation may take into account any factors or circumstances that in the Commission’s opinion may have a material effect on the Commission’s financial position (either positively or negatively) as at the end of that financial year.</w:t>
      </w:r>
    </w:p>
    <w:p>
      <w:pPr>
        <w:pStyle w:val="Subsection"/>
      </w:pPr>
      <w:r>
        <w:tab/>
        <w:t>(3)</w:t>
      </w:r>
      <w:r>
        <w:tab/>
        <w:t>On receiving a report under subsection (1), the Minister must —</w:t>
      </w:r>
    </w:p>
    <w:p>
      <w:pPr>
        <w:pStyle w:val="Indenta"/>
      </w:pPr>
      <w:r>
        <w:tab/>
        <w:t>(a)</w:t>
      </w:r>
      <w:r>
        <w:tab/>
        <w:t xml:space="preserve">with the Treasurer’s concurrence, either — </w:t>
      </w:r>
    </w:p>
    <w:p>
      <w:pPr>
        <w:pStyle w:val="Indenti"/>
      </w:pPr>
      <w:r>
        <w:tab/>
        <w:t>(i)</w:t>
      </w:r>
      <w:r>
        <w:tab/>
        <w:t>accept the report’s recommendation on the amount of the interim dividend; or</w:t>
      </w:r>
    </w:p>
    <w:p>
      <w:pPr>
        <w:pStyle w:val="Indenti"/>
      </w:pPr>
      <w:r>
        <w:tab/>
        <w:t>(ii)</w:t>
      </w:r>
      <w:r>
        <w:tab/>
        <w:t>after consulting the Commission, reject the report’s recommendation and fix a different amount (which may be a nil amount) as the amount of the interim dividend;</w:t>
      </w:r>
    </w:p>
    <w:p>
      <w:pPr>
        <w:pStyle w:val="Indenta"/>
      </w:pPr>
      <w:r>
        <w:tab/>
      </w:r>
      <w:r>
        <w:tab/>
        <w:t>and</w:t>
      </w:r>
    </w:p>
    <w:p>
      <w:pPr>
        <w:pStyle w:val="Indenta"/>
      </w:pPr>
      <w:r>
        <w:tab/>
        <w:t>(b)</w:t>
      </w:r>
      <w:r>
        <w:tab/>
        <w:t>notify the Commission of the Minister’s decision and the amount of the interim dividend (if any) payable by the Commission.</w:t>
      </w:r>
    </w:p>
    <w:p>
      <w:pPr>
        <w:pStyle w:val="Subsection"/>
      </w:pPr>
      <w:r>
        <w:tab/>
        <w:t>(4)</w:t>
      </w:r>
      <w:r>
        <w:tab/>
        <w:t>On receiving a notice under subsection (3)(b), the Commission must pay to the State the amount of the interim dividend (if any) notified to the Commission —</w:t>
      </w:r>
    </w:p>
    <w:p>
      <w:pPr>
        <w:pStyle w:val="Indenta"/>
      </w:pPr>
      <w:r>
        <w:tab/>
        <w:t>(a)</w:t>
      </w:r>
      <w:r>
        <w:tab/>
        <w:t>as soon as practicable; but</w:t>
      </w:r>
    </w:p>
    <w:p>
      <w:pPr>
        <w:pStyle w:val="Indenta"/>
      </w:pPr>
      <w:r>
        <w:tab/>
        <w:t>(b)</w:t>
      </w:r>
      <w:r>
        <w:tab/>
        <w:t>in any event before the end of the financial year concerned.</w:t>
      </w:r>
    </w:p>
    <w:p>
      <w:pPr>
        <w:pStyle w:val="Footnotesection"/>
      </w:pPr>
      <w:r>
        <w:tab/>
        <w:t>[Section 28 inserted by No. 7 of 2013 s. 4.]</w:t>
      </w:r>
    </w:p>
    <w:p>
      <w:pPr>
        <w:pStyle w:val="Heading5"/>
      </w:pPr>
      <w:bookmarkStart w:id="199" w:name="_Toc381881086"/>
      <w:bookmarkStart w:id="200" w:name="_Toc455395458"/>
      <w:r>
        <w:rPr>
          <w:rStyle w:val="CharSectno"/>
        </w:rPr>
        <w:t>29</w:t>
      </w:r>
      <w:r>
        <w:t>.</w:t>
      </w:r>
      <w:r>
        <w:tab/>
        <w:t>Annual dividend</w:t>
      </w:r>
      <w:bookmarkEnd w:id="199"/>
      <w:bookmarkEnd w:id="200"/>
    </w:p>
    <w:p>
      <w:pPr>
        <w:pStyle w:val="Subsection"/>
      </w:pPr>
      <w:r>
        <w:tab/>
        <w:t>(1)</w:t>
      </w:r>
      <w:r>
        <w:tab/>
        <w:t xml:space="preserve">A dividend under this section must be calculated with respect to the Commission’s net profits for a financial year, after first taking into account — </w:t>
      </w:r>
    </w:p>
    <w:p>
      <w:pPr>
        <w:pStyle w:val="Indenta"/>
      </w:pPr>
      <w:r>
        <w:tab/>
        <w:t>(a)</w:t>
      </w:r>
      <w:r>
        <w:tab/>
        <w:t xml:space="preserve">any amount paid or payable to the Treasurer under the </w:t>
      </w:r>
      <w:r>
        <w:rPr>
          <w:i/>
        </w:rPr>
        <w:t>State Enterprises (Commonwealth Tax Equivalents) Act 1996</w:t>
      </w:r>
      <w:r>
        <w:t xml:space="preserve"> for the year; and</w:t>
      </w:r>
    </w:p>
    <w:p>
      <w:pPr>
        <w:pStyle w:val="Indenta"/>
      </w:pPr>
      <w:r>
        <w:tab/>
        <w:t>(b)</w:t>
      </w:r>
      <w:r>
        <w:tab/>
        <w:t>the amount of any interim dividend for the year paid or payable under section 28.</w:t>
      </w:r>
    </w:p>
    <w:p>
      <w:pPr>
        <w:pStyle w:val="Subsection"/>
      </w:pPr>
      <w:r>
        <w:tab/>
        <w:t>(2)</w:t>
      </w:r>
      <w:r>
        <w:tab/>
        <w:t>As soon as practicable after the end of each financial year, the Commission must give the Minister a written report that recommends —</w:t>
      </w:r>
    </w:p>
    <w:p>
      <w:pPr>
        <w:pStyle w:val="Indenta"/>
      </w:pPr>
      <w:r>
        <w:tab/>
        <w:t>(a)</w:t>
      </w:r>
      <w:r>
        <w:tab/>
        <w:t>whether the Commission should pay the State a dividend for that financial year; and</w:t>
      </w:r>
    </w:p>
    <w:p>
      <w:pPr>
        <w:pStyle w:val="Indenta"/>
      </w:pPr>
      <w:r>
        <w:tab/>
        <w:t>(b)</w:t>
      </w:r>
      <w:r>
        <w:tab/>
        <w:t>the amount of the dividend (if any).</w:t>
      </w:r>
    </w:p>
    <w:p>
      <w:pPr>
        <w:pStyle w:val="Subsection"/>
        <w:keepNext/>
      </w:pPr>
      <w:r>
        <w:tab/>
        <w:t>(3)</w:t>
      </w:r>
      <w:r>
        <w:tab/>
        <w:t>On receiving a report under subsection (2), the Minister must —</w:t>
      </w:r>
    </w:p>
    <w:p>
      <w:pPr>
        <w:pStyle w:val="Indenta"/>
      </w:pPr>
      <w:r>
        <w:tab/>
        <w:t>(a)</w:t>
      </w:r>
      <w:r>
        <w:tab/>
        <w:t xml:space="preserve">with the Treasurer’s concurrence, either — </w:t>
      </w:r>
    </w:p>
    <w:p>
      <w:pPr>
        <w:pStyle w:val="Indenti"/>
      </w:pPr>
      <w:r>
        <w:tab/>
        <w:t>(i)</w:t>
      </w:r>
      <w:r>
        <w:tab/>
        <w:t>accept the report’s recommendation on the amount of the dividend; or</w:t>
      </w:r>
    </w:p>
    <w:p>
      <w:pPr>
        <w:pStyle w:val="Indenti"/>
      </w:pPr>
      <w:r>
        <w:tab/>
        <w:t>(ii)</w:t>
      </w:r>
      <w:r>
        <w:tab/>
        <w:t>after consulting the Commission, reject the report’s recommendation and fix a different amount (which may be a nil amount) as the amount of the dividend;</w:t>
      </w:r>
    </w:p>
    <w:p>
      <w:pPr>
        <w:pStyle w:val="Indenta"/>
        <w:spacing w:before="60"/>
      </w:pPr>
      <w:r>
        <w:tab/>
      </w:r>
      <w:r>
        <w:tab/>
        <w:t>and</w:t>
      </w:r>
    </w:p>
    <w:p>
      <w:pPr>
        <w:pStyle w:val="Indenta"/>
        <w:spacing w:before="60"/>
      </w:pPr>
      <w:r>
        <w:tab/>
        <w:t>(b)</w:t>
      </w:r>
      <w:r>
        <w:tab/>
        <w:t>notify the Commission of the Minister’s decision and the amount of the dividend (if any) payable by the Commission.</w:t>
      </w:r>
    </w:p>
    <w:p>
      <w:pPr>
        <w:pStyle w:val="Subsection"/>
        <w:spacing w:before="130"/>
      </w:pPr>
      <w:r>
        <w:tab/>
        <w:t>(4)</w:t>
      </w:r>
      <w:r>
        <w:tab/>
        <w:t>On receiving a notice under subsection (3)(b), the Commission must pay to the State the amount of the dividend (if any) notified to the Commission —</w:t>
      </w:r>
    </w:p>
    <w:p>
      <w:pPr>
        <w:pStyle w:val="Indenta"/>
        <w:spacing w:before="60"/>
      </w:pPr>
      <w:r>
        <w:tab/>
        <w:t>(a)</w:t>
      </w:r>
      <w:r>
        <w:tab/>
        <w:t>as soon as practicable; but</w:t>
      </w:r>
    </w:p>
    <w:p>
      <w:pPr>
        <w:pStyle w:val="Indenta"/>
        <w:spacing w:before="60"/>
      </w:pPr>
      <w:r>
        <w:tab/>
        <w:t>(b)</w:t>
      </w:r>
      <w:r>
        <w:tab/>
        <w:t xml:space="preserve">in any event not later than — </w:t>
      </w:r>
    </w:p>
    <w:p>
      <w:pPr>
        <w:pStyle w:val="Indenti"/>
        <w:spacing w:before="60"/>
      </w:pPr>
      <w:r>
        <w:tab/>
        <w:t>(i)</w:t>
      </w:r>
      <w:r>
        <w:tab/>
        <w:t>6 months after the end of the financial year concerned; or</w:t>
      </w:r>
    </w:p>
    <w:p>
      <w:pPr>
        <w:pStyle w:val="Indenti"/>
        <w:spacing w:before="60"/>
      </w:pPr>
      <w:r>
        <w:tab/>
        <w:t>(ii)</w:t>
      </w:r>
      <w:r>
        <w:tab/>
        <w:t>any later time agreed on by the Treasurer and the Commission.</w:t>
      </w:r>
    </w:p>
    <w:p>
      <w:pPr>
        <w:pStyle w:val="Footnotesection"/>
        <w:spacing w:before="80"/>
      </w:pPr>
      <w:r>
        <w:tab/>
        <w:t>[Section 29 inserted by No. 7 of 2013 s. 4.]</w:t>
      </w:r>
    </w:p>
    <w:p>
      <w:pPr>
        <w:pStyle w:val="Heading5"/>
      </w:pPr>
      <w:bookmarkStart w:id="201" w:name="_Toc381881087"/>
      <w:bookmarkStart w:id="202" w:name="_Toc455395459"/>
      <w:r>
        <w:rPr>
          <w:rStyle w:val="CharSectno"/>
        </w:rPr>
        <w:t>30</w:t>
      </w:r>
      <w:r>
        <w:t>.</w:t>
      </w:r>
      <w:r>
        <w:tab/>
        <w:t>Provisions for s. 28 and 29</w:t>
      </w:r>
      <w:bookmarkEnd w:id="201"/>
      <w:bookmarkEnd w:id="202"/>
    </w:p>
    <w:p>
      <w:pPr>
        <w:pStyle w:val="Subsection"/>
        <w:spacing w:before="130"/>
      </w:pPr>
      <w:r>
        <w:tab/>
        <w:t>(1)</w:t>
      </w:r>
      <w:r>
        <w:tab/>
        <w:t xml:space="preserve">The accountable authority of the Commission under the </w:t>
      </w:r>
      <w:r>
        <w:rPr>
          <w:i/>
        </w:rPr>
        <w:t>Financial Management Act 2006</w:t>
      </w:r>
      <w:r>
        <w:t xml:space="preserve"> must include the text of each notice given under section 28(3)(b) or 29(3)(b) in relation to a financial year in the annual report for that year submitted under Part 5 of that Act.</w:t>
      </w:r>
    </w:p>
    <w:p>
      <w:pPr>
        <w:pStyle w:val="Subsection"/>
        <w:spacing w:before="130"/>
      </w:pPr>
      <w:r>
        <w:tab/>
        <w:t>(2)</w:t>
      </w:r>
      <w:r>
        <w:tab/>
        <w:t xml:space="preserve">If under section 28(3)(b) or 29(3)(b) the Minister notifies the Commission that the Minister rejects a report’s recommendation and fixes a different amount (other than a nil amount) as the amount of the interim dividend or dividend payable by the Commission, that notification is to be taken to be a direction by the Minister to the Commission for the purposes of the </w:t>
      </w:r>
      <w:r>
        <w:rPr>
          <w:i/>
        </w:rPr>
        <w:t>Statutory Corporations (Liability of Directors) Act 1996</w:t>
      </w:r>
      <w:r>
        <w:t>, and that Act applies accordingly.</w:t>
      </w:r>
    </w:p>
    <w:p>
      <w:pPr>
        <w:pStyle w:val="Subsection"/>
        <w:spacing w:before="130"/>
      </w:pPr>
      <w:r>
        <w:tab/>
        <w:t>(3)</w:t>
      </w:r>
      <w:r>
        <w:tab/>
        <w:t>Any interim dividend or dividend paid under section 28 or 29 must be credited to the Consolidated Account.</w:t>
      </w:r>
    </w:p>
    <w:p>
      <w:pPr>
        <w:pStyle w:val="Footnotesection"/>
        <w:spacing w:before="80"/>
      </w:pPr>
      <w:r>
        <w:tab/>
        <w:t>[Section 30 inserted by No. 7 of 2013 s. 4.]</w:t>
      </w:r>
    </w:p>
    <w:p>
      <w:pPr>
        <w:pStyle w:val="Heading5"/>
      </w:pPr>
      <w:bookmarkStart w:id="203" w:name="_Toc381881088"/>
      <w:bookmarkStart w:id="204" w:name="_Toc455395460"/>
      <w:r>
        <w:rPr>
          <w:rStyle w:val="CharSectno"/>
        </w:rPr>
        <w:t>31</w:t>
      </w:r>
      <w:r>
        <w:t>.</w:t>
      </w:r>
      <w:r>
        <w:tab/>
        <w:t xml:space="preserve">Transitional provisions for </w:t>
      </w:r>
      <w:r>
        <w:rPr>
          <w:i/>
        </w:rPr>
        <w:t>Insurance Commission of Western Australia Amendment Act 2013</w:t>
      </w:r>
      <w:r>
        <w:t>: interim dividends</w:t>
      </w:r>
      <w:bookmarkEnd w:id="203"/>
      <w:bookmarkEnd w:id="204"/>
    </w:p>
    <w:p>
      <w:pPr>
        <w:pStyle w:val="Subsection"/>
      </w:pPr>
      <w:r>
        <w:tab/>
        <w:t>(1)</w:t>
      </w:r>
      <w:r>
        <w:tab/>
        <w:t xml:space="preserve">Section 28 applies in respect of the financial year in which the </w:t>
      </w:r>
      <w:r>
        <w:rPr>
          <w:i/>
        </w:rPr>
        <w:t>Insurance Commission of Western Australia Amendment Act 2013</w:t>
      </w:r>
      <w:r>
        <w:t xml:space="preserve"> section 4 comes into operation</w:t>
      </w:r>
      <w:r>
        <w:rPr>
          <w:vertAlign w:val="superscript"/>
        </w:rPr>
        <w:t> 1</w:t>
      </w:r>
      <w:r>
        <w:t xml:space="preserve">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March and before the close of 30 June in a financial year, section 28 applies in respect of that financial year with the following modifications — </w:t>
      </w:r>
    </w:p>
    <w:p>
      <w:pPr>
        <w:pStyle w:val="Indenta"/>
        <w:spacing w:before="70"/>
      </w:pPr>
      <w:r>
        <w:tab/>
        <w:t>(a)</w:t>
      </w:r>
      <w:r>
        <w:tab/>
        <w:t>the Commission must give the Minister the report referred to in section 28(1) not later than 14 days after section 4 of that Act comes into operation;</w:t>
      </w:r>
    </w:p>
    <w:p>
      <w:pPr>
        <w:pStyle w:val="Indenta"/>
        <w:spacing w:before="70"/>
      </w:pPr>
      <w:r>
        <w:tab/>
        <w:t>(b)</w:t>
      </w:r>
      <w:r>
        <w:tab/>
        <w:t>the Minister must notify the Commission in accordance with section 28(3)(b) as soon as practicable after receiving that report;</w:t>
      </w:r>
    </w:p>
    <w:p>
      <w:pPr>
        <w:pStyle w:val="Indenta"/>
        <w:spacing w:before="70"/>
      </w:pPr>
      <w:r>
        <w:tab/>
        <w:t>(c)</w:t>
      </w:r>
      <w:r>
        <w:tab/>
        <w:t xml:space="preserve">the Commission must pay to the State the amount of the interim dividend (if any) notified to the Commission in accordance with section 28(3)(b) — </w:t>
      </w:r>
    </w:p>
    <w:p>
      <w:pPr>
        <w:pStyle w:val="Indenti"/>
        <w:spacing w:before="70"/>
      </w:pPr>
      <w:r>
        <w:tab/>
        <w:t>(i)</w:t>
      </w:r>
      <w:r>
        <w:tab/>
        <w:t>as soon as practicable; but</w:t>
      </w:r>
    </w:p>
    <w:p>
      <w:pPr>
        <w:pStyle w:val="Indenti"/>
        <w:spacing w:before="70"/>
      </w:pPr>
      <w:r>
        <w:tab/>
        <w:t>(ii)</w:t>
      </w:r>
      <w:r>
        <w:tab/>
        <w:t>in any event not later than a date determined by the Treasurer and notified to the Commission.</w:t>
      </w:r>
    </w:p>
    <w:p>
      <w:pPr>
        <w:pStyle w:val="Subsection"/>
      </w:pPr>
      <w:r>
        <w:tab/>
        <w:t>(3)</w:t>
      </w:r>
      <w:r>
        <w:tab/>
        <w:t xml:space="preserve">If the </w:t>
      </w:r>
      <w:r>
        <w:rPr>
          <w:i/>
        </w:rPr>
        <w:t>Insurance Commission of Western Australia Amendment Act 2013</w:t>
      </w:r>
      <w:r>
        <w:t xml:space="preserve"> section 4 comes into operation on or after 1 July and before 1 September in a financial year, section 28 also applies in respect of the previous financial year with the following modifications — </w:t>
      </w:r>
    </w:p>
    <w:p>
      <w:pPr>
        <w:pStyle w:val="Indenta"/>
      </w:pPr>
      <w:r>
        <w:tab/>
        <w:t>(a)</w:t>
      </w:r>
      <w:r>
        <w:tab/>
        <w:t>the Commission must give the Minister the report referred to in section 28(1) not later than 14 days after section 4 of that Act comes into operation;</w:t>
      </w:r>
    </w:p>
    <w:p>
      <w:pPr>
        <w:pStyle w:val="Indenta"/>
      </w:pPr>
      <w:r>
        <w:tab/>
        <w:t>(b)</w:t>
      </w:r>
      <w:r>
        <w:tab/>
        <w:t>the Minister must notify the Commission in accordance with section 28(3)(b) as soon as practicable after receiving that report;</w:t>
      </w:r>
    </w:p>
    <w:p>
      <w:pPr>
        <w:pStyle w:val="Indenta"/>
      </w:pPr>
      <w:r>
        <w:tab/>
        <w:t>(c)</w:t>
      </w:r>
      <w:r>
        <w:tab/>
        <w:t xml:space="preserve">the Commission must pay to the State the amount of the interim dividend (if any) notified to the Commission in accordance with section 28(3)(b)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Footnotesection"/>
      </w:pPr>
      <w:r>
        <w:tab/>
        <w:t>[Section 31 inserted by No. 7 of 2013 s. 4.]</w:t>
      </w:r>
    </w:p>
    <w:p>
      <w:pPr>
        <w:pStyle w:val="Heading5"/>
      </w:pPr>
      <w:bookmarkStart w:id="205" w:name="_Toc381881089"/>
      <w:bookmarkStart w:id="206" w:name="_Toc455395461"/>
      <w:r>
        <w:rPr>
          <w:rStyle w:val="CharSectno"/>
        </w:rPr>
        <w:t>32</w:t>
      </w:r>
      <w:r>
        <w:t>.</w:t>
      </w:r>
      <w:r>
        <w:tab/>
        <w:t xml:space="preserve">Transitional provisions for </w:t>
      </w:r>
      <w:r>
        <w:rPr>
          <w:i/>
        </w:rPr>
        <w:t>Insurance Commission of Western Australia Amendment Act 2013</w:t>
      </w:r>
      <w:r>
        <w:t>: annual dividends</w:t>
      </w:r>
      <w:bookmarkEnd w:id="205"/>
      <w:bookmarkEnd w:id="206"/>
    </w:p>
    <w:p>
      <w:pPr>
        <w:pStyle w:val="Subsection"/>
      </w:pPr>
      <w:r>
        <w:tab/>
        <w:t>(1)</w:t>
      </w:r>
      <w:r>
        <w:tab/>
        <w:t xml:space="preserve">Section 29 applies in respect of the financial year immediately before the financial year in which the </w:t>
      </w:r>
      <w:r>
        <w:rPr>
          <w:i/>
        </w:rPr>
        <w:t>Insurance Commission of Western Australia Amendment Act 2013</w:t>
      </w:r>
      <w:r>
        <w:t xml:space="preserve"> section 4 comes into operation</w:t>
      </w:r>
      <w:r>
        <w:rPr>
          <w:vertAlign w:val="superscript"/>
        </w:rPr>
        <w:t> 1</w:t>
      </w:r>
      <w:r>
        <w:t>, the financial year in which section 4 of that Act comes into operation,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September and before the close of 30 June in a financial year (the </w:t>
      </w:r>
      <w:r>
        <w:rPr>
          <w:rStyle w:val="CharDefText"/>
        </w:rPr>
        <w:t>current financial year</w:t>
      </w:r>
      <w:r>
        <w:t xml:space="preserve">), sections 29 and 30(1) apply in respect of the previous financial year with the following modifications — </w:t>
      </w:r>
    </w:p>
    <w:p>
      <w:pPr>
        <w:pStyle w:val="Indenta"/>
      </w:pPr>
      <w:r>
        <w:tab/>
        <w:t>(a)</w:t>
      </w:r>
      <w:r>
        <w:tab/>
        <w:t>the Commission must give the Minister the report referred to in section 29(2) as soon as practicable after section 4 of that Act comes into operation;</w:t>
      </w:r>
    </w:p>
    <w:p>
      <w:pPr>
        <w:pStyle w:val="Indenta"/>
      </w:pPr>
      <w:r>
        <w:tab/>
        <w:t>(b)</w:t>
      </w:r>
      <w:r>
        <w:tab/>
        <w:t xml:space="preserve">on receiving a notice under section 29(3)(b) in respect of that report, the Commission must pay to the State the amount of the dividend (if any) notified to the Commission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Indenta"/>
      </w:pPr>
      <w:r>
        <w:tab/>
        <w:t>(c)</w:t>
      </w:r>
      <w:r>
        <w:tab/>
        <w:t xml:space="preserve">the accountable authority of the Commission under the </w:t>
      </w:r>
      <w:r>
        <w:rPr>
          <w:i/>
        </w:rPr>
        <w:t>Financial Management Act 2006</w:t>
      </w:r>
      <w:r>
        <w:t xml:space="preserve"> must include the text of the notice referred to in paragraph (b) in the annual report for the current financial year submitted under Part 5 of that Act.</w:t>
      </w:r>
    </w:p>
    <w:p>
      <w:pPr>
        <w:pStyle w:val="Subsection"/>
      </w:pPr>
      <w:r>
        <w:tab/>
        <w:t>(3)</w:t>
      </w:r>
      <w:r>
        <w:tab/>
        <w:t xml:space="preserve">If the </w:t>
      </w:r>
      <w:r>
        <w:rPr>
          <w:i/>
        </w:rPr>
        <w:t>Insurance Commission of Western Australia Amendment Act 2013</w:t>
      </w:r>
      <w:r>
        <w:t xml:space="preserve"> section 4 comes into operation before 1 July 2013, section 29 applies only in respect of the financial year ending on 30 June 2013 and subsequent financial years.</w:t>
      </w:r>
    </w:p>
    <w:p>
      <w:pPr>
        <w:pStyle w:val="Footnotesection"/>
      </w:pPr>
      <w:r>
        <w:tab/>
        <w:t>[Section 32 inserted by No. 7 of 2013 s. 4.]</w:t>
      </w:r>
    </w:p>
    <w:p>
      <w:pPr>
        <w:pStyle w:val="Ednotepart"/>
        <w:ind w:left="993" w:hanging="993"/>
      </w:pPr>
      <w:r>
        <w:t>[Part III:</w:t>
      </w:r>
      <w:r>
        <w:tab/>
        <w:t xml:space="preserve">s. 33 </w:t>
      </w:r>
      <w:smartTag w:uri="urn:schemas-microsoft-com:office:smarttags" w:element="State">
        <w:smartTag w:uri="urn:schemas-microsoft-com:office:smarttags" w:element="place">
          <w:r>
            <w:t>del</w:t>
          </w:r>
        </w:smartTag>
      </w:smartTag>
      <w:r>
        <w:t xml:space="preserve">eted by No. 49 of 1992 s. 28; </w:t>
      </w:r>
      <w:r>
        <w:br/>
        <w:t>s. 34</w:t>
      </w:r>
      <w:r>
        <w:noBreakHyphen/>
        <w:t xml:space="preserve">41 </w:t>
      </w:r>
      <w:smartTag w:uri="urn:schemas-microsoft-com:office:smarttags" w:element="State">
        <w:smartTag w:uri="urn:schemas-microsoft-com:office:smarttags" w:element="place">
          <w:r>
            <w:t>del</w:t>
          </w:r>
        </w:smartTag>
      </w:smartTag>
      <w:r>
        <w:t>eted by No. 45 of 1996 s. 20.]</w:t>
      </w:r>
    </w:p>
    <w:p>
      <w:pPr>
        <w:pStyle w:val="Heading2"/>
      </w:pPr>
      <w:bookmarkStart w:id="207" w:name="_Toc381880269"/>
      <w:bookmarkStart w:id="208" w:name="_Toc381880370"/>
      <w:bookmarkStart w:id="209" w:name="_Toc381881090"/>
      <w:bookmarkStart w:id="210" w:name="_Toc419713729"/>
      <w:bookmarkStart w:id="211" w:name="_Toc419713829"/>
      <w:bookmarkStart w:id="212" w:name="_Toc426464975"/>
      <w:bookmarkStart w:id="213" w:name="_Toc448483673"/>
      <w:bookmarkStart w:id="214" w:name="_Toc450913415"/>
      <w:bookmarkStart w:id="215" w:name="_Toc455395361"/>
      <w:bookmarkStart w:id="216" w:name="_Toc455395462"/>
      <w:r>
        <w:rPr>
          <w:rStyle w:val="CharPartNo"/>
        </w:rPr>
        <w:t>Part IV</w:t>
      </w:r>
      <w:r>
        <w:rPr>
          <w:rStyle w:val="CharDivNo"/>
        </w:rPr>
        <w:t> </w:t>
      </w:r>
      <w:r>
        <w:t>—</w:t>
      </w:r>
      <w:r>
        <w:rPr>
          <w:rStyle w:val="CharDivText"/>
        </w:rPr>
        <w:t> </w:t>
      </w:r>
      <w:r>
        <w:rPr>
          <w:rStyle w:val="CharPartText"/>
        </w:rPr>
        <w:t>General</w:t>
      </w:r>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381881091"/>
      <w:bookmarkStart w:id="218" w:name="_Toc455395463"/>
      <w:r>
        <w:rPr>
          <w:rStyle w:val="CharSectno"/>
        </w:rPr>
        <w:t>42</w:t>
      </w:r>
      <w:r>
        <w:rPr>
          <w:snapToGrid w:val="0"/>
        </w:rPr>
        <w:t>.</w:t>
      </w:r>
      <w:r>
        <w:rPr>
          <w:snapToGrid w:val="0"/>
        </w:rPr>
        <w:tab/>
        <w:t>Secrecy</w:t>
      </w:r>
      <w:bookmarkEnd w:id="217"/>
      <w:bookmarkEnd w:id="218"/>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Footnotesection"/>
      </w:pPr>
      <w:r>
        <w:tab/>
        <w:t xml:space="preserve">[Section 42 amended by No. 49 of 1992 s. 28; No. 45 of 1996 s. 21.] </w:t>
      </w:r>
    </w:p>
    <w:p>
      <w:pPr>
        <w:pStyle w:val="Heading5"/>
        <w:rPr>
          <w:snapToGrid w:val="0"/>
        </w:rPr>
      </w:pPr>
      <w:bookmarkStart w:id="219" w:name="_Toc381881092"/>
      <w:bookmarkStart w:id="220" w:name="_Toc455395464"/>
      <w:r>
        <w:rPr>
          <w:rStyle w:val="CharSectno"/>
        </w:rPr>
        <w:t>43</w:t>
      </w:r>
      <w:r>
        <w:rPr>
          <w:snapToGrid w:val="0"/>
        </w:rPr>
        <w:t>.</w:t>
      </w:r>
      <w:r>
        <w:rPr>
          <w:snapToGrid w:val="0"/>
        </w:rPr>
        <w:tab/>
        <w:t>Execution of documents and entry into contracts</w:t>
      </w:r>
      <w:bookmarkEnd w:id="219"/>
      <w:bookmarkEnd w:id="220"/>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Footnotesection"/>
      </w:pPr>
      <w:r>
        <w:tab/>
        <w:t>[Section 43 amended by No. 45 of 1996 s. 22; correction to reprint in Gazette 4 Aug 2015 p. 3135.]</w:t>
      </w:r>
    </w:p>
    <w:p>
      <w:pPr>
        <w:pStyle w:val="Heading5"/>
        <w:spacing w:before="800"/>
        <w:rPr>
          <w:snapToGrid w:val="0"/>
        </w:rPr>
      </w:pPr>
      <w:bookmarkStart w:id="221" w:name="_Toc381881093"/>
      <w:bookmarkStart w:id="222" w:name="_Toc455395465"/>
      <w:r>
        <w:rPr>
          <w:rStyle w:val="CharSectno"/>
        </w:rPr>
        <w:t>44</w:t>
      </w:r>
      <w:r>
        <w:rPr>
          <w:snapToGrid w:val="0"/>
        </w:rPr>
        <w:t>.</w:t>
      </w:r>
      <w:r>
        <w:rPr>
          <w:snapToGrid w:val="0"/>
        </w:rPr>
        <w:tab/>
        <w:t>Exemption of certain public authorities from workers’ compensation insurance requirements</w:t>
      </w:r>
      <w:bookmarkEnd w:id="221"/>
      <w:bookmarkEnd w:id="222"/>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223" w:name="_Toc381881094"/>
      <w:bookmarkStart w:id="224" w:name="_Toc455395466"/>
      <w:r>
        <w:rPr>
          <w:rStyle w:val="CharSectno"/>
        </w:rPr>
        <w:t>45</w:t>
      </w:r>
      <w:r>
        <w:rPr>
          <w:snapToGrid w:val="0"/>
        </w:rPr>
        <w:t>.</w:t>
      </w:r>
      <w:r>
        <w:rPr>
          <w:snapToGrid w:val="0"/>
        </w:rPr>
        <w:tab/>
        <w:t>Regulations</w:t>
      </w:r>
      <w:bookmarkEnd w:id="223"/>
      <w:bookmarkEnd w:id="22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the use of the common seal of the Commission in </w:t>
      </w:r>
      <w:smartTag w:uri="urn:schemas-microsoft-com:office:smarttags" w:element="place">
        <w:smartTag w:uri="urn:schemas-microsoft-com:office:smarttags" w:element="State">
          <w:r>
            <w:t>Western Australia</w:t>
          </w:r>
        </w:smartTag>
      </w:smartTag>
      <w:r>
        <w:t xml:space="preserve"> and elsewhere.</w:t>
      </w:r>
    </w:p>
    <w:p>
      <w:pPr>
        <w:pStyle w:val="Footnotesection"/>
      </w:pPr>
      <w:r>
        <w:tab/>
        <w:t>[Section 45 amended by No. 45 of 1996 s. 24.]</w:t>
      </w:r>
    </w:p>
    <w:p>
      <w:pPr>
        <w:pStyle w:val="Heading2"/>
      </w:pPr>
      <w:bookmarkStart w:id="225" w:name="_Toc381880274"/>
      <w:bookmarkStart w:id="226" w:name="_Toc381880375"/>
      <w:bookmarkStart w:id="227" w:name="_Toc381881095"/>
      <w:bookmarkStart w:id="228" w:name="_Toc419713734"/>
      <w:bookmarkStart w:id="229" w:name="_Toc419713834"/>
      <w:bookmarkStart w:id="230" w:name="_Toc426464980"/>
      <w:bookmarkStart w:id="231" w:name="_Toc448483678"/>
      <w:bookmarkStart w:id="232" w:name="_Toc450913420"/>
      <w:bookmarkStart w:id="233" w:name="_Toc455395366"/>
      <w:bookmarkStart w:id="234" w:name="_Toc455395467"/>
      <w:r>
        <w:rPr>
          <w:rStyle w:val="CharPartNo"/>
        </w:rPr>
        <w:t>Part V</w:t>
      </w:r>
      <w:r>
        <w:rPr>
          <w:rStyle w:val="CharDivNo"/>
        </w:rPr>
        <w:t> </w:t>
      </w:r>
      <w:r>
        <w:t>—</w:t>
      </w:r>
      <w:r>
        <w:rPr>
          <w:rStyle w:val="CharDivText"/>
        </w:rPr>
        <w:t> </w:t>
      </w:r>
      <w:r>
        <w:rPr>
          <w:rStyle w:val="CharPartText"/>
        </w:rPr>
        <w:t>Repeal, amendments, saving, validation and transitional</w:t>
      </w:r>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381881096"/>
      <w:bookmarkStart w:id="236" w:name="_Toc455395468"/>
      <w:r>
        <w:rPr>
          <w:rStyle w:val="CharSectno"/>
        </w:rPr>
        <w:t>46</w:t>
      </w:r>
      <w:r>
        <w:rPr>
          <w:snapToGrid w:val="0"/>
        </w:rPr>
        <w:t>.</w:t>
      </w:r>
      <w:r>
        <w:rPr>
          <w:snapToGrid w:val="0"/>
        </w:rPr>
        <w:tab/>
        <w:t>Repeal and amendments</w:t>
      </w:r>
      <w:bookmarkEnd w:id="235"/>
      <w:bookmarkEnd w:id="236"/>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237" w:name="_Toc381881097"/>
      <w:bookmarkStart w:id="238" w:name="_Toc455395469"/>
      <w:r>
        <w:rPr>
          <w:rStyle w:val="CharSectno"/>
        </w:rPr>
        <w:t>47</w:t>
      </w:r>
      <w:r>
        <w:rPr>
          <w:snapToGrid w:val="0"/>
        </w:rPr>
        <w:t>.</w:t>
      </w:r>
      <w:r>
        <w:rPr>
          <w:snapToGrid w:val="0"/>
        </w:rPr>
        <w:tab/>
        <w:t>Saving, validation and transitional provisions</w:t>
      </w:r>
      <w:bookmarkEnd w:id="237"/>
      <w:bookmarkEnd w:id="238"/>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239" w:name="_Toc381881098"/>
      <w:bookmarkStart w:id="240" w:name="_Toc455395470"/>
      <w:r>
        <w:rPr>
          <w:rStyle w:val="CharSectno"/>
        </w:rPr>
        <w:t>48</w:t>
      </w:r>
      <w:r>
        <w:rPr>
          <w:snapToGrid w:val="0"/>
        </w:rPr>
        <w:t>.</w:t>
      </w:r>
      <w:r>
        <w:rPr>
          <w:snapToGrid w:val="0"/>
        </w:rPr>
        <w:tab/>
        <w:t>Oversight by Public Accounts Committee</w:t>
      </w:r>
      <w:bookmarkEnd w:id="239"/>
      <w:bookmarkEnd w:id="240"/>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41" w:name="_Toc381880278"/>
      <w:bookmarkStart w:id="242" w:name="_Toc381880379"/>
      <w:bookmarkStart w:id="243" w:name="_Toc381881099"/>
      <w:bookmarkStart w:id="244" w:name="_Toc419713738"/>
      <w:bookmarkStart w:id="245" w:name="_Toc419713838"/>
      <w:bookmarkStart w:id="246" w:name="_Toc426464984"/>
      <w:bookmarkStart w:id="247" w:name="_Toc448483682"/>
      <w:bookmarkStart w:id="248" w:name="_Toc450913424"/>
      <w:bookmarkStart w:id="249" w:name="_Toc455395370"/>
      <w:bookmarkStart w:id="250" w:name="_Toc455395471"/>
      <w:r>
        <w:rPr>
          <w:rStyle w:val="CharSchNo"/>
        </w:rPr>
        <w:t>Schedule 1</w:t>
      </w:r>
      <w:r>
        <w:t> — </w:t>
      </w:r>
      <w:r>
        <w:rPr>
          <w:rStyle w:val="CharSchText"/>
        </w:rPr>
        <w:t>Provisions as to commissioners</w:t>
      </w:r>
      <w:bookmarkEnd w:id="241"/>
      <w:bookmarkEnd w:id="242"/>
      <w:bookmarkEnd w:id="243"/>
      <w:bookmarkEnd w:id="244"/>
      <w:bookmarkEnd w:id="245"/>
      <w:bookmarkEnd w:id="246"/>
      <w:bookmarkEnd w:id="247"/>
      <w:bookmarkEnd w:id="248"/>
      <w:bookmarkEnd w:id="249"/>
      <w:bookmarkEnd w:id="250"/>
    </w:p>
    <w:p>
      <w:pPr>
        <w:pStyle w:val="yShoulderClause"/>
        <w:rPr>
          <w:snapToGrid w:val="0"/>
        </w:rPr>
      </w:pPr>
      <w:r>
        <w:rPr>
          <w:snapToGrid w:val="0"/>
        </w:rPr>
        <w:t>[s. 5(4)]</w:t>
      </w:r>
    </w:p>
    <w:p>
      <w:pPr>
        <w:pStyle w:val="yFootnoteheading"/>
      </w:pPr>
      <w:r>
        <w:tab/>
        <w:t>[Heading amended by No. 19 of 2010 s. 4.]</w:t>
      </w:r>
    </w:p>
    <w:p>
      <w:pPr>
        <w:pStyle w:val="yHeading5"/>
        <w:ind w:left="890" w:hanging="890"/>
        <w:outlineLvl w:val="9"/>
        <w:rPr>
          <w:snapToGrid w:val="0"/>
        </w:rPr>
      </w:pPr>
      <w:bookmarkStart w:id="251" w:name="_Toc381881100"/>
      <w:bookmarkStart w:id="252" w:name="_Toc455395472"/>
      <w:r>
        <w:rPr>
          <w:rStyle w:val="CharSClsNo"/>
        </w:rPr>
        <w:t>1</w:t>
      </w:r>
      <w:r>
        <w:rPr>
          <w:snapToGrid w:val="0"/>
        </w:rPr>
        <w:t>.</w:t>
      </w:r>
      <w:r>
        <w:rPr>
          <w:snapToGrid w:val="0"/>
        </w:rPr>
        <w:tab/>
        <w:t>Terms used</w:t>
      </w:r>
      <w:bookmarkEnd w:id="251"/>
      <w:bookmarkEnd w:id="252"/>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253" w:name="_Toc381881101"/>
      <w:bookmarkStart w:id="254" w:name="_Toc455395473"/>
      <w:r>
        <w:rPr>
          <w:rStyle w:val="CharSClsNo"/>
        </w:rPr>
        <w:t>2</w:t>
      </w:r>
      <w:r>
        <w:rPr>
          <w:snapToGrid w:val="0"/>
        </w:rPr>
        <w:t>.</w:t>
      </w:r>
      <w:r>
        <w:rPr>
          <w:snapToGrid w:val="0"/>
        </w:rPr>
        <w:tab/>
        <w:t>Commissioners — terms and vacation of office</w:t>
      </w:r>
      <w:bookmarkEnd w:id="253"/>
      <w:bookmarkEnd w:id="254"/>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255" w:name="_Toc381881102"/>
      <w:bookmarkStart w:id="256" w:name="_Toc455395474"/>
      <w:r>
        <w:rPr>
          <w:rStyle w:val="CharSClsNo"/>
        </w:rPr>
        <w:t>3</w:t>
      </w:r>
      <w:r>
        <w:rPr>
          <w:snapToGrid w:val="0"/>
        </w:rPr>
        <w:t>.</w:t>
      </w:r>
      <w:r>
        <w:rPr>
          <w:snapToGrid w:val="0"/>
        </w:rPr>
        <w:tab/>
        <w:t>Alternate commissioners</w:t>
      </w:r>
      <w:bookmarkEnd w:id="255"/>
      <w:bookmarkEnd w:id="256"/>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257" w:name="_Toc381881103"/>
      <w:bookmarkStart w:id="258" w:name="_Toc455395475"/>
      <w:r>
        <w:rPr>
          <w:rStyle w:val="CharSClsNo"/>
        </w:rPr>
        <w:t>4</w:t>
      </w:r>
      <w:r>
        <w:rPr>
          <w:snapToGrid w:val="0"/>
        </w:rPr>
        <w:t>.</w:t>
      </w:r>
      <w:r>
        <w:rPr>
          <w:snapToGrid w:val="0"/>
        </w:rPr>
        <w:tab/>
        <w:t>Chairman and deputy chairman — term and vacation of office</w:t>
      </w:r>
      <w:bookmarkEnd w:id="257"/>
      <w:bookmarkEnd w:id="258"/>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259" w:name="_Toc381881104"/>
      <w:bookmarkStart w:id="260" w:name="_Toc455395476"/>
      <w:r>
        <w:rPr>
          <w:rStyle w:val="CharSClsNo"/>
        </w:rPr>
        <w:t>5</w:t>
      </w:r>
      <w:r>
        <w:rPr>
          <w:snapToGrid w:val="0"/>
        </w:rPr>
        <w:t>.</w:t>
      </w:r>
      <w:r>
        <w:rPr>
          <w:snapToGrid w:val="0"/>
        </w:rPr>
        <w:tab/>
        <w:t>Disclosure of pecuniary interests</w:t>
      </w:r>
      <w:bookmarkEnd w:id="259"/>
      <w:bookmarkEnd w:id="260"/>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261" w:name="_Toc381881105"/>
      <w:bookmarkStart w:id="262" w:name="_Toc455395477"/>
      <w:r>
        <w:rPr>
          <w:rStyle w:val="CharSClsNo"/>
        </w:rPr>
        <w:t>6</w:t>
      </w:r>
      <w:r>
        <w:rPr>
          <w:snapToGrid w:val="0"/>
        </w:rPr>
        <w:t>.</w:t>
      </w:r>
      <w:r>
        <w:rPr>
          <w:snapToGrid w:val="0"/>
        </w:rPr>
        <w:tab/>
        <w:t>Meetings</w:t>
      </w:r>
      <w:bookmarkEnd w:id="261"/>
      <w:bookmarkEnd w:id="262"/>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263" w:name="_Toc381881106"/>
      <w:bookmarkStart w:id="264" w:name="_Toc455395478"/>
      <w:r>
        <w:rPr>
          <w:rStyle w:val="CharSClsNo"/>
        </w:rPr>
        <w:t>6A</w:t>
      </w:r>
      <w:r>
        <w:rPr>
          <w:snapToGrid w:val="0"/>
        </w:rPr>
        <w:t>.</w:t>
      </w:r>
      <w:r>
        <w:rPr>
          <w:snapToGrid w:val="0"/>
        </w:rPr>
        <w:tab/>
        <w:t>Telephone and video meetings</w:t>
      </w:r>
      <w:bookmarkEnd w:id="263"/>
      <w:bookmarkEnd w:id="264"/>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265" w:name="_Toc381881107"/>
      <w:bookmarkStart w:id="266" w:name="_Toc455395479"/>
      <w:r>
        <w:rPr>
          <w:rStyle w:val="CharSClsNo"/>
        </w:rPr>
        <w:t>7</w:t>
      </w:r>
      <w:r>
        <w:rPr>
          <w:snapToGrid w:val="0"/>
        </w:rPr>
        <w:t>.</w:t>
      </w:r>
      <w:r>
        <w:rPr>
          <w:snapToGrid w:val="0"/>
        </w:rPr>
        <w:tab/>
        <w:t>Committees</w:t>
      </w:r>
      <w:bookmarkEnd w:id="265"/>
      <w:bookmarkEnd w:id="266"/>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267" w:name="_Toc381881108"/>
      <w:bookmarkStart w:id="268" w:name="_Toc455395480"/>
      <w:r>
        <w:rPr>
          <w:rStyle w:val="CharSClsNo"/>
        </w:rPr>
        <w:t>8</w:t>
      </w:r>
      <w:r>
        <w:rPr>
          <w:snapToGrid w:val="0"/>
        </w:rPr>
        <w:t>.</w:t>
      </w:r>
      <w:r>
        <w:rPr>
          <w:snapToGrid w:val="0"/>
        </w:rPr>
        <w:tab/>
        <w:t>Resolution may be passed without meeting</w:t>
      </w:r>
      <w:bookmarkEnd w:id="267"/>
      <w:bookmarkEnd w:id="26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269" w:name="_Toc381881109"/>
      <w:bookmarkStart w:id="270" w:name="_Toc455395481"/>
      <w:r>
        <w:rPr>
          <w:rStyle w:val="CharSClsNo"/>
        </w:rPr>
        <w:t>8A</w:t>
      </w:r>
      <w:r>
        <w:rPr>
          <w:snapToGrid w:val="0"/>
        </w:rPr>
        <w:t>.</w:t>
      </w:r>
      <w:r>
        <w:rPr>
          <w:snapToGrid w:val="0"/>
        </w:rPr>
        <w:tab/>
        <w:t>Minutes of meetings etc.</w:t>
      </w:r>
      <w:bookmarkEnd w:id="269"/>
      <w:bookmarkEnd w:id="270"/>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271" w:name="_Toc381881110"/>
      <w:bookmarkStart w:id="272" w:name="_Toc455395482"/>
      <w:r>
        <w:rPr>
          <w:rStyle w:val="CharSClsNo"/>
        </w:rPr>
        <w:t>9</w:t>
      </w:r>
      <w:r>
        <w:rPr>
          <w:snapToGrid w:val="0"/>
        </w:rPr>
        <w:t>.</w:t>
      </w:r>
      <w:r>
        <w:rPr>
          <w:snapToGrid w:val="0"/>
        </w:rPr>
        <w:tab/>
        <w:t>Leave of absence</w:t>
      </w:r>
      <w:bookmarkEnd w:id="271"/>
      <w:bookmarkEnd w:id="272"/>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273" w:name="_Toc381881111"/>
      <w:bookmarkStart w:id="274" w:name="_Toc455395483"/>
      <w:r>
        <w:rPr>
          <w:rStyle w:val="CharSClsNo"/>
        </w:rPr>
        <w:t>10</w:t>
      </w:r>
      <w:r>
        <w:rPr>
          <w:snapToGrid w:val="0"/>
        </w:rPr>
        <w:t>.</w:t>
      </w:r>
      <w:r>
        <w:rPr>
          <w:snapToGrid w:val="0"/>
        </w:rPr>
        <w:tab/>
        <w:t>Board to determine own procedures</w:t>
      </w:r>
      <w:bookmarkEnd w:id="273"/>
      <w:bookmarkEnd w:id="274"/>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275" w:name="_Toc381881112"/>
      <w:bookmarkStart w:id="276" w:name="_Toc455395484"/>
      <w:r>
        <w:rPr>
          <w:rStyle w:val="CharSClsNo"/>
        </w:rPr>
        <w:t>11</w:t>
      </w:r>
      <w:r>
        <w:rPr>
          <w:snapToGrid w:val="0"/>
        </w:rPr>
        <w:t>.</w:t>
      </w:r>
      <w:r>
        <w:rPr>
          <w:snapToGrid w:val="0"/>
        </w:rPr>
        <w:tab/>
        <w:t>Protection of commissioners</w:t>
      </w:r>
      <w:bookmarkEnd w:id="275"/>
      <w:bookmarkEnd w:id="276"/>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Ednoteschedule"/>
      </w:pPr>
      <w:r>
        <w:t xml:space="preserve">[Schedule 2 </w:t>
      </w:r>
      <w:smartTag w:uri="urn:schemas-microsoft-com:office:smarttags" w:element="State">
        <w:smartTag w:uri="urn:schemas-microsoft-com:office:smarttags" w:element="place">
          <w:r>
            <w:t>del</w:t>
          </w:r>
        </w:smartTag>
      </w:smartTag>
      <w:r>
        <w:t>eted by No. 45 of 1996 s. 27.]</w:t>
      </w:r>
    </w:p>
    <w:p>
      <w:pPr>
        <w:pStyle w:val="yEdnoteschedule"/>
      </w:pPr>
      <w:r>
        <w:t>[Schedule 3 omitted under the Reprints Act 1984 s. 7(4)(e).]</w:t>
      </w:r>
    </w:p>
    <w:p>
      <w:pPr>
        <w:pStyle w:val="yScheduleHeading"/>
      </w:pPr>
      <w:bookmarkStart w:id="277" w:name="_Toc381880292"/>
      <w:bookmarkStart w:id="278" w:name="_Toc381880393"/>
      <w:bookmarkStart w:id="279" w:name="_Toc381881113"/>
      <w:bookmarkStart w:id="280" w:name="_Toc419713752"/>
      <w:bookmarkStart w:id="281" w:name="_Toc419713852"/>
      <w:bookmarkStart w:id="282" w:name="_Toc426464998"/>
      <w:bookmarkStart w:id="283" w:name="_Toc448483696"/>
      <w:bookmarkStart w:id="284" w:name="_Toc450913438"/>
      <w:bookmarkStart w:id="285" w:name="_Toc455395384"/>
      <w:bookmarkStart w:id="286" w:name="_Toc455395485"/>
      <w:r>
        <w:rPr>
          <w:rStyle w:val="CharSchNo"/>
        </w:rPr>
        <w:t>Schedule 4</w:t>
      </w:r>
      <w:r>
        <w:t> — </w:t>
      </w:r>
      <w:r>
        <w:rPr>
          <w:rStyle w:val="CharSchText"/>
        </w:rPr>
        <w:t>Saving, validation and transitional provisions</w:t>
      </w:r>
      <w:bookmarkEnd w:id="277"/>
      <w:bookmarkEnd w:id="278"/>
      <w:bookmarkEnd w:id="279"/>
      <w:bookmarkEnd w:id="280"/>
      <w:bookmarkEnd w:id="281"/>
      <w:bookmarkEnd w:id="282"/>
      <w:bookmarkEnd w:id="283"/>
      <w:bookmarkEnd w:id="284"/>
      <w:bookmarkEnd w:id="285"/>
      <w:bookmarkEnd w:id="286"/>
    </w:p>
    <w:p>
      <w:pPr>
        <w:pStyle w:val="yShoulderClause"/>
        <w:rPr>
          <w:snapToGrid w:val="0"/>
        </w:rPr>
      </w:pPr>
      <w:r>
        <w:rPr>
          <w:snapToGrid w:val="0"/>
        </w:rPr>
        <w:t>[s. 47]</w:t>
      </w:r>
    </w:p>
    <w:p>
      <w:pPr>
        <w:pStyle w:val="yFootnoteheading"/>
      </w:pPr>
      <w:r>
        <w:tab/>
        <w:t>[Heading amended by No. 19 of 2010 s. 4.]</w:t>
      </w:r>
    </w:p>
    <w:p>
      <w:pPr>
        <w:pStyle w:val="yHeading5"/>
        <w:ind w:left="890" w:hanging="890"/>
        <w:outlineLvl w:val="9"/>
        <w:rPr>
          <w:snapToGrid w:val="0"/>
        </w:rPr>
      </w:pPr>
      <w:bookmarkStart w:id="287" w:name="_Toc381881114"/>
      <w:bookmarkStart w:id="288" w:name="_Toc455395486"/>
      <w:r>
        <w:rPr>
          <w:rStyle w:val="CharSClsNo"/>
        </w:rPr>
        <w:t>1</w:t>
      </w:r>
      <w:r>
        <w:rPr>
          <w:snapToGrid w:val="0"/>
        </w:rPr>
        <w:t>.</w:t>
      </w:r>
      <w:r>
        <w:rPr>
          <w:snapToGrid w:val="0"/>
        </w:rPr>
        <w:tab/>
        <w:t>Terms used</w:t>
      </w:r>
      <w:bookmarkEnd w:id="287"/>
      <w:bookmarkEnd w:id="288"/>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289" w:name="_Toc381881115"/>
      <w:bookmarkStart w:id="290" w:name="_Toc455395487"/>
      <w:r>
        <w:rPr>
          <w:rStyle w:val="CharSClsNo"/>
        </w:rPr>
        <w:t>2</w:t>
      </w:r>
      <w:r>
        <w:rPr>
          <w:snapToGrid w:val="0"/>
        </w:rPr>
        <w:t>.</w:t>
      </w:r>
      <w:r>
        <w:rPr>
          <w:snapToGrid w:val="0"/>
        </w:rPr>
        <w:tab/>
        <w:t>Transfer of assets, liabilities and records of MVIT</w:t>
      </w:r>
      <w:bookmarkEnd w:id="289"/>
      <w:bookmarkEnd w:id="290"/>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w:t>
      </w:r>
      <w:r>
        <w:rPr>
          <w:snapToGrid w:val="0"/>
          <w:vertAlign w:val="superscript"/>
        </w:rPr>
        <w:t> 5</w:t>
      </w:r>
      <w:r>
        <w:rPr>
          <w:snapToGrid w:val="0"/>
        </w:rPr>
        <w:t xml:space="preserve">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291" w:name="_Toc381881116"/>
      <w:bookmarkStart w:id="292" w:name="_Toc455395488"/>
      <w:r>
        <w:rPr>
          <w:rStyle w:val="CharSClsNo"/>
        </w:rPr>
        <w:t>3</w:t>
      </w:r>
      <w:r>
        <w:rPr>
          <w:snapToGrid w:val="0"/>
        </w:rPr>
        <w:t>.</w:t>
      </w:r>
      <w:r>
        <w:rPr>
          <w:snapToGrid w:val="0"/>
        </w:rPr>
        <w:tab/>
        <w:t>MVIT insurance policies</w:t>
      </w:r>
      <w:bookmarkEnd w:id="291"/>
      <w:bookmarkEnd w:id="292"/>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293" w:name="_Toc381881117"/>
      <w:bookmarkStart w:id="294" w:name="_Toc455395489"/>
      <w:r>
        <w:rPr>
          <w:rStyle w:val="CharSClsNo"/>
        </w:rPr>
        <w:t>4</w:t>
      </w:r>
      <w:r>
        <w:rPr>
          <w:snapToGrid w:val="0"/>
        </w:rPr>
        <w:t>.</w:t>
      </w:r>
      <w:r>
        <w:rPr>
          <w:snapToGrid w:val="0"/>
        </w:rPr>
        <w:tab/>
        <w:t>Agreements, instruments, determinations and proceedings generally</w:t>
      </w:r>
      <w:bookmarkEnd w:id="293"/>
      <w:bookmarkEnd w:id="294"/>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295" w:name="_Toc381881118"/>
      <w:bookmarkStart w:id="296" w:name="_Toc455395490"/>
      <w:r>
        <w:rPr>
          <w:rStyle w:val="CharSClsNo"/>
        </w:rPr>
        <w:t>5</w:t>
      </w:r>
      <w:r>
        <w:rPr>
          <w:snapToGrid w:val="0"/>
        </w:rPr>
        <w:t>.</w:t>
      </w:r>
      <w:r>
        <w:rPr>
          <w:snapToGrid w:val="0"/>
        </w:rPr>
        <w:tab/>
        <w:t>Final reports on operations of MVIT</w:t>
      </w:r>
      <w:bookmarkEnd w:id="295"/>
      <w:bookmarkEnd w:id="296"/>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6</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297" w:name="_Toc381881119"/>
      <w:bookmarkStart w:id="298" w:name="_Toc455395491"/>
      <w:r>
        <w:rPr>
          <w:rStyle w:val="CharSClsNo"/>
        </w:rPr>
        <w:t>6</w:t>
      </w:r>
      <w:r>
        <w:rPr>
          <w:snapToGrid w:val="0"/>
        </w:rPr>
        <w:t>.</w:t>
      </w:r>
      <w:r>
        <w:rPr>
          <w:snapToGrid w:val="0"/>
        </w:rPr>
        <w:tab/>
        <w:t>Assessment as to sufficiency of income</w:t>
      </w:r>
      <w:bookmarkEnd w:id="297"/>
      <w:bookmarkEnd w:id="298"/>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299" w:name="_Toc381881120"/>
      <w:bookmarkStart w:id="300" w:name="_Toc455395492"/>
      <w:r>
        <w:rPr>
          <w:rStyle w:val="CharSClsNo"/>
        </w:rPr>
        <w:t>7</w:t>
      </w:r>
      <w:r>
        <w:rPr>
          <w:snapToGrid w:val="0"/>
        </w:rPr>
        <w:t>.</w:t>
      </w:r>
      <w:r>
        <w:rPr>
          <w:snapToGrid w:val="0"/>
        </w:rPr>
        <w:tab/>
        <w:t>Employment of current officers</w:t>
      </w:r>
      <w:bookmarkEnd w:id="299"/>
      <w:bookmarkEnd w:id="300"/>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301" w:name="_Toc381881121"/>
      <w:bookmarkStart w:id="302" w:name="_Toc455395493"/>
      <w:r>
        <w:rPr>
          <w:rStyle w:val="CharSClsNo"/>
        </w:rPr>
        <w:t>8</w:t>
      </w:r>
      <w:r>
        <w:rPr>
          <w:snapToGrid w:val="0"/>
        </w:rPr>
        <w:t>.</w:t>
      </w:r>
      <w:r>
        <w:rPr>
          <w:snapToGrid w:val="0"/>
        </w:rPr>
        <w:tab/>
        <w:t>References to MVIT in laws</w:t>
      </w:r>
      <w:bookmarkEnd w:id="301"/>
      <w:bookmarkEnd w:id="302"/>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303" w:name="_Toc381881122"/>
      <w:bookmarkStart w:id="304" w:name="_Toc455395494"/>
      <w:r>
        <w:rPr>
          <w:rStyle w:val="CharSClsNo"/>
        </w:rPr>
        <w:t>9</w:t>
      </w:r>
      <w:r>
        <w:rPr>
          <w:snapToGrid w:val="0"/>
        </w:rPr>
        <w:t>.</w:t>
      </w:r>
      <w:r>
        <w:rPr>
          <w:snapToGrid w:val="0"/>
        </w:rPr>
        <w:tab/>
        <w:t>Transfer of assets, liabilities and records of SGIO</w:t>
      </w:r>
      <w:bookmarkEnd w:id="303"/>
      <w:bookmarkEnd w:id="304"/>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305" w:name="_Toc381881123"/>
      <w:bookmarkStart w:id="306" w:name="_Toc455395495"/>
      <w:r>
        <w:rPr>
          <w:rStyle w:val="CharSClsNo"/>
        </w:rPr>
        <w:t>10</w:t>
      </w:r>
      <w:r>
        <w:rPr>
          <w:snapToGrid w:val="0"/>
        </w:rPr>
        <w:t>.</w:t>
      </w:r>
      <w:r>
        <w:rPr>
          <w:snapToGrid w:val="0"/>
        </w:rPr>
        <w:tab/>
        <w:t>SGIO insurance policies and re</w:t>
      </w:r>
      <w:r>
        <w:rPr>
          <w:snapToGrid w:val="0"/>
        </w:rPr>
        <w:noBreakHyphen/>
        <w:t>insurance</w:t>
      </w:r>
      <w:bookmarkEnd w:id="305"/>
      <w:bookmarkEnd w:id="306"/>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7</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307" w:name="_Toc381881124"/>
      <w:bookmarkStart w:id="308" w:name="_Toc455395496"/>
      <w:r>
        <w:rPr>
          <w:rStyle w:val="CharSClsNo"/>
        </w:rPr>
        <w:t>11</w:t>
      </w:r>
      <w:r>
        <w:rPr>
          <w:snapToGrid w:val="0"/>
        </w:rPr>
        <w:t>.</w:t>
      </w:r>
      <w:r>
        <w:rPr>
          <w:snapToGrid w:val="0"/>
        </w:rPr>
        <w:tab/>
        <w:t>Agents and brokers</w:t>
      </w:r>
      <w:bookmarkEnd w:id="307"/>
      <w:bookmarkEnd w:id="308"/>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8</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309" w:name="_Toc381881125"/>
      <w:bookmarkStart w:id="310" w:name="_Toc455395497"/>
      <w:r>
        <w:rPr>
          <w:rStyle w:val="CharSClsNo"/>
        </w:rPr>
        <w:t>12</w:t>
      </w:r>
      <w:r>
        <w:rPr>
          <w:snapToGrid w:val="0"/>
        </w:rPr>
        <w:t>.</w:t>
      </w:r>
      <w:r>
        <w:rPr>
          <w:snapToGrid w:val="0"/>
        </w:rPr>
        <w:tab/>
        <w:t>Agreements, instruments and proceedings generally</w:t>
      </w:r>
      <w:bookmarkEnd w:id="309"/>
      <w:bookmarkEnd w:id="310"/>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311" w:name="_Toc381881126"/>
      <w:bookmarkStart w:id="312" w:name="_Toc455395498"/>
      <w:r>
        <w:rPr>
          <w:rStyle w:val="CharSClsNo"/>
        </w:rPr>
        <w:t>13</w:t>
      </w:r>
      <w:r>
        <w:rPr>
          <w:snapToGrid w:val="0"/>
        </w:rPr>
        <w:t>.</w:t>
      </w:r>
      <w:r>
        <w:rPr>
          <w:snapToGrid w:val="0"/>
        </w:rPr>
        <w:tab/>
        <w:t>Final reports on operations of SGIO</w:t>
      </w:r>
      <w:bookmarkEnd w:id="311"/>
      <w:bookmarkEnd w:id="312"/>
    </w:p>
    <w:p>
      <w:pPr>
        <w:pStyle w:val="ySubsection"/>
        <w:rPr>
          <w:snapToGrid w:val="0"/>
        </w:rPr>
      </w:pPr>
      <w:r>
        <w:rPr>
          <w:snapToGrid w:val="0"/>
        </w:rPr>
        <w:tab/>
        <w:t>(1)</w:t>
      </w:r>
      <w:r>
        <w:rPr>
          <w:snapToGrid w:val="0"/>
        </w:rPr>
        <w:tab/>
        <w:t>If sections 21(1), (2) and (3) and 22</w:t>
      </w:r>
      <w:r>
        <w:rPr>
          <w:snapToGrid w:val="0"/>
          <w:vertAlign w:val="superscript"/>
        </w:rPr>
        <w:t> 9</w:t>
      </w:r>
      <w:r>
        <w:rPr>
          <w:snapToGrid w:val="0"/>
        </w:rPr>
        <w:t xml:space="preserve">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6</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313" w:name="_Toc381881127"/>
      <w:bookmarkStart w:id="314" w:name="_Toc455395499"/>
      <w:r>
        <w:rPr>
          <w:rStyle w:val="CharSClsNo"/>
        </w:rPr>
        <w:t>14</w:t>
      </w:r>
      <w:r>
        <w:rPr>
          <w:snapToGrid w:val="0"/>
        </w:rPr>
        <w:t>.</w:t>
      </w:r>
      <w:r>
        <w:rPr>
          <w:snapToGrid w:val="0"/>
        </w:rPr>
        <w:tab/>
        <w:t>Certain outstanding obligations to be met by Commission</w:t>
      </w:r>
      <w:bookmarkEnd w:id="313"/>
      <w:bookmarkEnd w:id="314"/>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315" w:name="_Toc381881128"/>
      <w:bookmarkStart w:id="316" w:name="_Toc455395500"/>
      <w:r>
        <w:rPr>
          <w:rStyle w:val="CharSClsNo"/>
        </w:rPr>
        <w:t>15</w:t>
      </w:r>
      <w:r>
        <w:rPr>
          <w:snapToGrid w:val="0"/>
        </w:rPr>
        <w:t>.</w:t>
      </w:r>
      <w:r>
        <w:rPr>
          <w:snapToGrid w:val="0"/>
        </w:rPr>
        <w:tab/>
        <w:t>Saving of presumption and protection</w:t>
      </w:r>
      <w:bookmarkEnd w:id="315"/>
      <w:bookmarkEnd w:id="316"/>
    </w:p>
    <w:p>
      <w:pPr>
        <w:pStyle w:val="ySubsection"/>
        <w:rPr>
          <w:snapToGrid w:val="0"/>
        </w:rPr>
      </w:pPr>
      <w:r>
        <w:rPr>
          <w:snapToGrid w:val="0"/>
        </w:rPr>
        <w:tab/>
      </w:r>
      <w:r>
        <w:rPr>
          <w:snapToGrid w:val="0"/>
        </w:rPr>
        <w:tab/>
        <w:t>Notwithstanding section 46(2) and Schedule 3 — </w:t>
      </w:r>
    </w:p>
    <w:p>
      <w:pPr>
        <w:pStyle w:val="yIndenta"/>
        <w:spacing w:before="60"/>
        <w:rPr>
          <w:snapToGrid w:val="0"/>
        </w:rPr>
      </w:pPr>
      <w:r>
        <w:rPr>
          <w:snapToGrid w:val="0"/>
        </w:rPr>
        <w:tab/>
        <w:t>(a)</w:t>
      </w:r>
      <w:r>
        <w:rPr>
          <w:snapToGrid w:val="0"/>
        </w:rPr>
        <w:tab/>
        <w:t>section 26</w:t>
      </w:r>
      <w:r>
        <w:rPr>
          <w:snapToGrid w:val="0"/>
          <w:vertAlign w:val="superscript"/>
        </w:rPr>
        <w:t> 10</w:t>
      </w:r>
      <w:r>
        <w:rPr>
          <w:snapToGrid w:val="0"/>
        </w:rPr>
        <w:t xml:space="preserve">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spacing w:before="60"/>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317" w:name="_Toc381881129"/>
      <w:bookmarkStart w:id="318" w:name="_Toc455395501"/>
      <w:r>
        <w:rPr>
          <w:rStyle w:val="CharSClsNo"/>
        </w:rPr>
        <w:t>16</w:t>
      </w:r>
      <w:r>
        <w:rPr>
          <w:snapToGrid w:val="0"/>
        </w:rPr>
        <w:t>.</w:t>
      </w:r>
      <w:r>
        <w:rPr>
          <w:snapToGrid w:val="0"/>
        </w:rPr>
        <w:tab/>
        <w:t>Employment of staff of SGIO</w:t>
      </w:r>
      <w:bookmarkEnd w:id="317"/>
      <w:bookmarkEnd w:id="318"/>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319" w:name="_Toc381881130"/>
      <w:bookmarkStart w:id="320" w:name="_Toc455395502"/>
      <w:r>
        <w:rPr>
          <w:rStyle w:val="CharSClsNo"/>
        </w:rPr>
        <w:t>17</w:t>
      </w:r>
      <w:r>
        <w:rPr>
          <w:snapToGrid w:val="0"/>
        </w:rPr>
        <w:t>.</w:t>
      </w:r>
      <w:r>
        <w:rPr>
          <w:snapToGrid w:val="0"/>
        </w:rPr>
        <w:tab/>
        <w:t>References to the SGIO in laws</w:t>
      </w:r>
      <w:bookmarkEnd w:id="319"/>
      <w:bookmarkEnd w:id="320"/>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321" w:name="_Toc381881131"/>
      <w:bookmarkStart w:id="322" w:name="_Toc455395503"/>
      <w:r>
        <w:rPr>
          <w:rStyle w:val="CharSClsNo"/>
        </w:rPr>
        <w:t>18</w:t>
      </w:r>
      <w:r>
        <w:rPr>
          <w:snapToGrid w:val="0"/>
        </w:rPr>
        <w:t>.</w:t>
      </w:r>
      <w:r>
        <w:rPr>
          <w:snapToGrid w:val="0"/>
        </w:rPr>
        <w:tab/>
        <w:t>Apportionment of assets and liabilities</w:t>
      </w:r>
      <w:bookmarkEnd w:id="321"/>
      <w:bookmarkEnd w:id="322"/>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323" w:name="_Toc381881132"/>
      <w:bookmarkStart w:id="324" w:name="_Toc455395504"/>
      <w:r>
        <w:rPr>
          <w:rStyle w:val="CharSClsNo"/>
        </w:rPr>
        <w:t>19</w:t>
      </w:r>
      <w:r>
        <w:rPr>
          <w:snapToGrid w:val="0"/>
        </w:rPr>
        <w:t>.</w:t>
      </w:r>
      <w:r>
        <w:rPr>
          <w:snapToGrid w:val="0"/>
        </w:rPr>
        <w:tab/>
        <w:t>Interpretation Act to apply</w:t>
      </w:r>
      <w:bookmarkEnd w:id="323"/>
      <w:bookmarkEnd w:id="324"/>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Subsection"/>
        <w:rPr>
          <w:snapToGrid w:val="0"/>
        </w:rPr>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25" w:name="_Toc381880312"/>
      <w:bookmarkStart w:id="326" w:name="_Toc381880413"/>
      <w:bookmarkStart w:id="327" w:name="_Toc381881133"/>
      <w:bookmarkStart w:id="328" w:name="_Toc419713772"/>
      <w:bookmarkStart w:id="329" w:name="_Toc419713872"/>
      <w:bookmarkStart w:id="330" w:name="_Toc426465018"/>
      <w:bookmarkStart w:id="331" w:name="_Toc448483716"/>
      <w:bookmarkStart w:id="332" w:name="_Toc450913458"/>
      <w:bookmarkStart w:id="333" w:name="_Toc455395404"/>
      <w:bookmarkStart w:id="334" w:name="_Toc455395505"/>
      <w:r>
        <w:t>Notes</w:t>
      </w:r>
      <w:bookmarkEnd w:id="325"/>
      <w:bookmarkEnd w:id="326"/>
      <w:bookmarkEnd w:id="327"/>
      <w:bookmarkEnd w:id="328"/>
      <w:bookmarkEnd w:id="329"/>
      <w:bookmarkEnd w:id="330"/>
      <w:bookmarkEnd w:id="331"/>
      <w:bookmarkEnd w:id="332"/>
      <w:bookmarkEnd w:id="333"/>
      <w:bookmarkEnd w:id="334"/>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80" w:after="80"/>
      </w:pPr>
      <w:bookmarkStart w:id="335" w:name="_Toc381881134"/>
      <w:bookmarkStart w:id="336" w:name="_Toc455395506"/>
      <w:r>
        <w:t>Compilation table</w:t>
      </w:r>
      <w:bookmarkEnd w:id="335"/>
      <w:bookmarkEnd w:id="336"/>
    </w:p>
    <w:tbl>
      <w:tblPr>
        <w:tblW w:w="0" w:type="auto"/>
        <w:tblInd w:w="56" w:type="dxa"/>
        <w:tblLayout w:type="fixed"/>
        <w:tblCellMar>
          <w:left w:w="56" w:type="dxa"/>
          <w:right w:w="56" w:type="dxa"/>
        </w:tblCellMar>
        <w:tblLook w:val="0000" w:firstRow="0" w:lastRow="0" w:firstColumn="0" w:lastColumn="0" w:noHBand="0" w:noVBand="0"/>
      </w:tblPr>
      <w:tblGrid>
        <w:gridCol w:w="2410"/>
        <w:gridCol w:w="992"/>
        <w:gridCol w:w="1134"/>
        <w:gridCol w:w="2552"/>
      </w:tblGrid>
      <w:tr>
        <w:trPr>
          <w:cantSplit/>
          <w:tblHeader/>
        </w:trPr>
        <w:tc>
          <w:tcPr>
            <w:tcW w:w="241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410" w:type="dxa"/>
          </w:tcPr>
          <w:p>
            <w:pPr>
              <w:pStyle w:val="nTable"/>
              <w:spacing w:before="30" w:after="40"/>
              <w:ind w:right="113"/>
              <w:rPr>
                <w:vertAlign w:val="superscript"/>
              </w:rPr>
            </w:pPr>
            <w:r>
              <w:rPr>
                <w:i/>
              </w:rPr>
              <w:t>State Government Insurance Commission Act 1986</w:t>
            </w:r>
            <w:r>
              <w:rPr>
                <w:i/>
                <w:vertAlign w:val="superscript"/>
              </w:rPr>
              <w:t> </w:t>
            </w:r>
            <w:r>
              <w:rPr>
                <w:iCs/>
                <w:vertAlign w:val="superscript"/>
              </w:rPr>
              <w:t>14</w:t>
            </w:r>
          </w:p>
        </w:tc>
        <w:tc>
          <w:tcPr>
            <w:tcW w:w="992" w:type="dxa"/>
          </w:tcPr>
          <w:p>
            <w:pPr>
              <w:pStyle w:val="nTable"/>
              <w:spacing w:before="30" w:after="40"/>
            </w:pPr>
            <w:r>
              <w:t>51 of 1986</w:t>
            </w:r>
          </w:p>
        </w:tc>
        <w:tc>
          <w:tcPr>
            <w:tcW w:w="1134" w:type="dxa"/>
          </w:tcPr>
          <w:p>
            <w:pPr>
              <w:pStyle w:val="nTable"/>
              <w:spacing w:before="30" w:after="40"/>
            </w:pPr>
            <w:r>
              <w:t>5 Aug 1986</w:t>
            </w:r>
          </w:p>
        </w:tc>
        <w:tc>
          <w:tcPr>
            <w:tcW w:w="2552" w:type="dxa"/>
          </w:tcPr>
          <w:p>
            <w:pPr>
              <w:pStyle w:val="nTable"/>
              <w:spacing w:before="30" w:after="40"/>
            </w:pPr>
            <w:r>
              <w:rPr>
                <w:color w:val="000000"/>
              </w:rPr>
              <w:t>s. 1 and 2: 5 Aug 1986;</w:t>
            </w:r>
            <w:r>
              <w:rPr>
                <w:color w:val="000000"/>
              </w:rPr>
              <w:br/>
              <w:t xml:space="preserve">Act other than s. 1 and 2: </w:t>
            </w:r>
            <w:r>
              <w:t xml:space="preserve">1 Jan 1987 (see s. 2 and </w:t>
            </w:r>
            <w:r>
              <w:rPr>
                <w:i/>
              </w:rPr>
              <w:t>Gazette</w:t>
            </w:r>
            <w:r>
              <w:t xml:space="preserve"> 19 Dec 1986 p. 4859)</w:t>
            </w:r>
          </w:p>
        </w:tc>
      </w:tr>
      <w:tr>
        <w:trPr>
          <w:cantSplit/>
        </w:trPr>
        <w:tc>
          <w:tcPr>
            <w:tcW w:w="2410" w:type="dxa"/>
          </w:tcPr>
          <w:p>
            <w:pPr>
              <w:pStyle w:val="nTable"/>
              <w:spacing w:before="30" w:after="40"/>
              <w:ind w:right="113"/>
            </w:pPr>
            <w:r>
              <w:rPr>
                <w:i/>
              </w:rPr>
              <w:t xml:space="preserve">Acts Amendment (Public Service) Act 1987 </w:t>
            </w:r>
            <w:r>
              <w:t>s. 32</w:t>
            </w:r>
          </w:p>
        </w:tc>
        <w:tc>
          <w:tcPr>
            <w:tcW w:w="992" w:type="dxa"/>
          </w:tcPr>
          <w:p>
            <w:pPr>
              <w:pStyle w:val="nTable"/>
              <w:spacing w:before="30" w:after="40"/>
            </w:pPr>
            <w:r>
              <w:t>113 of 1987</w:t>
            </w:r>
          </w:p>
        </w:tc>
        <w:tc>
          <w:tcPr>
            <w:tcW w:w="1134" w:type="dxa"/>
          </w:tcPr>
          <w:p>
            <w:pPr>
              <w:pStyle w:val="nTable"/>
              <w:spacing w:before="30" w:after="40"/>
            </w:pPr>
            <w:r>
              <w:t>31 Dec 1987</w:t>
            </w:r>
          </w:p>
        </w:tc>
        <w:tc>
          <w:tcPr>
            <w:tcW w:w="2552" w:type="dxa"/>
          </w:tcPr>
          <w:p>
            <w:pPr>
              <w:pStyle w:val="nTable"/>
              <w:spacing w:before="30" w:after="40"/>
            </w:pPr>
            <w:r>
              <w:t xml:space="preserve">16 Mar 1988 (see s. 2 and </w:t>
            </w:r>
            <w:r>
              <w:rPr>
                <w:i/>
              </w:rPr>
              <w:t>Gazette</w:t>
            </w:r>
            <w:r>
              <w:t xml:space="preserve"> 16 Mar 1988 p. 813)</w:t>
            </w:r>
          </w:p>
        </w:tc>
      </w:tr>
      <w:tr>
        <w:trPr>
          <w:cantSplit/>
        </w:trPr>
        <w:tc>
          <w:tcPr>
            <w:tcW w:w="2410" w:type="dxa"/>
          </w:tcPr>
          <w:p>
            <w:pPr>
              <w:pStyle w:val="nTable"/>
              <w:spacing w:before="30" w:after="40"/>
              <w:ind w:right="113"/>
            </w:pPr>
            <w:r>
              <w:rPr>
                <w:i/>
              </w:rPr>
              <w:t>Acts Amendment (Accountability) Act 1989</w:t>
            </w:r>
            <w:r>
              <w:t xml:space="preserve"> Pt. 6</w:t>
            </w:r>
          </w:p>
        </w:tc>
        <w:tc>
          <w:tcPr>
            <w:tcW w:w="992" w:type="dxa"/>
          </w:tcPr>
          <w:p>
            <w:pPr>
              <w:pStyle w:val="nTable"/>
              <w:spacing w:before="30" w:after="40"/>
            </w:pPr>
            <w:r>
              <w:t>5 of 1989</w:t>
            </w:r>
          </w:p>
        </w:tc>
        <w:tc>
          <w:tcPr>
            <w:tcW w:w="1134" w:type="dxa"/>
          </w:tcPr>
          <w:p>
            <w:pPr>
              <w:pStyle w:val="nTable"/>
              <w:spacing w:before="30" w:after="40"/>
            </w:pPr>
            <w:r>
              <w:t>26 Apr 1989</w:t>
            </w:r>
          </w:p>
        </w:tc>
        <w:tc>
          <w:tcPr>
            <w:tcW w:w="2552" w:type="dxa"/>
          </w:tcPr>
          <w:p>
            <w:pPr>
              <w:pStyle w:val="nTable"/>
              <w:spacing w:before="30" w:after="40"/>
            </w:pPr>
            <w:r>
              <w:t xml:space="preserve">1 Jul 1989 (see s. 2 and </w:t>
            </w:r>
            <w:r>
              <w:rPr>
                <w:i/>
              </w:rPr>
              <w:t>Gazette</w:t>
            </w:r>
            <w:r>
              <w:t xml:space="preserve"> 30 Jun 1989 p. 1893)</w:t>
            </w:r>
          </w:p>
        </w:tc>
      </w:tr>
      <w:tr>
        <w:trPr>
          <w:cantSplit/>
        </w:trPr>
        <w:tc>
          <w:tcPr>
            <w:tcW w:w="2410" w:type="dxa"/>
          </w:tcPr>
          <w:p>
            <w:pPr>
              <w:pStyle w:val="nTable"/>
              <w:spacing w:before="30" w:after="40"/>
              <w:ind w:right="113"/>
            </w:pPr>
            <w:r>
              <w:rPr>
                <w:i/>
              </w:rPr>
              <w:t>SGIO Privatisation Act 1992</w:t>
            </w:r>
            <w:r>
              <w:t xml:space="preserve"> s. 28</w:t>
            </w:r>
          </w:p>
        </w:tc>
        <w:tc>
          <w:tcPr>
            <w:tcW w:w="992" w:type="dxa"/>
          </w:tcPr>
          <w:p>
            <w:pPr>
              <w:pStyle w:val="nTable"/>
              <w:spacing w:before="30" w:after="40"/>
            </w:pPr>
            <w:r>
              <w:t>49 of 1992</w:t>
            </w:r>
          </w:p>
        </w:tc>
        <w:tc>
          <w:tcPr>
            <w:tcW w:w="1134" w:type="dxa"/>
          </w:tcPr>
          <w:p>
            <w:pPr>
              <w:pStyle w:val="nTable"/>
              <w:spacing w:before="30" w:after="40"/>
            </w:pPr>
            <w:r>
              <w:t>9 Dec 1992</w:t>
            </w:r>
          </w:p>
        </w:tc>
        <w:tc>
          <w:tcPr>
            <w:tcW w:w="2552" w:type="dxa"/>
          </w:tcPr>
          <w:p>
            <w:pPr>
              <w:pStyle w:val="nTable"/>
              <w:spacing w:before="30" w:after="40"/>
            </w:pPr>
            <w:r>
              <w:t xml:space="preserve">7 Jan 1993 (see s. 2(3) and </w:t>
            </w:r>
            <w:r>
              <w:rPr>
                <w:i/>
              </w:rPr>
              <w:t>Gazette</w:t>
            </w:r>
            <w:r>
              <w:t xml:space="preserve"> 7 Jan 1993 p. 15)</w:t>
            </w:r>
          </w:p>
        </w:tc>
      </w:tr>
      <w:tr>
        <w:trPr>
          <w:cantSplit/>
        </w:trPr>
        <w:tc>
          <w:tcPr>
            <w:tcW w:w="2410" w:type="dxa"/>
          </w:tcPr>
          <w:p>
            <w:pPr>
              <w:pStyle w:val="nTable"/>
              <w:spacing w:before="30" w:after="40"/>
              <w:ind w:right="113"/>
            </w:pPr>
            <w:r>
              <w:rPr>
                <w:i/>
              </w:rPr>
              <w:t>Financial Administration Legislation Amendment Act 1993</w:t>
            </w:r>
            <w:r>
              <w:t xml:space="preserve"> s. 11</w:t>
            </w:r>
          </w:p>
        </w:tc>
        <w:tc>
          <w:tcPr>
            <w:tcW w:w="992" w:type="dxa"/>
          </w:tcPr>
          <w:p>
            <w:pPr>
              <w:pStyle w:val="nTable"/>
              <w:spacing w:before="30" w:after="40"/>
            </w:pPr>
            <w:r>
              <w:t>6 of 1993</w:t>
            </w:r>
          </w:p>
        </w:tc>
        <w:tc>
          <w:tcPr>
            <w:tcW w:w="1134" w:type="dxa"/>
          </w:tcPr>
          <w:p>
            <w:pPr>
              <w:pStyle w:val="nTable"/>
              <w:spacing w:before="30" w:after="40"/>
            </w:pPr>
            <w:r>
              <w:t>27 Aug 1993</w:t>
            </w:r>
          </w:p>
        </w:tc>
        <w:tc>
          <w:tcPr>
            <w:tcW w:w="2552" w:type="dxa"/>
          </w:tcPr>
          <w:p>
            <w:pPr>
              <w:pStyle w:val="nTable"/>
              <w:spacing w:before="30" w:after="40"/>
            </w:pPr>
            <w:r>
              <w:t xml:space="preserve"> 1 Jul 1993 (see s. 2(1))</w:t>
            </w:r>
          </w:p>
        </w:tc>
      </w:tr>
      <w:tr>
        <w:trPr>
          <w:cantSplit/>
        </w:trPr>
        <w:tc>
          <w:tcPr>
            <w:tcW w:w="2410" w:type="dxa"/>
          </w:tcPr>
          <w:p>
            <w:pPr>
              <w:pStyle w:val="nTable"/>
              <w:spacing w:before="30" w:after="40"/>
              <w:ind w:right="113"/>
            </w:pPr>
            <w:r>
              <w:rPr>
                <w:i/>
              </w:rPr>
              <w:t>Acts Amendment (Public Sector Management) Act 1994</w:t>
            </w:r>
            <w:r>
              <w:t xml:space="preserve"> s. 19</w:t>
            </w:r>
          </w:p>
        </w:tc>
        <w:tc>
          <w:tcPr>
            <w:tcW w:w="992" w:type="dxa"/>
          </w:tcPr>
          <w:p>
            <w:pPr>
              <w:pStyle w:val="nTable"/>
              <w:spacing w:before="30" w:after="40"/>
            </w:pPr>
            <w:r>
              <w:t>32 of 1994</w:t>
            </w:r>
          </w:p>
        </w:tc>
        <w:tc>
          <w:tcPr>
            <w:tcW w:w="1134" w:type="dxa"/>
          </w:tcPr>
          <w:p>
            <w:pPr>
              <w:pStyle w:val="nTable"/>
              <w:spacing w:before="30" w:after="40"/>
            </w:pPr>
            <w:r>
              <w:t>29 Jun 1994</w:t>
            </w:r>
          </w:p>
        </w:tc>
        <w:tc>
          <w:tcPr>
            <w:tcW w:w="2552" w:type="dxa"/>
          </w:tcPr>
          <w:p>
            <w:pPr>
              <w:pStyle w:val="nTable"/>
              <w:spacing w:before="30" w:after="40"/>
            </w:pPr>
            <w:r>
              <w:t xml:space="preserve">1 Oct 1994 (see s. 2 and </w:t>
            </w:r>
            <w:r>
              <w:rPr>
                <w:i/>
              </w:rPr>
              <w:t>Gazette</w:t>
            </w:r>
            <w:r>
              <w:t xml:space="preserve"> 30 Sep 1994 p. 4948)</w:t>
            </w:r>
          </w:p>
        </w:tc>
      </w:tr>
      <w:tr>
        <w:trPr>
          <w:cantSplit/>
        </w:trPr>
        <w:tc>
          <w:tcPr>
            <w:tcW w:w="2410" w:type="dxa"/>
          </w:tcPr>
          <w:p>
            <w:pPr>
              <w:pStyle w:val="nTable"/>
              <w:spacing w:before="30" w:after="40"/>
              <w:ind w:right="113"/>
            </w:pPr>
            <w:r>
              <w:rPr>
                <w:i/>
              </w:rPr>
              <w:t>Statutory Corporations (Liability of Directors) Act 1996</w:t>
            </w:r>
            <w:r>
              <w:t xml:space="preserve"> s. 3</w:t>
            </w:r>
          </w:p>
        </w:tc>
        <w:tc>
          <w:tcPr>
            <w:tcW w:w="992" w:type="dxa"/>
          </w:tcPr>
          <w:p>
            <w:pPr>
              <w:pStyle w:val="nTable"/>
              <w:spacing w:before="30" w:after="40"/>
            </w:pPr>
            <w:r>
              <w:t>41 of 1996</w:t>
            </w:r>
          </w:p>
        </w:tc>
        <w:tc>
          <w:tcPr>
            <w:tcW w:w="1134" w:type="dxa"/>
          </w:tcPr>
          <w:p>
            <w:pPr>
              <w:pStyle w:val="nTable"/>
              <w:spacing w:before="30" w:after="40"/>
            </w:pPr>
            <w:r>
              <w:t>10 Oct 1996</w:t>
            </w:r>
          </w:p>
        </w:tc>
        <w:tc>
          <w:tcPr>
            <w:tcW w:w="2552" w:type="dxa"/>
          </w:tcPr>
          <w:p>
            <w:pPr>
              <w:pStyle w:val="nTable"/>
              <w:spacing w:before="30" w:after="40"/>
            </w:pPr>
            <w:r>
              <w:t xml:space="preserve">1 Dec 1996 (see s. 2 and </w:t>
            </w:r>
            <w:r>
              <w:rPr>
                <w:i/>
              </w:rPr>
              <w:t>Gazette</w:t>
            </w:r>
            <w:r>
              <w:t xml:space="preserve"> 12 Nov 1996 p. 6301)</w:t>
            </w:r>
          </w:p>
        </w:tc>
      </w:tr>
      <w:tr>
        <w:trPr>
          <w:cantSplit/>
        </w:trPr>
        <w:tc>
          <w:tcPr>
            <w:tcW w:w="2410" w:type="dxa"/>
          </w:tcPr>
          <w:p>
            <w:pPr>
              <w:pStyle w:val="nTable"/>
              <w:spacing w:before="30" w:after="40"/>
              <w:ind w:right="113"/>
              <w:rPr>
                <w:rFonts w:ascii="Arial" w:hAnsi="Arial"/>
                <w:b/>
                <w:iCs/>
              </w:rPr>
            </w:pPr>
            <w:r>
              <w:rPr>
                <w:i/>
              </w:rPr>
              <w:t xml:space="preserve">Acts Amendment (ICWA) Act 1996 </w:t>
            </w:r>
            <w:r>
              <w:rPr>
                <w:iCs/>
              </w:rPr>
              <w:t>Pt. 2 (other than s. 25 and 28)</w:t>
            </w:r>
            <w:r>
              <w:rPr>
                <w:iCs/>
                <w:vertAlign w:val="superscript"/>
              </w:rPr>
              <w:t> 15, 16</w:t>
            </w:r>
          </w:p>
        </w:tc>
        <w:tc>
          <w:tcPr>
            <w:tcW w:w="992" w:type="dxa"/>
          </w:tcPr>
          <w:p>
            <w:pPr>
              <w:pStyle w:val="nTable"/>
              <w:keepNext/>
              <w:spacing w:before="30" w:after="40"/>
            </w:pPr>
            <w:r>
              <w:t>45 of 1996</w:t>
            </w:r>
          </w:p>
        </w:tc>
        <w:tc>
          <w:tcPr>
            <w:tcW w:w="1134" w:type="dxa"/>
          </w:tcPr>
          <w:p>
            <w:pPr>
              <w:pStyle w:val="nTable"/>
              <w:keepNext/>
              <w:spacing w:before="30" w:after="40"/>
            </w:pPr>
            <w:r>
              <w:t>25 Oct 1996</w:t>
            </w:r>
          </w:p>
        </w:tc>
        <w:tc>
          <w:tcPr>
            <w:tcW w:w="2552" w:type="dxa"/>
          </w:tcPr>
          <w:p>
            <w:pPr>
              <w:pStyle w:val="nTable"/>
              <w:spacing w:before="30" w:after="40"/>
            </w:pPr>
            <w:r>
              <w:t xml:space="preserve">s. 3, 6(b) (to the extent it inserts definition of </w:t>
            </w:r>
            <w:r>
              <w:rPr>
                <w:b/>
                <w:bCs/>
                <w:i/>
                <w:iCs/>
              </w:rPr>
              <w:t>Commission Account</w:t>
            </w:r>
            <w:r>
              <w:t>), 6(c), 9</w:t>
            </w:r>
            <w:r>
              <w:noBreakHyphen/>
              <w:t>12, 15</w:t>
            </w:r>
            <w:r>
              <w:noBreakHyphen/>
              <w:t xml:space="preserve">19, 23 and 26: 14 Dec 1996 (see s. 2 and </w:t>
            </w:r>
            <w:r>
              <w:rPr>
                <w:i/>
              </w:rPr>
              <w:t>Gazette</w:t>
            </w:r>
            <w:r>
              <w:t xml:space="preserve"> 13 Dec 1996 p. 6901);</w:t>
            </w:r>
            <w:r>
              <w:br/>
              <w:t xml:space="preserve">s. 4, 5, 6(b) (to the extent it inserts the definition of </w:t>
            </w:r>
            <w:r>
              <w:rPr>
                <w:b/>
                <w:bCs/>
                <w:i/>
                <w:iCs/>
              </w:rPr>
              <w:t>Commission</w:t>
            </w:r>
            <w:r>
              <w:t>), 7, 8 and 29</w:t>
            </w:r>
            <w:r>
              <w:noBreakHyphen/>
              <w:t xml:space="preserve">37: 1 Oct 1997 (see s. 2 and </w:t>
            </w:r>
            <w:r>
              <w:rPr>
                <w:i/>
              </w:rPr>
              <w:t>Gazette</w:t>
            </w:r>
            <w:r>
              <w:t xml:space="preserve"> 23 Sep 1997 p. 5357);</w:t>
            </w:r>
            <w:r>
              <w:br/>
            </w:r>
            <w:r>
              <w:rPr>
                <w:snapToGrid w:val="0"/>
              </w:rPr>
              <w:t>s. 6(a), 13, 14, 20</w:t>
            </w:r>
            <w:r>
              <w:rPr>
                <w:snapToGrid w:val="0"/>
              </w:rPr>
              <w:noBreakHyphen/>
              <w:t xml:space="preserve">22, 24 and 27: 1 Jul 2012 (see s. 2 and </w:t>
            </w:r>
            <w:r>
              <w:rPr>
                <w:i/>
                <w:snapToGrid w:val="0"/>
              </w:rPr>
              <w:t xml:space="preserve">Gazette </w:t>
            </w:r>
            <w:r>
              <w:rPr>
                <w:snapToGrid w:val="0"/>
              </w:rPr>
              <w:t>8 Jun 2012 p. 2385)</w:t>
            </w:r>
          </w:p>
        </w:tc>
      </w:tr>
      <w:tr>
        <w:trPr>
          <w:cantSplit/>
        </w:trPr>
        <w:tc>
          <w:tcPr>
            <w:tcW w:w="2410" w:type="dxa"/>
          </w:tcPr>
          <w:p>
            <w:pPr>
              <w:pStyle w:val="nTable"/>
              <w:spacing w:after="40"/>
              <w:ind w:right="113"/>
            </w:pPr>
            <w:r>
              <w:rPr>
                <w:i/>
              </w:rPr>
              <w:t>Financial Legislation Amendment Act 1996</w:t>
            </w:r>
            <w:r>
              <w:t xml:space="preserve"> s. 64</w:t>
            </w:r>
          </w:p>
        </w:tc>
        <w:tc>
          <w:tcPr>
            <w:tcW w:w="992"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410" w:type="dxa"/>
          </w:tcPr>
          <w:p>
            <w:pPr>
              <w:pStyle w:val="nTable"/>
              <w:spacing w:after="40"/>
              <w:ind w:right="113"/>
            </w:pPr>
            <w:r>
              <w:rPr>
                <w:i/>
              </w:rPr>
              <w:t>State Enterprises (Commonwealth Tax Equivalents) Act 1996</w:t>
            </w:r>
            <w:r>
              <w:t xml:space="preserve"> s. 10(1)</w:t>
            </w:r>
          </w:p>
        </w:tc>
        <w:tc>
          <w:tcPr>
            <w:tcW w:w="992" w:type="dxa"/>
          </w:tcPr>
          <w:p>
            <w:pPr>
              <w:pStyle w:val="nTable"/>
              <w:spacing w:after="40"/>
            </w:pPr>
            <w:r>
              <w:t>55 of 1996</w:t>
            </w:r>
          </w:p>
        </w:tc>
        <w:tc>
          <w:tcPr>
            <w:tcW w:w="1134" w:type="dxa"/>
          </w:tcPr>
          <w:p>
            <w:pPr>
              <w:pStyle w:val="nTable"/>
              <w:spacing w:after="40"/>
            </w:pPr>
            <w:r>
              <w:t>11 Nov 1996</w:t>
            </w:r>
          </w:p>
        </w:tc>
        <w:tc>
          <w:tcPr>
            <w:tcW w:w="2552" w:type="dxa"/>
          </w:tcPr>
          <w:p>
            <w:pPr>
              <w:pStyle w:val="nTable"/>
              <w:spacing w:after="40"/>
            </w:pPr>
            <w:r>
              <w:t>1 Jul 1996 (see s. 2 and 3(3))</w:t>
            </w:r>
          </w:p>
        </w:tc>
      </w:tr>
      <w:tr>
        <w:trPr>
          <w:cantSplit/>
        </w:trPr>
        <w:tc>
          <w:tcPr>
            <w:tcW w:w="7088" w:type="dxa"/>
            <w:gridSpan w:val="4"/>
          </w:tcPr>
          <w:p>
            <w:pPr>
              <w:pStyle w:val="nTable"/>
              <w:spacing w:after="40"/>
            </w:pPr>
            <w:r>
              <w:rPr>
                <w:b/>
                <w:bCs/>
              </w:rPr>
              <w:t xml:space="preserve">Reprint of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12 Nov 1999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 xml:space="preserve">) </w:t>
            </w:r>
          </w:p>
        </w:tc>
      </w:tr>
      <w:tr>
        <w:trPr>
          <w:cantSplit/>
        </w:trPr>
        <w:tc>
          <w:tcPr>
            <w:tcW w:w="2410" w:type="dxa"/>
          </w:tcPr>
          <w:p>
            <w:pPr>
              <w:pStyle w:val="nTable"/>
              <w:spacing w:after="40"/>
              <w:ind w:right="113"/>
              <w:rPr>
                <w:rFonts w:ascii="Arial" w:hAnsi="Arial"/>
                <w:b/>
              </w:rPr>
            </w:pP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Amendment Act 2002</w:t>
            </w:r>
            <w:r>
              <w:rPr>
                <w:vertAlign w:val="superscript"/>
              </w:rPr>
              <w:t> 17</w:t>
            </w:r>
          </w:p>
        </w:tc>
        <w:tc>
          <w:tcPr>
            <w:tcW w:w="992" w:type="dxa"/>
          </w:tcPr>
          <w:p>
            <w:pPr>
              <w:pStyle w:val="nTable"/>
              <w:spacing w:after="40"/>
            </w:pPr>
            <w:r>
              <w:t>34 of 2002</w:t>
            </w:r>
          </w:p>
        </w:tc>
        <w:tc>
          <w:tcPr>
            <w:tcW w:w="1134" w:type="dxa"/>
          </w:tcPr>
          <w:p>
            <w:pPr>
              <w:pStyle w:val="nTable"/>
              <w:spacing w:after="40"/>
            </w:pPr>
            <w:r>
              <w:t>20 Nov 2002</w:t>
            </w:r>
          </w:p>
        </w:tc>
        <w:tc>
          <w:tcPr>
            <w:tcW w:w="2552" w:type="dxa"/>
          </w:tcPr>
          <w:p>
            <w:pPr>
              <w:pStyle w:val="nTable"/>
              <w:spacing w:after="40"/>
            </w:pPr>
            <w:r>
              <w:t>20 Nov 2002 (see s. 2)</w:t>
            </w:r>
          </w:p>
        </w:tc>
      </w:tr>
      <w:tr>
        <w:trPr>
          <w:cantSplit/>
        </w:trPr>
        <w:tc>
          <w:tcPr>
            <w:tcW w:w="2410" w:type="dxa"/>
          </w:tcPr>
          <w:p>
            <w:pPr>
              <w:pStyle w:val="nTable"/>
              <w:spacing w:after="40"/>
              <w:ind w:right="113"/>
              <w:rPr>
                <w:i/>
              </w:rPr>
            </w:pPr>
            <w:r>
              <w:rPr>
                <w:i/>
                <w:snapToGrid w:val="0"/>
              </w:rPr>
              <w:t>Workers’ Compensation Reform Act 2004</w:t>
            </w:r>
            <w:r>
              <w:rPr>
                <w:snapToGrid w:val="0"/>
              </w:rPr>
              <w:t xml:space="preserve"> s. 174</w:t>
            </w:r>
          </w:p>
        </w:tc>
        <w:tc>
          <w:tcPr>
            <w:tcW w:w="992"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snapToGrid w:val="0"/>
              </w:rPr>
              <w:t xml:space="preserve">4 Jan 2005 (see s. 2 and </w:t>
            </w:r>
            <w:r>
              <w:rPr>
                <w:i/>
                <w:snapToGrid w:val="0"/>
              </w:rPr>
              <w:t>Gazette</w:t>
            </w:r>
            <w:r>
              <w:rPr>
                <w:snapToGrid w:val="0"/>
              </w:rPr>
              <w:t xml:space="preserve"> 31 Dec 2004 p. 7131)</w:t>
            </w:r>
          </w:p>
        </w:tc>
      </w:tr>
      <w:tr>
        <w:trPr>
          <w:cantSplit/>
        </w:trPr>
        <w:tc>
          <w:tcPr>
            <w:tcW w:w="2410" w:type="dxa"/>
          </w:tcPr>
          <w:p>
            <w:pPr>
              <w:pStyle w:val="nTable"/>
              <w:spacing w:after="40"/>
              <w:ind w:right="113"/>
              <w:rPr>
                <w:i/>
                <w:snapToGrid w:val="0"/>
              </w:rPr>
            </w:pPr>
            <w:r>
              <w:rPr>
                <w:i/>
                <w:snapToGrid w:val="0"/>
              </w:rPr>
              <w:t>Machinery of Government (Miscellaneous Amendments) Act 2006</w:t>
            </w:r>
            <w:r>
              <w:rPr>
                <w:i/>
                <w:iCs/>
                <w:snapToGrid w:val="0"/>
              </w:rPr>
              <w:t xml:space="preserve"> </w:t>
            </w:r>
            <w:r>
              <w:rPr>
                <w:snapToGrid w:val="0"/>
              </w:rPr>
              <w:t>Pt. 17 Div. 5</w:t>
            </w:r>
          </w:p>
        </w:tc>
        <w:tc>
          <w:tcPr>
            <w:tcW w:w="992"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8" w:type="dxa"/>
            <w:gridSpan w:val="4"/>
          </w:tcPr>
          <w:p>
            <w:pPr>
              <w:pStyle w:val="nTable"/>
              <w:spacing w:after="40"/>
              <w:rPr>
                <w:snapToGrid w:val="0"/>
                <w:spacing w:val="-2"/>
              </w:rPr>
            </w:pPr>
            <w:r>
              <w:rPr>
                <w:b/>
                <w:bCs/>
              </w:rPr>
              <w:t xml:space="preserve">Reprint 2: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8 Sep 2006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410" w:type="dxa"/>
          </w:tcPr>
          <w:p>
            <w:pPr>
              <w:pStyle w:val="nTable"/>
              <w:spacing w:after="40"/>
              <w:ind w:right="113"/>
              <w:rPr>
                <w:i/>
                <w:snapToGrid w:val="0"/>
              </w:rPr>
            </w:pPr>
            <w:r>
              <w:rPr>
                <w:i/>
                <w:snapToGrid w:val="0"/>
              </w:rPr>
              <w:t xml:space="preserve">Financial Legislation Amendment and Repeal Act 2006 </w:t>
            </w:r>
            <w:r>
              <w:rPr>
                <w:iCs/>
                <w:snapToGrid w:val="0"/>
              </w:rPr>
              <w:t>s. 4 and Sch. 1 cl. 91</w:t>
            </w:r>
          </w:p>
        </w:tc>
        <w:tc>
          <w:tcPr>
            <w:tcW w:w="992"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410" w:type="dxa"/>
          </w:tcPr>
          <w:p>
            <w:pPr>
              <w:pStyle w:val="nTable"/>
              <w:spacing w:after="40"/>
              <w:rPr>
                <w:iCs/>
                <w:vertAlign w:val="superscript"/>
              </w:rPr>
            </w:pPr>
            <w:r>
              <w:rPr>
                <w:i/>
              </w:rPr>
              <w:t>Duties Legislation Amendment Act 2008</w:t>
            </w:r>
            <w:r>
              <w:rPr>
                <w:iCs/>
              </w:rPr>
              <w:t xml:space="preserve"> Sch. 1 cl. 18</w:t>
            </w:r>
          </w:p>
        </w:tc>
        <w:tc>
          <w:tcPr>
            <w:tcW w:w="992"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410" w:type="dxa"/>
          </w:tcPr>
          <w:p>
            <w:pPr>
              <w:pStyle w:val="nTable"/>
              <w:spacing w:after="40"/>
              <w:ind w:right="113"/>
              <w:rPr>
                <w:iCs/>
              </w:rPr>
            </w:pPr>
            <w:r>
              <w:rPr>
                <w:i/>
              </w:rPr>
              <w:t>Statutes (Repeals and Miscellaneous Amendments) Act 2009</w:t>
            </w:r>
            <w:r>
              <w:rPr>
                <w:iCs/>
              </w:rPr>
              <w:t xml:space="preserve"> s. 79</w:t>
            </w:r>
          </w:p>
        </w:tc>
        <w:tc>
          <w:tcPr>
            <w:tcW w:w="992"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410" w:type="dxa"/>
          </w:tcPr>
          <w:p>
            <w:pPr>
              <w:pStyle w:val="nTable"/>
              <w:spacing w:after="40"/>
              <w:rPr>
                <w:iCs/>
                <w:snapToGrid w:val="0"/>
              </w:rPr>
            </w:pPr>
            <w:r>
              <w:rPr>
                <w:i/>
                <w:snapToGrid w:val="0"/>
              </w:rPr>
              <w:t>Acts Amendment (Bankruptcy) Act 2009</w:t>
            </w:r>
            <w:r>
              <w:rPr>
                <w:iCs/>
                <w:snapToGrid w:val="0"/>
              </w:rPr>
              <w:t xml:space="preserve"> s. 47</w:t>
            </w:r>
          </w:p>
        </w:tc>
        <w:tc>
          <w:tcPr>
            <w:tcW w:w="992"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410" w:type="dxa"/>
          </w:tcPr>
          <w:p>
            <w:pPr>
              <w:pStyle w:val="nTable"/>
              <w:spacing w:after="40"/>
              <w:rPr>
                <w:i/>
                <w:snapToGrid w:val="0"/>
              </w:rPr>
            </w:pPr>
            <w:r>
              <w:rPr>
                <w:i/>
                <w:snapToGrid w:val="0"/>
              </w:rPr>
              <w:t>Standardisation of Formatting Act 2010</w:t>
            </w:r>
            <w:r>
              <w:rPr>
                <w:iCs/>
                <w:snapToGrid w:val="0"/>
              </w:rPr>
              <w:t xml:space="preserve"> s. 4</w:t>
            </w:r>
          </w:p>
        </w:tc>
        <w:tc>
          <w:tcPr>
            <w:tcW w:w="992"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pPr>
            <w:r>
              <w:rPr>
                <w:b/>
                <w:bCs/>
              </w:rPr>
              <w:t xml:space="preserve">Reprint 3: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 Oct 2010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410" w:type="dxa"/>
          </w:tcPr>
          <w:p>
            <w:pPr>
              <w:pStyle w:val="nTable"/>
              <w:spacing w:after="40"/>
              <w:rPr>
                <w:iCs/>
                <w:snapToGrid w:val="0"/>
              </w:rPr>
            </w:pPr>
            <w:r>
              <w:rPr>
                <w:i/>
                <w:iCs/>
                <w:snapToGrid w:val="0"/>
              </w:rPr>
              <w:t>Public Sector Reform Act 2010</w:t>
            </w:r>
            <w:r>
              <w:rPr>
                <w:iCs/>
                <w:snapToGrid w:val="0"/>
              </w:rPr>
              <w:t xml:space="preserve"> s. 89</w:t>
            </w:r>
          </w:p>
        </w:tc>
        <w:tc>
          <w:tcPr>
            <w:tcW w:w="992"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410" w:type="dxa"/>
          </w:tcPr>
          <w:p>
            <w:pPr>
              <w:pStyle w:val="nTable"/>
              <w:spacing w:after="40"/>
              <w:rPr>
                <w:iCs/>
                <w:snapToGrid w:val="0"/>
                <w:u w:val="single"/>
              </w:rPr>
            </w:pPr>
            <w:r>
              <w:rPr>
                <w:i/>
                <w:iCs/>
                <w:snapToGrid w:val="0"/>
              </w:rPr>
              <w:t>Statutes (Repeals and Minor Amendments) Act 2011</w:t>
            </w:r>
            <w:r>
              <w:rPr>
                <w:iCs/>
                <w:snapToGrid w:val="0"/>
              </w:rPr>
              <w:t xml:space="preserve"> s. 6</w:t>
            </w:r>
          </w:p>
        </w:tc>
        <w:tc>
          <w:tcPr>
            <w:tcW w:w="992"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410" w:type="dxa"/>
            <w:shd w:val="clear" w:color="auto" w:fill="auto"/>
          </w:tcPr>
          <w:p>
            <w:pPr>
              <w:pStyle w:val="nTable"/>
              <w:spacing w:after="40"/>
              <w:rPr>
                <w:i/>
                <w:iCs/>
                <w:snapToGrid w:val="0"/>
              </w:rPr>
            </w:pPr>
            <w:r>
              <w:rPr>
                <w:i/>
                <w:iCs/>
                <w:snapToGrid w:val="0"/>
              </w:rPr>
              <w:t>Insurance Commission of Western Australia Amendment Act 2013</w:t>
            </w:r>
          </w:p>
        </w:tc>
        <w:tc>
          <w:tcPr>
            <w:tcW w:w="992" w:type="dxa"/>
            <w:shd w:val="clear" w:color="auto" w:fill="auto"/>
          </w:tcPr>
          <w:p>
            <w:pPr>
              <w:pStyle w:val="nTable"/>
              <w:spacing w:after="40"/>
              <w:rPr>
                <w:snapToGrid w:val="0"/>
              </w:rPr>
            </w:pPr>
            <w:r>
              <w:rPr>
                <w:snapToGrid w:val="0"/>
              </w:rPr>
              <w:t>7 of 2013</w:t>
            </w:r>
          </w:p>
        </w:tc>
        <w:tc>
          <w:tcPr>
            <w:tcW w:w="1134" w:type="dxa"/>
            <w:shd w:val="clear" w:color="auto" w:fill="auto"/>
          </w:tcPr>
          <w:p>
            <w:pPr>
              <w:pStyle w:val="nTable"/>
              <w:spacing w:after="40"/>
              <w:rPr>
                <w:snapToGrid w:val="0"/>
              </w:rPr>
            </w:pPr>
            <w:r>
              <w:rPr>
                <w:snapToGrid w:val="0"/>
              </w:rPr>
              <w:t>19 Aug 2013</w:t>
            </w:r>
          </w:p>
        </w:tc>
        <w:tc>
          <w:tcPr>
            <w:tcW w:w="2552" w:type="dxa"/>
            <w:shd w:val="clear" w:color="auto" w:fill="auto"/>
          </w:tcPr>
          <w:p>
            <w:pPr>
              <w:pStyle w:val="nTable"/>
              <w:spacing w:after="40"/>
              <w:rPr>
                <w:snapToGrid w:val="0"/>
              </w:rPr>
            </w:pPr>
            <w:r>
              <w:rPr>
                <w:snapToGrid w:val="0"/>
              </w:rPr>
              <w:t>s. 1 and 2: 19 Aug 2013 (see s. 2(a));</w:t>
            </w:r>
            <w:r>
              <w:rPr>
                <w:snapToGrid w:val="0"/>
              </w:rPr>
              <w:br/>
              <w:t>Act other than s. 1 and 2: 20 Aug 2013 (see s. 2(b))</w:t>
            </w:r>
          </w:p>
        </w:tc>
      </w:tr>
      <w:tr>
        <w:trPr>
          <w:cantSplit/>
        </w:trPr>
        <w:tc>
          <w:tcPr>
            <w:tcW w:w="7088" w:type="dxa"/>
            <w:gridSpan w:val="4"/>
            <w:shd w:val="clear" w:color="auto" w:fill="auto"/>
          </w:tcPr>
          <w:p>
            <w:pPr>
              <w:pStyle w:val="nTable"/>
              <w:spacing w:after="40"/>
              <w:rPr>
                <w:snapToGrid w:val="0"/>
              </w:rPr>
            </w:pPr>
            <w:r>
              <w:rPr>
                <w:b/>
                <w:bCs/>
              </w:rPr>
              <w:t xml:space="preserve">Reprint 4: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10 Jan 2014 </w:t>
            </w:r>
            <w:r>
              <w:t xml:space="preserve">(includes amendments listed above) (correction in </w:t>
            </w:r>
            <w:r>
              <w:rPr>
                <w:i/>
              </w:rPr>
              <w:t xml:space="preserve">Gazette </w:t>
            </w:r>
            <w:r>
              <w:t>4 Aug 2015 p. 3135)</w:t>
            </w:r>
          </w:p>
        </w:tc>
      </w:tr>
      <w:tr>
        <w:trPr>
          <w:cantSplit/>
        </w:trPr>
        <w:tc>
          <w:tcPr>
            <w:tcW w:w="2410" w:type="dxa"/>
            <w:shd w:val="clear" w:color="auto" w:fill="auto"/>
          </w:tcPr>
          <w:p>
            <w:pPr>
              <w:pStyle w:val="nTable"/>
              <w:spacing w:after="40"/>
              <w:ind w:right="113"/>
              <w:rPr>
                <w:i/>
                <w:snapToGrid w:val="0"/>
              </w:rPr>
            </w:pPr>
            <w:r>
              <w:rPr>
                <w:i/>
                <w:snapToGrid w:val="0"/>
              </w:rPr>
              <w:t xml:space="preserve">Associations Incorporation Act 2015 </w:t>
            </w:r>
            <w:r>
              <w:rPr>
                <w:snapToGrid w:val="0"/>
              </w:rPr>
              <w:t>s. 219</w:t>
            </w:r>
          </w:p>
        </w:tc>
        <w:tc>
          <w:tcPr>
            <w:tcW w:w="992" w:type="dxa"/>
            <w:shd w:val="clear" w:color="auto" w:fill="auto"/>
          </w:tcPr>
          <w:p>
            <w:pPr>
              <w:pStyle w:val="nTable"/>
              <w:keepNext/>
              <w:spacing w:after="40"/>
            </w:pPr>
            <w:r>
              <w:t>30 of 2015</w:t>
            </w:r>
          </w:p>
        </w:tc>
        <w:tc>
          <w:tcPr>
            <w:tcW w:w="1134" w:type="dxa"/>
            <w:shd w:val="clear" w:color="auto" w:fill="auto"/>
          </w:tcPr>
          <w:p>
            <w:pPr>
              <w:pStyle w:val="nTable"/>
              <w:keepNext/>
              <w:spacing w:after="40"/>
            </w:pPr>
            <w:r>
              <w:t>2 Nov 2015</w:t>
            </w:r>
          </w:p>
        </w:tc>
        <w:tc>
          <w:tcPr>
            <w:tcW w:w="2552" w:type="dxa"/>
            <w:shd w:val="clear" w:color="auto" w:fill="auto"/>
          </w:tcPr>
          <w:p>
            <w:pPr>
              <w:pStyle w:val="nTable"/>
              <w:keepNext/>
              <w:spacing w:after="40"/>
            </w:pPr>
            <w:r>
              <w:t xml:space="preserve">1 Jul 2016 (see s. (b) and </w:t>
            </w:r>
            <w:r>
              <w:rPr>
                <w:i/>
              </w:rPr>
              <w:t>Gazette</w:t>
            </w:r>
            <w:r>
              <w:t xml:space="preserve"> 24 Jun 2016 p. 2291-2)</w:t>
            </w:r>
          </w:p>
        </w:tc>
      </w:tr>
      <w:tr>
        <w:trPr>
          <w:cantSplit/>
        </w:trPr>
        <w:tc>
          <w:tcPr>
            <w:tcW w:w="2410" w:type="dxa"/>
            <w:tcBorders>
              <w:bottom w:val="single" w:sz="4" w:space="0" w:color="auto"/>
            </w:tcBorders>
            <w:shd w:val="clear" w:color="auto" w:fill="auto"/>
          </w:tcPr>
          <w:p>
            <w:pPr>
              <w:pStyle w:val="nTable"/>
              <w:spacing w:after="40"/>
              <w:ind w:right="113"/>
              <w:rPr>
                <w:i/>
                <w:snapToGrid w:val="0"/>
              </w:rPr>
            </w:pPr>
            <w:r>
              <w:rPr>
                <w:i/>
              </w:rPr>
              <w:t>Motor Vehicle (Catastrophic Injuries) Act 2016</w:t>
            </w:r>
            <w:r>
              <w:t xml:space="preserve"> Pt. 7 Div. 2</w:t>
            </w:r>
          </w:p>
        </w:tc>
        <w:tc>
          <w:tcPr>
            <w:tcW w:w="992" w:type="dxa"/>
            <w:tcBorders>
              <w:bottom w:val="single" w:sz="4" w:space="0" w:color="auto"/>
            </w:tcBorders>
            <w:shd w:val="clear" w:color="auto" w:fill="auto"/>
          </w:tcPr>
          <w:p>
            <w:pPr>
              <w:pStyle w:val="nTable"/>
              <w:keepNext/>
              <w:spacing w:after="40"/>
            </w:pPr>
            <w:r>
              <w:t>8 of 2016</w:t>
            </w:r>
          </w:p>
        </w:tc>
        <w:tc>
          <w:tcPr>
            <w:tcW w:w="1134" w:type="dxa"/>
            <w:tcBorders>
              <w:bottom w:val="single" w:sz="4" w:space="0" w:color="auto"/>
            </w:tcBorders>
            <w:shd w:val="clear" w:color="auto" w:fill="auto"/>
          </w:tcPr>
          <w:p>
            <w:pPr>
              <w:pStyle w:val="nTable"/>
              <w:keepNext/>
              <w:spacing w:after="40"/>
            </w:pPr>
            <w:r>
              <w:t>14 Apr 2016</w:t>
            </w:r>
          </w:p>
        </w:tc>
        <w:tc>
          <w:tcPr>
            <w:tcW w:w="2552" w:type="dxa"/>
            <w:tcBorders>
              <w:bottom w:val="single" w:sz="4" w:space="0" w:color="auto"/>
            </w:tcBorders>
            <w:shd w:val="clear" w:color="auto" w:fill="auto"/>
          </w:tcPr>
          <w:p>
            <w:pPr>
              <w:pStyle w:val="nTable"/>
              <w:keepNext/>
              <w:spacing w:after="40"/>
            </w:pPr>
            <w:r>
              <w:t xml:space="preserve">14 May 2016 (see s. 2(b) and </w:t>
            </w:r>
            <w:r>
              <w:rPr>
                <w:i/>
              </w:rPr>
              <w:t xml:space="preserve">Gazette </w:t>
            </w:r>
            <w:r>
              <w:t>13 May 2016 p. 1421)</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37" w:name="_Toc381881135"/>
      <w:bookmarkStart w:id="338" w:name="_Toc455395507"/>
      <w:r>
        <w:t>Provisions that have not come into operation</w:t>
      </w:r>
      <w:bookmarkEnd w:id="337"/>
      <w:bookmarkEnd w:id="33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Acts Amendment (ICWA) Act 1996</w:t>
            </w:r>
            <w:r>
              <w:rPr>
                <w:snapToGrid w:val="0"/>
              </w:rPr>
              <w:t xml:space="preserve"> s. 25 and 28 </w:t>
            </w:r>
            <w:r>
              <w:rPr>
                <w:snapToGrid w:val="0"/>
                <w:vertAlign w:val="superscript"/>
              </w:rPr>
              <w:t>18</w:t>
            </w:r>
          </w:p>
        </w:tc>
        <w:tc>
          <w:tcPr>
            <w:tcW w:w="1134" w:type="dxa"/>
            <w:tcBorders>
              <w:top w:val="single" w:sz="8" w:space="0" w:color="auto"/>
            </w:tcBorders>
          </w:tcPr>
          <w:p>
            <w:pPr>
              <w:pStyle w:val="nTable"/>
              <w:keepNext/>
              <w:spacing w:after="40"/>
            </w:pPr>
            <w:r>
              <w:t>45 of 1996</w:t>
            </w:r>
          </w:p>
        </w:tc>
        <w:tc>
          <w:tcPr>
            <w:tcW w:w="1134" w:type="dxa"/>
            <w:tcBorders>
              <w:top w:val="single" w:sz="8" w:space="0" w:color="auto"/>
            </w:tcBorders>
          </w:tcPr>
          <w:p>
            <w:pPr>
              <w:pStyle w:val="nTable"/>
              <w:keepNext/>
              <w:spacing w:after="40"/>
            </w:pPr>
            <w:r>
              <w:t>25 Oct 1996</w:t>
            </w:r>
          </w:p>
        </w:tc>
        <w:tc>
          <w:tcPr>
            <w:tcW w:w="2552" w:type="dxa"/>
            <w:tcBorders>
              <w:top w:val="single" w:sz="8" w:space="0" w:color="auto"/>
            </w:tcBorders>
          </w:tcPr>
          <w:p>
            <w:pPr>
              <w:pStyle w:val="nTable"/>
              <w:keepNext/>
              <w:spacing w:after="40"/>
            </w:pPr>
            <w:r>
              <w:t>To be proclaimed (see s. 2)</w:t>
            </w:r>
          </w:p>
        </w:tc>
      </w:tr>
      <w:tr>
        <w:trPr>
          <w:cantSplit/>
        </w:trPr>
        <w:tc>
          <w:tcPr>
            <w:tcW w:w="2268" w:type="dxa"/>
            <w:tcBorders>
              <w:bottom w:val="single" w:sz="4" w:space="0" w:color="auto"/>
            </w:tcBorders>
            <w:shd w:val="clear" w:color="auto" w:fill="auto"/>
          </w:tcPr>
          <w:p>
            <w:pPr>
              <w:pStyle w:val="nTable"/>
              <w:spacing w:after="40"/>
              <w:ind w:right="113"/>
              <w:rPr>
                <w:rFonts w:ascii="Arial" w:hAnsi="Arial"/>
                <w:i/>
                <w:snapToGrid w:val="0"/>
              </w:rPr>
            </w:pPr>
            <w:r>
              <w:rPr>
                <w:i/>
                <w:snapToGrid w:val="0"/>
              </w:rPr>
              <w:t xml:space="preserve">State Superannuation (Transitional and Consequential Provisions) Act 2000 </w:t>
            </w:r>
            <w:r>
              <w:rPr>
                <w:snapToGrid w:val="0"/>
              </w:rPr>
              <w:t>s. 50 </w:t>
            </w:r>
            <w:r>
              <w:rPr>
                <w:snapToGrid w:val="0"/>
                <w:vertAlign w:val="superscript"/>
              </w:rPr>
              <w:t>19</w:t>
            </w:r>
          </w:p>
        </w:tc>
        <w:tc>
          <w:tcPr>
            <w:tcW w:w="1134" w:type="dxa"/>
            <w:tcBorders>
              <w:bottom w:val="single" w:sz="4" w:space="0" w:color="auto"/>
            </w:tcBorders>
            <w:shd w:val="clear" w:color="auto" w:fill="auto"/>
          </w:tcPr>
          <w:p>
            <w:pPr>
              <w:pStyle w:val="nTable"/>
              <w:keepNext/>
              <w:spacing w:after="40"/>
            </w:pPr>
            <w:r>
              <w:t>43 of 2000</w:t>
            </w:r>
          </w:p>
        </w:tc>
        <w:tc>
          <w:tcPr>
            <w:tcW w:w="1134" w:type="dxa"/>
            <w:tcBorders>
              <w:bottom w:val="single" w:sz="4" w:space="0" w:color="auto"/>
            </w:tcBorders>
            <w:shd w:val="clear" w:color="auto" w:fill="auto"/>
          </w:tcPr>
          <w:p>
            <w:pPr>
              <w:pStyle w:val="nTable"/>
              <w:keepNext/>
              <w:spacing w:after="40"/>
            </w:pPr>
            <w:r>
              <w:t>2 Nov 2000</w:t>
            </w:r>
          </w:p>
        </w:tc>
        <w:tc>
          <w:tcPr>
            <w:tcW w:w="2552" w:type="dxa"/>
            <w:tcBorders>
              <w:bottom w:val="single" w:sz="4" w:space="0" w:color="auto"/>
            </w:tcBorders>
            <w:shd w:val="clear" w:color="auto" w:fill="auto"/>
          </w:tcPr>
          <w:p>
            <w:pPr>
              <w:pStyle w:val="nTable"/>
              <w:keepNext/>
              <w:spacing w:after="40"/>
            </w:pPr>
            <w:r>
              <w:t>To be proclaimed (see s. 2(2))</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iCs/>
        </w:rPr>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5</w:t>
      </w:r>
      <w:r>
        <w:tab/>
        <w:t xml:space="preserve">Section 3P(4a) was deleted by the </w:t>
      </w:r>
      <w:r>
        <w:rPr>
          <w:i/>
        </w:rPr>
        <w:t xml:space="preserve">Motor Vehicle (Third Party Insurance Surcharge) Repeal Act 1988 </w:t>
      </w:r>
      <w:r>
        <w:t>s. 5.</w:t>
      </w:r>
    </w:p>
    <w:p>
      <w:pPr>
        <w:pStyle w:val="nSubsection"/>
        <w:rPr>
          <w:snapToGrid w:val="0"/>
        </w:rPr>
      </w:pPr>
      <w:r>
        <w:rPr>
          <w:snapToGrid w:val="0"/>
          <w:vertAlign w:val="superscript"/>
        </w:rPr>
        <w:t>6</w:t>
      </w:r>
      <w:r>
        <w:rPr>
          <w:snapToGrid w:val="0"/>
        </w:rPr>
        <w:tab/>
        <w:t xml:space="preserve">Repealed by the </w:t>
      </w:r>
      <w:r>
        <w:rPr>
          <w:i/>
          <w:snapToGrid w:val="0"/>
        </w:rPr>
        <w:t>Financial Legislation Amendment and Repeal Act 2006</w:t>
      </w:r>
      <w:r>
        <w:rPr>
          <w:snapToGrid w:val="0"/>
        </w:rPr>
        <w:t>.</w:t>
      </w:r>
    </w:p>
    <w:p>
      <w:pPr>
        <w:pStyle w:val="nSubsection"/>
        <w:rPr>
          <w:snapToGrid w:val="0"/>
        </w:rPr>
      </w:pPr>
      <w:r>
        <w:rPr>
          <w:snapToGrid w:val="0"/>
          <w:vertAlign w:val="superscript"/>
        </w:rPr>
        <w:t>7</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8</w:t>
      </w:r>
      <w:r>
        <w:rPr>
          <w:snapToGrid w:val="0"/>
        </w:rPr>
        <w:tab/>
        <w:t xml:space="preserve">Section 31(2)(k) was deleted by the </w:t>
      </w:r>
      <w:r>
        <w:rPr>
          <w:i/>
          <w:snapToGrid w:val="0"/>
        </w:rPr>
        <w:t xml:space="preserve">SGIO Privatisation Act 1992 </w:t>
      </w:r>
      <w:r>
        <w:rPr>
          <w:snapToGrid w:val="0"/>
        </w:rPr>
        <w:t>s. 28</w:t>
      </w:r>
      <w:r>
        <w:rPr>
          <w:i/>
          <w:snapToGrid w:val="0"/>
        </w:rPr>
        <w:t>.</w:t>
      </w:r>
    </w:p>
    <w:p>
      <w:pPr>
        <w:pStyle w:val="nSubsection"/>
        <w:rPr>
          <w:iCs/>
        </w:rPr>
      </w:pPr>
      <w:r>
        <w:rPr>
          <w:vertAlign w:val="superscript"/>
        </w:rPr>
        <w:t>9</w:t>
      </w:r>
      <w:r>
        <w:tab/>
        <w:t xml:space="preserve">Sections 21 and 22 were deleted by the </w:t>
      </w:r>
      <w:r>
        <w:rPr>
          <w:i/>
        </w:rPr>
        <w:t>Acts Amendment (Financial Administration and Audit) Act 1985</w:t>
      </w:r>
      <w:r>
        <w:t xml:space="preserve"> s. 3.</w:t>
      </w:r>
    </w:p>
    <w:p>
      <w:pPr>
        <w:pStyle w:val="nSubsection"/>
        <w:rPr>
          <w:iCs/>
        </w:rPr>
      </w:pPr>
      <w:r>
        <w:rPr>
          <w:vertAlign w:val="superscript"/>
        </w:rPr>
        <w:t>10</w:t>
      </w:r>
      <w:r>
        <w:tab/>
        <w:t xml:space="preserve">Section 26 was deleted by the </w:t>
      </w:r>
      <w:r>
        <w:rPr>
          <w:i/>
        </w:rPr>
        <w:t>State Government Insurance Commission Act 1986</w:t>
      </w:r>
      <w:r>
        <w:t xml:space="preserve"> s. 46(2).</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r>
        <w:t>.</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which is a term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spacing w:before="0"/>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spacing w:before="0"/>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reprint was prepared, the </w:t>
      </w:r>
      <w:r>
        <w:rPr>
          <w:i/>
          <w:snapToGrid w:val="0"/>
        </w:rPr>
        <w:t>Acts Amendment (ICWA) Act 1996</w:t>
      </w:r>
      <w:r>
        <w:rPr>
          <w:snapToGrid w:val="0"/>
        </w:rPr>
        <w:t xml:space="preserve"> s. 25 and 28 had not come into operation.  They read as follows:</w:t>
      </w:r>
    </w:p>
    <w:p>
      <w:pPr>
        <w:pStyle w:val="BlankOpen"/>
        <w:rPr>
          <w:snapToGrid w:val="0"/>
        </w:rPr>
      </w:pPr>
    </w:p>
    <w:p>
      <w:pPr>
        <w:pStyle w:val="nzHeading5"/>
        <w:spacing w:before="0"/>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spacing w:before="0"/>
      </w:pPr>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41" w:name="_Toc450913461"/>
      <w:bookmarkStart w:id="342" w:name="_Toc455395407"/>
      <w:bookmarkStart w:id="343" w:name="_Toc455395508"/>
      <w:r>
        <w:rPr>
          <w:sz w:val="28"/>
        </w:rPr>
        <w:t>Defined terms</w:t>
      </w:r>
      <w:bookmarkEnd w:id="341"/>
      <w:bookmarkEnd w:id="342"/>
      <w:bookmarkEnd w:id="3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assets</w:t>
      </w:r>
      <w:r>
        <w:tab/>
        <w:t>Sch. 4 cl. 1</w:t>
      </w:r>
    </w:p>
    <w:p>
      <w:pPr>
        <w:pStyle w:val="DefinedTerms"/>
      </w:pPr>
      <w:r>
        <w:t>board</w:t>
      </w:r>
      <w:r>
        <w:tab/>
        <w:t>Sch. 1 cl. 1</w:t>
      </w:r>
    </w:p>
    <w:p>
      <w:pPr>
        <w:pStyle w:val="DefinedTerms"/>
      </w:pPr>
      <w:r>
        <w:t>board of commissioners</w:t>
      </w:r>
      <w:r>
        <w:tab/>
        <w:t>3</w:t>
      </w:r>
    </w:p>
    <w:p>
      <w:pPr>
        <w:pStyle w:val="DefinedTerms"/>
      </w:pPr>
      <w:r>
        <w:t>borrow</w:t>
      </w:r>
      <w:r>
        <w:tab/>
        <w:t>3</w:t>
      </w:r>
    </w:p>
    <w:p>
      <w:pPr>
        <w:pStyle w:val="DefinedTerms"/>
      </w:pPr>
      <w:r>
        <w:t>business undertaking</w:t>
      </w:r>
      <w:r>
        <w:tab/>
        <w:t>3</w:t>
      </w:r>
    </w:p>
    <w:p>
      <w:pPr>
        <w:pStyle w:val="DefinedTerms"/>
      </w:pPr>
      <w:r>
        <w:t>commencement day</w:t>
      </w:r>
      <w:r>
        <w:tab/>
        <w:t>Sch. 4 cl. 1</w:t>
      </w:r>
    </w:p>
    <w:p>
      <w:pPr>
        <w:pStyle w:val="DefinedTerms"/>
      </w:pPr>
      <w:r>
        <w:t>Commission</w:t>
      </w:r>
      <w:r>
        <w:tab/>
        <w:t>3, 10B(3)</w:t>
      </w:r>
    </w:p>
    <w:p>
      <w:pPr>
        <w:pStyle w:val="DefinedTerms"/>
      </w:pPr>
      <w:r>
        <w:t>Commission account</w:t>
      </w:r>
      <w:r>
        <w:tab/>
        <w:t>3</w:t>
      </w:r>
    </w:p>
    <w:p>
      <w:pPr>
        <w:pStyle w:val="DefinedTerms"/>
      </w:pPr>
      <w:r>
        <w:t>commissioner</w:t>
      </w:r>
      <w:r>
        <w:tab/>
        <w:t>3</w:t>
      </w:r>
    </w:p>
    <w:p>
      <w:pPr>
        <w:pStyle w:val="DefinedTerms"/>
      </w:pPr>
      <w:r>
        <w:t>community organisation</w:t>
      </w:r>
      <w:r>
        <w:tab/>
        <w:t>3</w:t>
      </w:r>
    </w:p>
    <w:p>
      <w:pPr>
        <w:pStyle w:val="DefinedTerms"/>
      </w:pPr>
      <w:r>
        <w:t>current financial year</w:t>
      </w:r>
      <w:r>
        <w:tab/>
        <w:t>32(2)</w:t>
      </w:r>
    </w:p>
    <w:p>
      <w:pPr>
        <w:pStyle w:val="DefinedTerms"/>
      </w:pPr>
      <w:r>
        <w:t>customer</w:t>
      </w:r>
      <w:r>
        <w:tab/>
        <w:t>10B(3)</w:t>
      </w:r>
    </w:p>
    <w:p>
      <w:pPr>
        <w:pStyle w:val="DefinedTerms"/>
      </w:pPr>
      <w:r>
        <w:t>document</w:t>
      </w:r>
      <w:r>
        <w:tab/>
        <w:t>10A(4)</w:t>
      </w:r>
    </w:p>
    <w:p>
      <w:pPr>
        <w:pStyle w:val="DefinedTerms"/>
      </w:pPr>
      <w:r>
        <w:t>eligible community organisation</w:t>
      </w:r>
      <w:r>
        <w:tab/>
        <w:t>3</w:t>
      </w:r>
    </w:p>
    <w:p>
      <w:pPr>
        <w:pStyle w:val="DefinedTerms"/>
      </w:pPr>
      <w:r>
        <w:t>existing policy</w:t>
      </w:r>
      <w:r>
        <w:tab/>
        <w:t>Sch. 4 cl. 10(1)</w:t>
      </w:r>
    </w:p>
    <w:p>
      <w:pPr>
        <w:pStyle w:val="DefinedTerms"/>
      </w:pPr>
      <w:r>
        <w:t>existing re</w:t>
      </w:r>
      <w:r>
        <w:noBreakHyphen/>
        <w:t>insurance policy</w:t>
      </w:r>
      <w:r>
        <w:tab/>
        <w:t>Sch. 4 cl. 10(1)</w:t>
      </w:r>
    </w:p>
    <w:p>
      <w:pPr>
        <w:pStyle w:val="DefinedTerms"/>
      </w:pPr>
      <w:r>
        <w:t>Fund</w:t>
      </w:r>
      <w:r>
        <w:tab/>
        <w:t>3</w:t>
      </w:r>
    </w:p>
    <w:p>
      <w:pPr>
        <w:pStyle w:val="DefinedTerms"/>
      </w:pPr>
      <w:r>
        <w:t>information</w:t>
      </w:r>
      <w:r>
        <w:tab/>
        <w:t>10A(4)</w:t>
      </w:r>
    </w:p>
    <w:p>
      <w:pPr>
        <w:pStyle w:val="DefinedTerms"/>
      </w:pPr>
      <w:r>
        <w:t>insurance</w:t>
      </w:r>
      <w:r>
        <w:tab/>
        <w:t>3</w:t>
      </w:r>
    </w:p>
    <w:p>
      <w:pPr>
        <w:pStyle w:val="DefinedTerms"/>
      </w:pPr>
      <w:r>
        <w:t>insurer</w:t>
      </w:r>
      <w:r>
        <w:tab/>
        <w:t>3</w:t>
      </w:r>
    </w:p>
    <w:p>
      <w:pPr>
        <w:pStyle w:val="DefinedTerms"/>
      </w:pPr>
      <w:r>
        <w:t>liabilities</w:t>
      </w:r>
      <w:r>
        <w:tab/>
        <w:t>Sch. 4 cl. 1</w:t>
      </w:r>
    </w:p>
    <w:p>
      <w:pPr>
        <w:pStyle w:val="DefinedTerms"/>
      </w:pPr>
      <w:r>
        <w:t>managing director</w:t>
      </w:r>
      <w:r>
        <w:tab/>
        <w:t>3</w:t>
      </w:r>
    </w:p>
    <w:p>
      <w:pPr>
        <w:pStyle w:val="DefinedTerms"/>
      </w:pPr>
      <w:r>
        <w:t>MVIT</w:t>
      </w:r>
      <w:r>
        <w:tab/>
        <w:t>Sch. 4 cl. 1</w:t>
      </w:r>
    </w:p>
    <w:p>
      <w:pPr>
        <w:pStyle w:val="DefinedTerms"/>
      </w:pPr>
      <w:r>
        <w:t>officers and employees</w:t>
      </w:r>
      <w:r>
        <w:tab/>
        <w:t>14(3)</w:t>
      </w:r>
    </w:p>
    <w:p>
      <w:pPr>
        <w:pStyle w:val="DefinedTerms"/>
      </w:pPr>
      <w:r>
        <w:t>ordinary commissioner</w:t>
      </w:r>
      <w:r>
        <w:tab/>
        <w:t>Sch. 1 cl. 1</w:t>
      </w:r>
    </w:p>
    <w:p>
      <w:pPr>
        <w:pStyle w:val="DefinedTerms"/>
      </w:pPr>
      <w:r>
        <w:t>policy</w:t>
      </w:r>
      <w:r>
        <w:tab/>
        <w:t>3</w:t>
      </w:r>
    </w:p>
    <w:p>
      <w:pPr>
        <w:pStyle w:val="DefinedTerms"/>
      </w:pPr>
      <w:r>
        <w:t>prescribed period</w:t>
      </w:r>
      <w:r>
        <w:tab/>
        <w:t>Sch. 4 cl. 1</w:t>
      </w:r>
    </w:p>
    <w:p>
      <w:pPr>
        <w:pStyle w:val="DefinedTerms"/>
      </w:pPr>
      <w:r>
        <w:t>public authority</w:t>
      </w:r>
      <w:r>
        <w:tab/>
        <w:t>3</w:t>
      </w:r>
    </w:p>
    <w:p>
      <w:pPr>
        <w:pStyle w:val="DefinedTerms"/>
      </w:pPr>
      <w:r>
        <w:t>risk management</w:t>
      </w:r>
      <w:r>
        <w:tab/>
        <w:t>3</w:t>
      </w:r>
    </w:p>
    <w:p>
      <w:pPr>
        <w:pStyle w:val="DefinedTerms"/>
      </w:pPr>
      <w:r>
        <w:t>SGIO</w:t>
      </w:r>
      <w:r>
        <w:tab/>
        <w:t>Sch. 4 cl. 1</w:t>
      </w:r>
    </w:p>
    <w:p>
      <w:pPr>
        <w:pStyle w:val="DefinedTerms"/>
      </w:pPr>
      <w:r>
        <w:t xml:space="preserve">staff </w:t>
      </w:r>
      <w:r>
        <w:tab/>
        <w:t>10A(4)</w:t>
      </w:r>
    </w:p>
    <w:p>
      <w:pPr>
        <w:pStyle w:val="DefinedTerms"/>
      </w:pPr>
      <w:r>
        <w:t>surplus</w:t>
      </w:r>
      <w:r>
        <w:tab/>
        <w:t>18(5)</w:t>
      </w:r>
    </w:p>
    <w:p>
      <w:pPr>
        <w:pStyle w:val="DefinedTerms"/>
      </w:pPr>
      <w:r>
        <w:t>Third Party Insurance Act</w:t>
      </w:r>
      <w:r>
        <w:tab/>
        <w:t>Sch. 4 cl. 1</w:t>
      </w:r>
    </w:p>
    <w:p>
      <w:pPr>
        <w:pStyle w:val="DefinedTerms"/>
      </w:pPr>
      <w:r>
        <w:t>Treasurer</w:t>
      </w:r>
      <w:r>
        <w:tab/>
        <w:t>3</w:t>
      </w:r>
    </w:p>
    <w:p>
      <w:pPr>
        <w:pStyle w:val="DefinedTerms"/>
      </w:pPr>
      <w:r>
        <w:t>WC&amp;IM Act</w:t>
      </w:r>
      <w:r>
        <w:tab/>
        <w:t>44</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9" w:name="Compilation"/>
    <w:bookmarkStart w:id="340" w:name="Schedule"/>
    <w:bookmarkEnd w:id="339"/>
    <w:bookmarkEnd w:id="3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4" w:name="DefinedTerms"/>
    <w:bookmarkEnd w:id="3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5" w:name="Coversheet"/>
    <w:bookmarkEnd w:id="3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B207C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5658"/>
    <w:docVar w:name="WAFER_20140117103518" w:val="RemoveTocBookmarks,RemoveLanguageTags,RemoveTrackChanges,RunningHeaders"/>
    <w:docVar w:name="WAFER_20140117103518_GUID" w:val="e2d36c26-cf38-4ea4-a8e1-457ed86f7c24"/>
    <w:docVar w:name="WAFER_20140117104411" w:val="RemoveTocBookmarks,RemoveLanguageTags,RemoveTrackChanges,RunningHeaders"/>
    <w:docVar w:name="WAFER_20140117104411_GUID" w:val="b1389d00-38b9-4403-a7f5-ca61641d98a8"/>
    <w:docVar w:name="WAFER_20140130094753" w:val="RemoveTocBookmarks,RemoveUnusedBookmarks,RemoveLanguageTags,UsedStyles,ResetPageSize,UpdateArrangement"/>
    <w:docVar w:name="WAFER_20140130094753_GUID" w:val="30cf4d68-7c06-4686-901e-b17421fe5210"/>
    <w:docVar w:name="WAFER_20140130094759" w:val="RemoveTocBookmarks,RunningHeaders"/>
    <w:docVar w:name="WAFER_20140130094759_GUID" w:val="4366e8da-00ed-4697-a698-78f37468f6d7"/>
    <w:docVar w:name="WAFER_20140306135853" w:val="RemoveTocBookmarks,RemoveUnusedBookmarks,RemoveLanguageTags,UsedStyles,ResetPageSize"/>
    <w:docVar w:name="WAFER_20140306135853_GUID" w:val="9939f06a-e94f-48ca-9517-3ca3d3747df1"/>
    <w:docVar w:name="WAFER_20140306140634" w:val="RemoveTocBookmarks,RunningHeaders"/>
    <w:docVar w:name="WAFER_20140306140634_GUID" w:val="907391db-0f3f-47a1-b1c0-8c44f2c97f08"/>
    <w:docVar w:name="WAFER_20150518114350" w:val="ResetPageSize,UpdateArrangement,UpdateNTable"/>
    <w:docVar w:name="WAFER_20150518114350_GUID" w:val="18e9074d-b312-4f65-8ea4-2e53ac399353"/>
    <w:docVar w:name="WAFER_20151111125658" w:val="UpdateStyles,UsedStyles"/>
    <w:docVar w:name="WAFER_20151111125658_GUID" w:val="44139de5-0522-411d-bd40-521f13cd16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43C2-8D1B-4FE7-ACCE-EF7F97BB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16334</Words>
  <Characters>79711</Characters>
  <Application>Microsoft Office Word</Application>
  <DocSecurity>0</DocSecurity>
  <Lines>2154</Lines>
  <Paragraphs>1143</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1986 - 04-e0-00</dc:title>
  <dc:subject/>
  <dc:creator/>
  <cp:keywords/>
  <dc:description/>
  <cp:lastModifiedBy>svcMRProcess</cp:lastModifiedBy>
  <cp:revision>4</cp:revision>
  <cp:lastPrinted>2014-01-14T23:33:00Z</cp:lastPrinted>
  <dcterms:created xsi:type="dcterms:W3CDTF">2018-09-03T08:54:00Z</dcterms:created>
  <dcterms:modified xsi:type="dcterms:W3CDTF">2018-09-03T08:54:00Z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DocumentType">
    <vt:lpwstr>Act</vt:lpwstr>
  </property>
  <property fmtid="{D5CDD505-2E9C-101B-9397-08002B2CF9AE}" pid="4" name="OwlsUID">
    <vt:i4>775</vt:i4>
  </property>
  <property fmtid="{D5CDD505-2E9C-101B-9397-08002B2CF9AE}" pid="5" name="AsAtDate">
    <vt:lpwstr>01 Jul 2016</vt:lpwstr>
  </property>
  <property fmtid="{D5CDD505-2E9C-101B-9397-08002B2CF9AE}" pid="6" name="Suffix">
    <vt:lpwstr>04-e0-00</vt:lpwstr>
  </property>
  <property fmtid="{D5CDD505-2E9C-101B-9397-08002B2CF9AE}" pid="7" name="ReprintedAsAt">
    <vt:filetime>2014-01-09T16:00:00Z</vt:filetime>
  </property>
  <property fmtid="{D5CDD505-2E9C-101B-9397-08002B2CF9AE}" pid="8" name="ReprintNo">
    <vt:lpwstr>4</vt:lpwstr>
  </property>
  <property fmtid="{D5CDD505-2E9C-101B-9397-08002B2CF9AE}" pid="9" name="CommencementDate">
    <vt:lpwstr>20160701</vt:lpwstr>
  </property>
</Properties>
</file>