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_Toc455398963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_Toc455398964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_Toc455398965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_Toc455398966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_Toc455398967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_Toc455398968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_Toc455398969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_Toc455398970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_Toc455398971 \h </w:instrText>
      </w:r>
      <w:r>
        <w:fldChar w:fldCharType="separate"/>
      </w:r>
      <w:r>
        <w:t>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_Toc455398972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_Toc455398973 \h </w:instrText>
      </w:r>
      <w:r>
        <w:fldChar w:fldCharType="separate"/>
      </w:r>
      <w:r>
        <w:t>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_Toc455398974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_Toc455398978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3" w:name="_Toc391909286"/>
      <w:bookmarkStart w:id="4" w:name="_Toc45539896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5" w:name="_Toc391909287"/>
      <w:bookmarkStart w:id="6" w:name="_Toc455398964"/>
      <w:r>
        <w:rPr>
          <w:rStyle w:val="CharSectno"/>
        </w:rPr>
        <w:t>4</w:t>
      </w:r>
      <w:r>
        <w:rPr>
          <w:snapToGrid w:val="0"/>
        </w:rPr>
        <w:t>.</w:t>
      </w:r>
      <w:r>
        <w:rPr>
          <w:snapToGrid w:val="0"/>
        </w:rPr>
        <w:tab/>
        <w:t>Fees</w:t>
      </w:r>
      <w:bookmarkEnd w:id="5"/>
      <w:bookmarkEnd w:id="6"/>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7" w:name="_Toc391909288"/>
      <w:bookmarkStart w:id="8" w:name="_Toc455398965"/>
      <w:r>
        <w:rPr>
          <w:rStyle w:val="CharSectno"/>
        </w:rPr>
        <w:t>4B</w:t>
      </w:r>
      <w:r>
        <w:rPr>
          <w:snapToGrid w:val="0"/>
        </w:rPr>
        <w:t>.</w:t>
      </w:r>
      <w:r>
        <w:rPr>
          <w:snapToGrid w:val="0"/>
        </w:rPr>
        <w:tab/>
        <w:t>Prescribed amount for Act s. 29(1)</w:t>
      </w:r>
      <w:bookmarkEnd w:id="7"/>
      <w:bookmarkEnd w:id="8"/>
    </w:p>
    <w:p>
      <w:pPr>
        <w:pStyle w:val="Subsection"/>
        <w:keepNext/>
        <w:keepLines/>
        <w:rPr>
          <w:snapToGrid w:val="0"/>
        </w:rPr>
      </w:pPr>
      <w:r>
        <w:rPr>
          <w:snapToGrid w:val="0"/>
        </w:rPr>
        <w:tab/>
      </w:r>
      <w:r>
        <w:rPr>
          <w:snapToGrid w:val="0"/>
        </w:rPr>
        <w:tab/>
        <w:t xml:space="preserve">For the purposes of section 29(1) of the Act, the prescribed amount is an amount of </w:t>
      </w:r>
      <w:r>
        <w:t>$194.00.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w:t>
      </w:r>
    </w:p>
    <w:p>
      <w:pPr>
        <w:pStyle w:val="Ednotesection"/>
      </w:pPr>
      <w:r>
        <w:t>[</w:t>
      </w:r>
      <w:r>
        <w:rPr>
          <w:b/>
        </w:rPr>
        <w:t>4BA.</w:t>
      </w:r>
      <w:r>
        <w:tab/>
        <w:t>Deleted in Gazette 14 May 2010 p. 2019.]</w:t>
      </w:r>
    </w:p>
    <w:p>
      <w:pPr>
        <w:pStyle w:val="Heading5"/>
        <w:rPr>
          <w:snapToGrid w:val="0"/>
        </w:rPr>
      </w:pPr>
      <w:bookmarkStart w:id="9" w:name="_Toc391909289"/>
      <w:bookmarkStart w:id="10" w:name="_Toc455398966"/>
      <w:r>
        <w:rPr>
          <w:rStyle w:val="CharSectno"/>
        </w:rPr>
        <w:t>4C</w:t>
      </w:r>
      <w:r>
        <w:rPr>
          <w:snapToGrid w:val="0"/>
        </w:rPr>
        <w:t>.</w:t>
      </w:r>
      <w:r>
        <w:rPr>
          <w:snapToGrid w:val="0"/>
        </w:rPr>
        <w:tab/>
        <w:t>Instrument of transfer under Act s. 44(3)(a)</w:t>
      </w:r>
      <w:bookmarkEnd w:id="9"/>
      <w:bookmarkEnd w:id="10"/>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11" w:name="_Toc391909290"/>
      <w:bookmarkStart w:id="12" w:name="_Toc455398967"/>
      <w:r>
        <w:rPr>
          <w:rStyle w:val="CharSectno"/>
        </w:rPr>
        <w:t>4D</w:t>
      </w:r>
      <w:r>
        <w:rPr>
          <w:snapToGrid w:val="0"/>
        </w:rPr>
        <w:t>.</w:t>
      </w:r>
      <w:r>
        <w:rPr>
          <w:snapToGrid w:val="0"/>
        </w:rPr>
        <w:tab/>
        <w:t>Instrument under Act s. 47(4)(b)</w:t>
      </w:r>
      <w:bookmarkEnd w:id="11"/>
      <w:bookmarkEnd w:id="12"/>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13" w:name="_Toc391909291"/>
      <w:bookmarkStart w:id="14" w:name="_Toc455398968"/>
      <w:r>
        <w:rPr>
          <w:rStyle w:val="CharSectno"/>
        </w:rPr>
        <w:t>18</w:t>
      </w:r>
      <w:r>
        <w:rPr>
          <w:snapToGrid w:val="0"/>
        </w:rPr>
        <w:t>.</w:t>
      </w:r>
      <w:r>
        <w:rPr>
          <w:snapToGrid w:val="0"/>
        </w:rPr>
        <w:tab/>
        <w:t>Surveys of pipelines to be made and lodged</w:t>
      </w:r>
      <w:bookmarkEnd w:id="13"/>
      <w:bookmarkEnd w:id="14"/>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15" w:name="_Toc391909292"/>
      <w:bookmarkStart w:id="16" w:name="_Toc455398969"/>
      <w:r>
        <w:rPr>
          <w:rStyle w:val="CharSectno"/>
        </w:rPr>
        <w:t>20</w:t>
      </w:r>
      <w:r>
        <w:rPr>
          <w:snapToGrid w:val="0"/>
        </w:rPr>
        <w:t>.</w:t>
      </w:r>
      <w:r>
        <w:rPr>
          <w:snapToGrid w:val="0"/>
        </w:rPr>
        <w:tab/>
        <w:t>Pipeline’s position to be signposted</w:t>
      </w:r>
      <w:bookmarkEnd w:id="15"/>
      <w:bookmarkEnd w:id="16"/>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17" w:name="_Toc391909293"/>
      <w:bookmarkStart w:id="18" w:name="_Toc455398970"/>
      <w:r>
        <w:rPr>
          <w:rStyle w:val="CharSectno"/>
        </w:rPr>
        <w:t>21</w:t>
      </w:r>
      <w:r>
        <w:rPr>
          <w:snapToGrid w:val="0"/>
        </w:rPr>
        <w:t>.</w:t>
      </w:r>
      <w:r>
        <w:rPr>
          <w:snapToGrid w:val="0"/>
        </w:rPr>
        <w:tab/>
        <w:t>Inspector’s powers</w:t>
      </w:r>
      <w:bookmarkEnd w:id="17"/>
      <w:bookmarkEnd w:id="1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19" w:name="_Toc391909294"/>
      <w:bookmarkStart w:id="20" w:name="_Toc455398971"/>
      <w:r>
        <w:rPr>
          <w:rStyle w:val="CharSectno"/>
        </w:rPr>
        <w:t>22</w:t>
      </w:r>
      <w:r>
        <w:rPr>
          <w:snapToGrid w:val="0"/>
        </w:rPr>
        <w:t>.</w:t>
      </w:r>
      <w:r>
        <w:rPr>
          <w:snapToGrid w:val="0"/>
        </w:rPr>
        <w:tab/>
        <w:t>Disobeying inspector, consequence of</w:t>
      </w:r>
      <w:bookmarkEnd w:id="19"/>
      <w:bookmarkEnd w:id="20"/>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1" w:name="_Toc391909295"/>
      <w:bookmarkStart w:id="22" w:name="_Toc455398972"/>
      <w:r>
        <w:rPr>
          <w:rStyle w:val="CharSectno"/>
        </w:rPr>
        <w:t>23</w:t>
      </w:r>
      <w:r>
        <w:rPr>
          <w:snapToGrid w:val="0"/>
        </w:rPr>
        <w:t>.</w:t>
      </w:r>
      <w:r>
        <w:rPr>
          <w:snapToGrid w:val="0"/>
        </w:rPr>
        <w:tab/>
        <w:t>Pipeline failures and fires, duties of licensee</w:t>
      </w:r>
      <w:bookmarkEnd w:id="21"/>
      <w:bookmarkEnd w:id="22"/>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23" w:name="_Toc391909296"/>
      <w:bookmarkStart w:id="24" w:name="_Toc455398973"/>
      <w:r>
        <w:rPr>
          <w:rStyle w:val="CharSectno"/>
        </w:rPr>
        <w:t>24</w:t>
      </w:r>
      <w:r>
        <w:t>.</w:t>
      </w:r>
      <w:r>
        <w:tab/>
        <w:t>Transitional provision — time for bringing proceedings for offences committed before certain amendments</w:t>
      </w:r>
      <w:bookmarkEnd w:id="23"/>
      <w:bookmarkEnd w:id="24"/>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25" w:name="_Toc391909297"/>
      <w:bookmarkStart w:id="26" w:name="_Toc455398974"/>
      <w:r>
        <w:rPr>
          <w:rStyle w:val="CharSectno"/>
        </w:rPr>
        <w:t>26</w:t>
      </w:r>
      <w:r>
        <w:rPr>
          <w:snapToGrid w:val="0"/>
        </w:rPr>
        <w:t>.</w:t>
      </w:r>
      <w:r>
        <w:rPr>
          <w:snapToGrid w:val="0"/>
        </w:rPr>
        <w:tab/>
        <w:t>Plan of operational procedure to be submitted with application under Act s. 36</w:t>
      </w:r>
      <w:bookmarkEnd w:id="25"/>
      <w:bookmarkEnd w:id="26"/>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7" w:name="_Toc391909298"/>
      <w:bookmarkStart w:id="28" w:name="_Toc423414744"/>
      <w:bookmarkStart w:id="29" w:name="_Toc423507084"/>
      <w:bookmarkStart w:id="30" w:name="_Toc455398975"/>
      <w:r>
        <w:rPr>
          <w:rStyle w:val="CharSchNo"/>
        </w:rPr>
        <w:t>Third Schedule</w:t>
      </w:r>
      <w:r>
        <w:rPr>
          <w:rStyle w:val="CharSDivNo"/>
        </w:rPr>
        <w:t> </w:t>
      </w:r>
      <w:r>
        <w:t>—</w:t>
      </w:r>
      <w:r>
        <w:rPr>
          <w:rStyle w:val="CharSDivText"/>
        </w:rPr>
        <w:t> </w:t>
      </w:r>
      <w:r>
        <w:rPr>
          <w:rStyle w:val="CharSchText"/>
        </w:rPr>
        <w:t>Fees</w:t>
      </w:r>
      <w:bookmarkEnd w:id="27"/>
      <w:bookmarkEnd w:id="28"/>
      <w:bookmarkEnd w:id="29"/>
      <w:bookmarkEnd w:id="30"/>
    </w:p>
    <w:p>
      <w:pPr>
        <w:pStyle w:val="yShoulderClause"/>
      </w:pPr>
      <w:r>
        <w:t>[r. 4]</w:t>
      </w:r>
    </w:p>
    <w:p>
      <w:pPr>
        <w:pStyle w:val="yFootnoteheading"/>
        <w:spacing w:after="120"/>
      </w:pPr>
      <w:r>
        <w:tab/>
        <w:t>[Heading inserted in Gazette 12 Jun 2012 p. 2458.]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jc w:val="center"/>
            </w:pPr>
            <w:r>
              <w:rPr>
                <w:b/>
              </w:rPr>
              <w:t>Item</w:t>
            </w:r>
          </w:p>
        </w:tc>
        <w:tc>
          <w:tcPr>
            <w:tcW w:w="2977" w:type="dxa"/>
          </w:tcPr>
          <w:p>
            <w:pPr>
              <w:pStyle w:val="yTableNAm"/>
              <w:jc w:val="center"/>
            </w:pPr>
            <w:r>
              <w:rPr>
                <w:b/>
              </w:rPr>
              <w:t>Purpose</w:t>
            </w:r>
          </w:p>
        </w:tc>
        <w:tc>
          <w:tcPr>
            <w:tcW w:w="1417" w:type="dxa"/>
          </w:tcPr>
          <w:p>
            <w:pPr>
              <w:pStyle w:val="yTableNAm"/>
              <w:jc w:val="center"/>
            </w:pPr>
            <w:r>
              <w:rPr>
                <w:b/>
              </w:rPr>
              <w:t>Provision of Act</w:t>
            </w:r>
          </w:p>
        </w:tc>
        <w:tc>
          <w:tcPr>
            <w:tcW w:w="1268" w:type="dxa"/>
          </w:tcPr>
          <w:p>
            <w:pPr>
              <w:pStyle w:val="yTableNAm"/>
              <w:jc w:val="center"/>
            </w:pPr>
            <w:r>
              <w:rPr>
                <w:b/>
              </w:rPr>
              <w:t>Fee</w:t>
            </w:r>
            <w:r>
              <w:rPr>
                <w:b/>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6 102.00</w:t>
            </w:r>
          </w:p>
        </w:tc>
      </w:tr>
      <w:tr>
        <w:trPr>
          <w:cantSplit/>
        </w:trPr>
        <w:tc>
          <w:tcPr>
            <w:tcW w:w="709" w:type="dxa"/>
          </w:tcPr>
          <w:p>
            <w:pPr>
              <w:pStyle w:val="yTableNAm"/>
              <w:jc w:val="center"/>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6 102.00</w:t>
            </w:r>
          </w:p>
        </w:tc>
      </w:tr>
      <w:tr>
        <w:trPr>
          <w:cantSplit/>
        </w:trPr>
        <w:tc>
          <w:tcPr>
            <w:tcW w:w="709" w:type="dxa"/>
          </w:tcPr>
          <w:p>
            <w:pPr>
              <w:pStyle w:val="yTableNAm"/>
              <w:jc w:val="center"/>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r>
              <w:rPr>
                <w:szCs w:val="22"/>
              </w:rPr>
              <w:t>121.00</w:t>
            </w:r>
          </w:p>
        </w:tc>
      </w:tr>
      <w:tr>
        <w:trPr>
          <w:cantSplit/>
        </w:trPr>
        <w:tc>
          <w:tcPr>
            <w:tcW w:w="709" w:type="dxa"/>
          </w:tcPr>
          <w:p>
            <w:pPr>
              <w:pStyle w:val="yTableNAm"/>
              <w:jc w:val="center"/>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r>
              <w:rPr>
                <w:szCs w:val="22"/>
              </w:rPr>
              <w:t>121.00</w:t>
            </w:r>
          </w:p>
        </w:tc>
      </w:tr>
      <w:tr>
        <w:trPr>
          <w:cantSplit/>
        </w:trPr>
        <w:tc>
          <w:tcPr>
            <w:tcW w:w="709" w:type="dxa"/>
          </w:tcPr>
          <w:p>
            <w:pPr>
              <w:pStyle w:val="yTableNAm"/>
              <w:jc w:val="center"/>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r>
              <w:rPr>
                <w:szCs w:val="22"/>
              </w:rPr>
              <w:t>121.00</w:t>
            </w:r>
          </w:p>
        </w:tc>
      </w:tr>
      <w:tr>
        <w:trPr>
          <w:cantSplit/>
        </w:trPr>
        <w:tc>
          <w:tcPr>
            <w:tcW w:w="709" w:type="dxa"/>
          </w:tcPr>
          <w:p>
            <w:pPr>
              <w:pStyle w:val="yTableNAm"/>
              <w:jc w:val="center"/>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r>
              <w:rPr>
                <w:szCs w:val="22"/>
              </w:rPr>
              <w:t>121.00</w:t>
            </w:r>
          </w:p>
        </w:tc>
      </w:tr>
      <w:tr>
        <w:trPr>
          <w:cantSplit/>
        </w:trPr>
        <w:tc>
          <w:tcPr>
            <w:tcW w:w="709" w:type="dxa"/>
          </w:tcPr>
          <w:p>
            <w:pPr>
              <w:pStyle w:val="yTableNAm"/>
              <w:jc w:val="center"/>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r>
              <w:rPr>
                <w:szCs w:val="22"/>
              </w:rPr>
              <w:t>121.00</w:t>
            </w:r>
          </w:p>
        </w:tc>
      </w:tr>
      <w:tr>
        <w:trPr>
          <w:cantSplit/>
        </w:trPr>
        <w:tc>
          <w:tcPr>
            <w:tcW w:w="709" w:type="dxa"/>
          </w:tcPr>
          <w:p>
            <w:pPr>
              <w:pStyle w:val="yTableNAm"/>
              <w:jc w:val="center"/>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r>
              <w:rPr>
                <w:szCs w:val="22"/>
              </w:rPr>
              <w:t>121.00</w:t>
            </w:r>
          </w:p>
        </w:tc>
      </w:tr>
      <w:tr>
        <w:trPr>
          <w:cantSplit/>
        </w:trPr>
        <w:tc>
          <w:tcPr>
            <w:tcW w:w="709" w:type="dxa"/>
          </w:tcPr>
          <w:p>
            <w:pPr>
              <w:pStyle w:val="yTableNAm"/>
              <w:jc w:val="center"/>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r>
              <w:rPr>
                <w:szCs w:val="22"/>
              </w:rPr>
              <w:t>121.00</w:t>
            </w:r>
          </w:p>
        </w:tc>
      </w:tr>
    </w:tbl>
    <w:p>
      <w:pPr>
        <w:pStyle w:val="yFootnotesection"/>
      </w:pPr>
      <w:r>
        <w:tab/>
        <w:t xml:space="preserve">[Third Schedule inserted in Gazette 12 Jun 2012 p. 2458-9; amended in Gazette 25 Feb 2014 p. 503; </w:t>
      </w:r>
      <w:r>
        <w:rPr>
          <w:spacing w:val="-4"/>
          <w:sz w:val="24"/>
        </w:rPr>
        <w:t>17 Jun 2014 p. 1987; 30 Jun 2015 p. 2351; 24 Jun 2016 p. 2334</w:t>
      </w:r>
      <w:r>
        <w:t>.]</w:t>
      </w:r>
    </w:p>
    <w:p>
      <w:pPr>
        <w:pStyle w:val="yFootnotesection"/>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32" w:name="_Toc391909299"/>
      <w:bookmarkStart w:id="33" w:name="_Toc423414745"/>
      <w:bookmarkStart w:id="34" w:name="_Toc423507085"/>
      <w:bookmarkStart w:id="35" w:name="_Toc455398976"/>
      <w:r>
        <w:rPr>
          <w:rStyle w:val="CharSchNo"/>
        </w:rPr>
        <w:t>Fourth Schedule</w:t>
      </w:r>
      <w:bookmarkEnd w:id="32"/>
      <w:bookmarkEnd w:id="33"/>
      <w:bookmarkEnd w:id="34"/>
      <w:bookmarkEnd w:id="35"/>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9"/>
          <w:pgSz w:w="11907" w:h="16840" w:code="9"/>
          <w:pgMar w:top="2381" w:right="2409" w:bottom="3543" w:left="2409" w:header="720" w:footer="3380" w:gutter="0"/>
          <w:cols w:space="720"/>
          <w:noEndnote/>
          <w:docGrid w:linePitch="326"/>
        </w:sectPr>
      </w:pPr>
    </w:p>
    <w:p>
      <w:pPr>
        <w:pStyle w:val="nHeading2"/>
      </w:pPr>
      <w:bookmarkStart w:id="36" w:name="_Toc391909300"/>
      <w:bookmarkStart w:id="37" w:name="_Toc423414746"/>
      <w:bookmarkStart w:id="38" w:name="_Toc423507086"/>
      <w:bookmarkStart w:id="39" w:name="_Toc455398977"/>
      <w:r>
        <w:t>Notes</w:t>
      </w:r>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0" w:name="_Toc391909301"/>
      <w:bookmarkStart w:id="41" w:name="_Toc455398978"/>
      <w:r>
        <w:t>Compilation table</w:t>
      </w:r>
      <w:bookmarkEnd w:id="40"/>
      <w:bookmarkEnd w:id="41"/>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Petroleum Pipelines Regulations 1970</w:t>
            </w:r>
          </w:p>
        </w:tc>
        <w:tc>
          <w:tcPr>
            <w:tcW w:w="1276" w:type="dxa"/>
            <w:tcBorders>
              <w:top w:val="single" w:sz="8" w:space="0" w:color="auto"/>
            </w:tcBorders>
          </w:tcPr>
          <w:p>
            <w:pPr>
              <w:pStyle w:val="nTable"/>
              <w:spacing w:after="40"/>
            </w:pPr>
            <w:r>
              <w:t>30 Jul 1970 p. 2242</w:t>
            </w:r>
            <w:r>
              <w:noBreakHyphen/>
              <w:t>52</w:t>
            </w:r>
          </w:p>
        </w:tc>
        <w:tc>
          <w:tcPr>
            <w:tcW w:w="2694" w:type="dxa"/>
            <w:tcBorders>
              <w:top w:val="single" w:sz="8" w:space="0" w:color="auto"/>
            </w:tcBorders>
          </w:tcPr>
          <w:p>
            <w:pPr>
              <w:pStyle w:val="nTable"/>
              <w:spacing w:after="40"/>
            </w:pPr>
            <w:r>
              <w:t>30 Jul 1970</w:t>
            </w:r>
          </w:p>
        </w:tc>
      </w:tr>
      <w:tr>
        <w:trPr>
          <w:cantSplit/>
        </w:trPr>
        <w:tc>
          <w:tcPr>
            <w:tcW w:w="3118" w:type="dxa"/>
          </w:tcPr>
          <w:p>
            <w:pPr>
              <w:pStyle w:val="nTable"/>
              <w:spacing w:after="40"/>
              <w:ind w:right="113"/>
              <w:rPr>
                <w:i/>
              </w:rPr>
            </w:pPr>
            <w:r>
              <w:rPr>
                <w:i/>
              </w:rPr>
              <w:t>Petroleum Pipelines Amendment Regulations 1983</w:t>
            </w:r>
          </w:p>
        </w:tc>
        <w:tc>
          <w:tcPr>
            <w:tcW w:w="1276" w:type="dxa"/>
          </w:tcPr>
          <w:p>
            <w:pPr>
              <w:pStyle w:val="nTable"/>
              <w:spacing w:after="40"/>
            </w:pPr>
            <w:r>
              <w:t>11 Nov 1983 p. 4543</w:t>
            </w:r>
          </w:p>
        </w:tc>
        <w:tc>
          <w:tcPr>
            <w:tcW w:w="2694" w:type="dxa"/>
          </w:tcPr>
          <w:p>
            <w:pPr>
              <w:pStyle w:val="nTable"/>
              <w:spacing w:after="40"/>
            </w:pPr>
            <w:r>
              <w:t xml:space="preserve">11 Nov 1983 (see r. 2 and </w:t>
            </w:r>
            <w:r>
              <w:rPr>
                <w:i/>
              </w:rPr>
              <w:t>Gazette</w:t>
            </w:r>
            <w:r>
              <w:t xml:space="preserve"> 11 Nov 1983 p. 4503)</w:t>
            </w:r>
          </w:p>
        </w:tc>
      </w:tr>
      <w:tr>
        <w:trPr>
          <w:cantSplit/>
        </w:trPr>
        <w:tc>
          <w:tcPr>
            <w:tcW w:w="3118" w:type="dxa"/>
          </w:tcPr>
          <w:p>
            <w:pPr>
              <w:pStyle w:val="nTable"/>
              <w:spacing w:after="40"/>
              <w:ind w:right="113"/>
            </w:pPr>
            <w:r>
              <w:rPr>
                <w:i/>
              </w:rPr>
              <w:t>Petroleum Pipelines Amendment Regulations 1990</w:t>
            </w:r>
          </w:p>
        </w:tc>
        <w:tc>
          <w:tcPr>
            <w:tcW w:w="1276" w:type="dxa"/>
          </w:tcPr>
          <w:p>
            <w:pPr>
              <w:pStyle w:val="nTable"/>
              <w:spacing w:after="40"/>
            </w:pPr>
            <w:r>
              <w:t>28 Sep 1990 p. 5103</w:t>
            </w:r>
            <w:r>
              <w:noBreakHyphen/>
              <w:t>5</w:t>
            </w:r>
          </w:p>
        </w:tc>
        <w:tc>
          <w:tcPr>
            <w:tcW w:w="2694" w:type="dxa"/>
          </w:tcPr>
          <w:p>
            <w:pPr>
              <w:pStyle w:val="nTable"/>
              <w:spacing w:after="40"/>
            </w:pPr>
            <w:r>
              <w:t xml:space="preserve">1 Oct 1990 (see r. 2 and </w:t>
            </w:r>
            <w:r>
              <w:rPr>
                <w:i/>
              </w:rPr>
              <w:t>Gazette</w:t>
            </w:r>
            <w:r>
              <w:t xml:space="preserve"> 28 Sep 1990 p. 5099)</w:t>
            </w:r>
          </w:p>
        </w:tc>
      </w:tr>
      <w:tr>
        <w:trPr>
          <w:cantSplit/>
        </w:trPr>
        <w:tc>
          <w:tcPr>
            <w:tcW w:w="3118" w:type="dxa"/>
          </w:tcPr>
          <w:p>
            <w:pPr>
              <w:pStyle w:val="nTable"/>
              <w:spacing w:after="40"/>
              <w:ind w:right="113"/>
            </w:pPr>
            <w:r>
              <w:rPr>
                <w:i/>
              </w:rPr>
              <w:t>Petroleum Pipelines Amendment Regulations 1993</w:t>
            </w:r>
          </w:p>
        </w:tc>
        <w:tc>
          <w:tcPr>
            <w:tcW w:w="1276" w:type="dxa"/>
          </w:tcPr>
          <w:p>
            <w:pPr>
              <w:pStyle w:val="nTable"/>
              <w:spacing w:after="40"/>
            </w:pPr>
            <w:r>
              <w:t>24 Dec 1993 p. 6832</w:t>
            </w:r>
            <w:r>
              <w:noBreakHyphen/>
              <w:t>3</w:t>
            </w:r>
          </w:p>
        </w:tc>
        <w:tc>
          <w:tcPr>
            <w:tcW w:w="2694" w:type="dxa"/>
          </w:tcPr>
          <w:p>
            <w:pPr>
              <w:pStyle w:val="nTable"/>
              <w:spacing w:after="40"/>
            </w:pPr>
            <w:r>
              <w:t>24 Dec 1993</w:t>
            </w:r>
          </w:p>
        </w:tc>
      </w:tr>
      <w:tr>
        <w:trPr>
          <w:cantSplit/>
        </w:trPr>
        <w:tc>
          <w:tcPr>
            <w:tcW w:w="3118" w:type="dxa"/>
          </w:tcPr>
          <w:p>
            <w:pPr>
              <w:pStyle w:val="nTable"/>
              <w:spacing w:after="40"/>
              <w:ind w:right="113"/>
            </w:pPr>
            <w:r>
              <w:rPr>
                <w:i/>
              </w:rPr>
              <w:t>Petroleum Pipelines Amendment Regulations 1994</w:t>
            </w:r>
          </w:p>
        </w:tc>
        <w:tc>
          <w:tcPr>
            <w:tcW w:w="1276" w:type="dxa"/>
          </w:tcPr>
          <w:p>
            <w:pPr>
              <w:pStyle w:val="nTable"/>
              <w:spacing w:after="40"/>
            </w:pPr>
            <w:r>
              <w:t>22 Jul 1994 p. 3780</w:t>
            </w:r>
          </w:p>
        </w:tc>
        <w:tc>
          <w:tcPr>
            <w:tcW w:w="2694" w:type="dxa"/>
          </w:tcPr>
          <w:p>
            <w:pPr>
              <w:pStyle w:val="nTable"/>
              <w:spacing w:after="40"/>
            </w:pPr>
            <w:r>
              <w:t xml:space="preserve">22 Jul 1994 (see r. 2 and </w:t>
            </w:r>
            <w:r>
              <w:rPr>
                <w:i/>
              </w:rPr>
              <w:t>Gazette</w:t>
            </w:r>
            <w:r>
              <w:t xml:space="preserve"> 22 Jul 1994 p. 3728)</w:t>
            </w:r>
          </w:p>
        </w:tc>
      </w:tr>
      <w:tr>
        <w:trPr>
          <w:cantSplit/>
        </w:trPr>
        <w:tc>
          <w:tcPr>
            <w:tcW w:w="3118" w:type="dxa"/>
          </w:tcPr>
          <w:p>
            <w:pPr>
              <w:pStyle w:val="nTable"/>
              <w:spacing w:after="40"/>
              <w:ind w:right="113"/>
              <w:rPr>
                <w:i/>
              </w:rPr>
            </w:pPr>
            <w:r>
              <w:rPr>
                <w:i/>
              </w:rPr>
              <w:t>Petroleum Pipelines Amendment Regulations 2000</w:t>
            </w:r>
          </w:p>
        </w:tc>
        <w:tc>
          <w:tcPr>
            <w:tcW w:w="1276" w:type="dxa"/>
          </w:tcPr>
          <w:p>
            <w:pPr>
              <w:pStyle w:val="nTable"/>
              <w:spacing w:after="40"/>
            </w:pPr>
            <w:r>
              <w:t>8 Feb 2000 p. 455</w:t>
            </w:r>
            <w:r>
              <w:noBreakHyphen/>
              <w:t>6</w:t>
            </w:r>
          </w:p>
        </w:tc>
        <w:tc>
          <w:tcPr>
            <w:tcW w:w="2694" w:type="dxa"/>
          </w:tcPr>
          <w:p>
            <w:pPr>
              <w:pStyle w:val="nTable"/>
              <w:spacing w:after="40"/>
            </w:pPr>
            <w:r>
              <w:t>8 Feb 2000</w:t>
            </w:r>
          </w:p>
        </w:tc>
      </w:tr>
      <w:tr>
        <w:trPr>
          <w:cantSplit/>
        </w:trPr>
        <w:tc>
          <w:tcPr>
            <w:tcW w:w="3118" w:type="dxa"/>
          </w:tcPr>
          <w:p>
            <w:pPr>
              <w:pStyle w:val="nTable"/>
              <w:spacing w:after="40"/>
              <w:ind w:right="113"/>
              <w:rPr>
                <w:i/>
              </w:rPr>
            </w:pPr>
            <w:r>
              <w:rPr>
                <w:i/>
              </w:rPr>
              <w:t>Petroleum Pipelines Amendment Regulations (No. 2) 2000</w:t>
            </w:r>
          </w:p>
        </w:tc>
        <w:tc>
          <w:tcPr>
            <w:tcW w:w="1276" w:type="dxa"/>
          </w:tcPr>
          <w:p>
            <w:pPr>
              <w:pStyle w:val="nTable"/>
              <w:spacing w:after="40"/>
            </w:pPr>
            <w:r>
              <w:t xml:space="preserve">27 Jun 2000 </w:t>
            </w:r>
            <w:r>
              <w:br/>
              <w:t>p. 3251</w:t>
            </w:r>
          </w:p>
        </w:tc>
        <w:tc>
          <w:tcPr>
            <w:tcW w:w="2694" w:type="dxa"/>
          </w:tcPr>
          <w:p>
            <w:pPr>
              <w:pStyle w:val="nTable"/>
              <w:spacing w:after="40"/>
            </w:pPr>
            <w:r>
              <w:t>1 Jul 2000 (see r. 2)</w:t>
            </w:r>
          </w:p>
        </w:tc>
      </w:tr>
      <w:tr>
        <w:trPr>
          <w:cantSplit/>
        </w:trPr>
        <w:tc>
          <w:tcPr>
            <w:tcW w:w="7088" w:type="dxa"/>
            <w:gridSpan w:val="3"/>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8" w:type="dxa"/>
          </w:tcPr>
          <w:p>
            <w:pPr>
              <w:pStyle w:val="nTable"/>
              <w:spacing w:after="40"/>
              <w:ind w:right="113"/>
              <w:rPr>
                <w:i/>
              </w:rPr>
            </w:pPr>
            <w:r>
              <w:rPr>
                <w:i/>
              </w:rPr>
              <w:t>Petroleum Pipelines Amendment Regulations 2002</w:t>
            </w:r>
          </w:p>
        </w:tc>
        <w:tc>
          <w:tcPr>
            <w:tcW w:w="1276" w:type="dxa"/>
          </w:tcPr>
          <w:p>
            <w:pPr>
              <w:pStyle w:val="nTable"/>
              <w:spacing w:after="40"/>
            </w:pPr>
            <w:r>
              <w:t>28 Jun 2002 p. 3095</w:t>
            </w:r>
            <w:r>
              <w:noBreakHyphen/>
              <w:t>6</w:t>
            </w:r>
          </w:p>
        </w:tc>
        <w:tc>
          <w:tcPr>
            <w:tcW w:w="2694" w:type="dxa"/>
          </w:tcPr>
          <w:p>
            <w:pPr>
              <w:pStyle w:val="nTable"/>
              <w:spacing w:after="40"/>
            </w:pPr>
            <w:r>
              <w:t>1 Jul 2002 (see r. 2)</w:t>
            </w:r>
          </w:p>
        </w:tc>
      </w:tr>
      <w:tr>
        <w:trPr>
          <w:cantSplit/>
        </w:trPr>
        <w:tc>
          <w:tcPr>
            <w:tcW w:w="3118" w:type="dxa"/>
          </w:tcPr>
          <w:p>
            <w:pPr>
              <w:pStyle w:val="nTable"/>
              <w:spacing w:after="40"/>
              <w:ind w:right="113"/>
              <w:rPr>
                <w:i/>
              </w:rPr>
            </w:pPr>
            <w:r>
              <w:rPr>
                <w:i/>
              </w:rPr>
              <w:t>Petroleum Pipelines Amendment Regulations 2003</w:t>
            </w:r>
          </w:p>
        </w:tc>
        <w:tc>
          <w:tcPr>
            <w:tcW w:w="1276" w:type="dxa"/>
          </w:tcPr>
          <w:p>
            <w:pPr>
              <w:pStyle w:val="nTable"/>
              <w:spacing w:after="40"/>
            </w:pPr>
            <w:r>
              <w:t>28 Feb 2003 p. 671</w:t>
            </w:r>
            <w:r>
              <w:noBreakHyphen/>
              <w:t>2</w:t>
            </w:r>
          </w:p>
        </w:tc>
        <w:tc>
          <w:tcPr>
            <w:tcW w:w="2694" w:type="dxa"/>
          </w:tcPr>
          <w:p>
            <w:pPr>
              <w:pStyle w:val="nTable"/>
              <w:spacing w:after="40"/>
            </w:pPr>
            <w:r>
              <w:t>28 Feb 2003</w:t>
            </w:r>
          </w:p>
        </w:tc>
      </w:tr>
      <w:tr>
        <w:trPr>
          <w:cantSplit/>
        </w:trPr>
        <w:tc>
          <w:tcPr>
            <w:tcW w:w="3118" w:type="dxa"/>
          </w:tcPr>
          <w:p>
            <w:pPr>
              <w:pStyle w:val="nTable"/>
              <w:spacing w:after="40"/>
              <w:ind w:right="113"/>
              <w:rPr>
                <w:i/>
              </w:rPr>
            </w:pPr>
            <w:r>
              <w:rPr>
                <w:i/>
              </w:rPr>
              <w:t>Petroleum Pipelines Amendment Regulations (No. 2) 2009</w:t>
            </w:r>
          </w:p>
        </w:tc>
        <w:tc>
          <w:tcPr>
            <w:tcW w:w="1276" w:type="dxa"/>
          </w:tcPr>
          <w:p>
            <w:pPr>
              <w:pStyle w:val="nTable"/>
              <w:spacing w:after="40"/>
            </w:pPr>
            <w:r>
              <w:t>23 Jun 2009 p. 2478</w:t>
            </w:r>
            <w:r>
              <w:noBreakHyphen/>
              <w:t>80</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ind w:right="113"/>
              <w:rPr>
                <w:i/>
              </w:rPr>
            </w:pPr>
            <w:r>
              <w:rPr>
                <w:i/>
              </w:rPr>
              <w:t>Petroleum Pipelines Amendment Regulations 2010</w:t>
            </w:r>
          </w:p>
        </w:tc>
        <w:tc>
          <w:tcPr>
            <w:tcW w:w="1276" w:type="dxa"/>
          </w:tcPr>
          <w:p>
            <w:pPr>
              <w:pStyle w:val="nTable"/>
              <w:spacing w:after="40"/>
            </w:pPr>
            <w:r>
              <w:t>9 Feb 2010 p. 269</w:t>
            </w:r>
          </w:p>
        </w:tc>
        <w:tc>
          <w:tcPr>
            <w:tcW w:w="2694" w:type="dxa"/>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8" w:type="dxa"/>
          </w:tcPr>
          <w:p>
            <w:pPr>
              <w:pStyle w:val="nTable"/>
              <w:spacing w:after="40"/>
              <w:ind w:right="113"/>
              <w:rPr>
                <w:i/>
              </w:rPr>
            </w:pPr>
            <w:r>
              <w:rPr>
                <w:i/>
              </w:rPr>
              <w:t>Petroleum Pipelines Amendment Regulations (No. 3) 2010</w:t>
            </w:r>
          </w:p>
        </w:tc>
        <w:tc>
          <w:tcPr>
            <w:tcW w:w="1276" w:type="dxa"/>
          </w:tcPr>
          <w:p>
            <w:pPr>
              <w:pStyle w:val="nTable"/>
              <w:spacing w:after="40"/>
            </w:pPr>
            <w:r>
              <w:t>11 May 2010 p. 1823</w:t>
            </w:r>
            <w:r>
              <w:noBreakHyphen/>
              <w:t>4</w:t>
            </w:r>
          </w:p>
        </w:tc>
        <w:tc>
          <w:tcPr>
            <w:tcW w:w="2694"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8" w:type="dxa"/>
          </w:tcPr>
          <w:p>
            <w:pPr>
              <w:pStyle w:val="nTable"/>
              <w:spacing w:after="40"/>
              <w:ind w:right="113"/>
              <w:rPr>
                <w:i/>
              </w:rPr>
            </w:pPr>
            <w:r>
              <w:rPr>
                <w:i/>
              </w:rPr>
              <w:t>Petroleum Pipelines Amendment Regulations (No. 2) 2010</w:t>
            </w:r>
          </w:p>
        </w:tc>
        <w:tc>
          <w:tcPr>
            <w:tcW w:w="1276" w:type="dxa"/>
          </w:tcPr>
          <w:p>
            <w:pPr>
              <w:pStyle w:val="nTable"/>
              <w:spacing w:after="40"/>
            </w:pPr>
            <w:r>
              <w:t>14 May 2010 p. 2018</w:t>
            </w:r>
            <w:r>
              <w:noBreakHyphen/>
              <w:t>21</w:t>
            </w:r>
          </w:p>
        </w:tc>
        <w:tc>
          <w:tcPr>
            <w:tcW w:w="2694" w:type="dxa"/>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8" w:type="dxa"/>
          </w:tcPr>
          <w:p>
            <w:pPr>
              <w:pStyle w:val="nTable"/>
              <w:spacing w:after="40"/>
              <w:ind w:right="113"/>
              <w:rPr>
                <w:i/>
              </w:rPr>
            </w:pPr>
            <w:r>
              <w:rPr>
                <w:i/>
              </w:rPr>
              <w:t>Petroleum Pipelines Amendment Regulations (No. 4) 2010</w:t>
            </w:r>
          </w:p>
        </w:tc>
        <w:tc>
          <w:tcPr>
            <w:tcW w:w="1276" w:type="dxa"/>
          </w:tcPr>
          <w:p>
            <w:pPr>
              <w:pStyle w:val="nTable"/>
              <w:spacing w:after="40"/>
            </w:pPr>
            <w:r>
              <w:t>16 Jul 2010 p. 3363</w:t>
            </w:r>
            <w:r>
              <w:noBreakHyphen/>
              <w:t>4</w:t>
            </w:r>
          </w:p>
        </w:tc>
        <w:tc>
          <w:tcPr>
            <w:tcW w:w="2694"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8" w:type="dxa"/>
            <w:gridSpan w:val="3"/>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8" w:type="dxa"/>
            <w:shd w:val="clear" w:color="auto" w:fill="auto"/>
          </w:tcPr>
          <w:p>
            <w:pPr>
              <w:pStyle w:val="nTable"/>
              <w:spacing w:after="40"/>
              <w:ind w:right="113"/>
              <w:rPr>
                <w:i/>
              </w:rPr>
            </w:pPr>
            <w:r>
              <w:rPr>
                <w:i/>
              </w:rPr>
              <w:t>Petroleum Pipelines Amendment Regulations 2011</w:t>
            </w:r>
          </w:p>
        </w:tc>
        <w:tc>
          <w:tcPr>
            <w:tcW w:w="1276" w:type="dxa"/>
            <w:shd w:val="clear" w:color="auto" w:fill="auto"/>
          </w:tcPr>
          <w:p>
            <w:pPr>
              <w:pStyle w:val="nTable"/>
              <w:spacing w:after="40"/>
            </w:pPr>
            <w:r>
              <w:t>1 Jul 2011 p. 2739</w:t>
            </w:r>
            <w:r>
              <w:noBreakHyphen/>
              <w:t>41</w:t>
            </w:r>
          </w:p>
        </w:tc>
        <w:tc>
          <w:tcPr>
            <w:tcW w:w="2694" w:type="dxa"/>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pPr>
            <w:r>
              <w:rPr>
                <w:i/>
              </w:rPr>
              <w:t>Petroleum Pipelines Amendment Regulations 2012</w:t>
            </w:r>
          </w:p>
        </w:tc>
        <w:tc>
          <w:tcPr>
            <w:tcW w:w="1276" w:type="dxa"/>
            <w:shd w:val="clear" w:color="auto" w:fill="auto"/>
          </w:tcPr>
          <w:p>
            <w:pPr>
              <w:pStyle w:val="nTable"/>
              <w:spacing w:after="40"/>
            </w:pPr>
            <w:r>
              <w:t>12 Jun 2012 p. 2458</w:t>
            </w:r>
            <w:r>
              <w:noBreakHyphen/>
              <w:t>9</w:t>
            </w:r>
          </w:p>
        </w:tc>
        <w:tc>
          <w:tcPr>
            <w:tcW w:w="2694" w:type="dxa"/>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Petroleum Pipelines Amendment Regulations 2014</w:t>
            </w:r>
          </w:p>
        </w:tc>
        <w:tc>
          <w:tcPr>
            <w:tcW w:w="1276" w:type="dxa"/>
            <w:shd w:val="clear" w:color="auto" w:fill="auto"/>
          </w:tcPr>
          <w:p>
            <w:pPr>
              <w:pStyle w:val="nTable"/>
              <w:spacing w:after="40"/>
            </w:pPr>
            <w:r>
              <w:t>25 Feb 2014 p. 503</w:t>
            </w:r>
          </w:p>
        </w:tc>
        <w:tc>
          <w:tcPr>
            <w:tcW w:w="2694" w:type="dxa"/>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8" w:type="dxa"/>
            <w:shd w:val="clear" w:color="auto" w:fill="auto"/>
          </w:tcPr>
          <w:p>
            <w:pPr>
              <w:pStyle w:val="nTable"/>
              <w:spacing w:after="40"/>
              <w:ind w:right="113"/>
              <w:rPr>
                <w:i/>
              </w:rPr>
            </w:pPr>
            <w:r>
              <w:rPr>
                <w:i/>
              </w:rPr>
              <w:t>Petroleum Pipelines Amendment Regulations (No. 2) 2014</w:t>
            </w:r>
          </w:p>
        </w:tc>
        <w:tc>
          <w:tcPr>
            <w:tcW w:w="1276" w:type="dxa"/>
            <w:shd w:val="clear" w:color="auto" w:fill="auto"/>
          </w:tcPr>
          <w:p>
            <w:pPr>
              <w:pStyle w:val="nTable"/>
              <w:spacing w:after="40"/>
            </w:pPr>
            <w:r>
              <w:rPr>
                <w:spacing w:val="-4"/>
              </w:rPr>
              <w:t>17 Jun 2014 p. 1</w:t>
            </w:r>
            <w:r>
              <w:t>986</w:t>
            </w:r>
            <w:r>
              <w:noBreakHyphen/>
              <w:t>7</w:t>
            </w:r>
          </w:p>
        </w:tc>
        <w:tc>
          <w:tcPr>
            <w:tcW w:w="2694"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ind w:right="113"/>
              <w:rPr>
                <w:i/>
              </w:rPr>
            </w:pPr>
            <w:r>
              <w:rPr>
                <w:i/>
              </w:rPr>
              <w:t>Petroleum Pipelines Amendment Regulations 2015</w:t>
            </w:r>
          </w:p>
        </w:tc>
        <w:tc>
          <w:tcPr>
            <w:tcW w:w="1276" w:type="dxa"/>
            <w:shd w:val="clear" w:color="auto" w:fill="auto"/>
          </w:tcPr>
          <w:p>
            <w:pPr>
              <w:pStyle w:val="nTable"/>
              <w:spacing w:after="40"/>
              <w:rPr>
                <w:spacing w:val="-4"/>
              </w:rPr>
            </w:pPr>
            <w:r>
              <w:rPr>
                <w:spacing w:val="-4"/>
              </w:rPr>
              <w:t>30 Jun 2015 p. 2350</w:t>
            </w:r>
            <w:r>
              <w:rPr>
                <w:spacing w:val="-4"/>
              </w:rPr>
              <w:noBreakHyphen/>
              <w:t>1</w:t>
            </w:r>
          </w:p>
        </w:tc>
        <w:tc>
          <w:tcPr>
            <w:tcW w:w="2694"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trPr>
        <w:tc>
          <w:tcPr>
            <w:tcW w:w="3118" w:type="dxa"/>
            <w:tcBorders>
              <w:bottom w:val="single" w:sz="4" w:space="0" w:color="auto"/>
            </w:tcBorders>
            <w:shd w:val="clear" w:color="auto" w:fill="auto"/>
          </w:tcPr>
          <w:p>
            <w:pPr>
              <w:pStyle w:val="nTable"/>
              <w:spacing w:after="40"/>
              <w:ind w:right="113"/>
            </w:pPr>
            <w:r>
              <w:rPr>
                <w:i/>
              </w:rPr>
              <w:t>Mines and Petroleum Regulations Amendment (Fees and Levies) Regulations 2016</w:t>
            </w:r>
            <w:r>
              <w:t xml:space="preserve"> Pt. 14</w:t>
            </w:r>
          </w:p>
        </w:tc>
        <w:tc>
          <w:tcPr>
            <w:tcW w:w="1276" w:type="dxa"/>
            <w:tcBorders>
              <w:bottom w:val="single" w:sz="4" w:space="0" w:color="auto"/>
            </w:tcBorders>
            <w:shd w:val="clear" w:color="auto" w:fill="auto"/>
          </w:tcPr>
          <w:p>
            <w:pPr>
              <w:pStyle w:val="nTable"/>
              <w:spacing w:after="40"/>
              <w:rPr>
                <w:spacing w:val="-4"/>
              </w:rPr>
            </w:pPr>
            <w:r>
              <w:rPr>
                <w:spacing w:val="-4"/>
              </w:rPr>
              <w:t>24 Jun 2016 p. 2325</w:t>
            </w:r>
            <w:r>
              <w:rPr>
                <w:spacing w:val="-4"/>
              </w:rPr>
              <w:noBreakHyphen/>
              <w:t>34</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43" w:name="_Toc423507088"/>
      <w:bookmarkStart w:id="44" w:name="_Toc455398979"/>
      <w:r>
        <w:rPr>
          <w:sz w:val="28"/>
        </w:rPr>
        <w:t>Defined terms</w:t>
      </w:r>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related dealing</w:t>
      </w:r>
      <w:r>
        <w:tab/>
        <w:t>4D(2)</w:t>
      </w:r>
    </w:p>
    <w:p>
      <w:pPr>
        <w:pStyle w:val="DefinedTerms"/>
      </w:pPr>
      <w:r>
        <w:t>section 29(1)</w:t>
      </w:r>
      <w:r>
        <w:tab/>
        <w:t>24(1)</w:t>
      </w:r>
    </w:p>
    <w:p>
      <w:pPr>
        <w:pStyle w:val="DefinedTerms"/>
      </w:pPr>
      <w:r>
        <w:t>the dealing</w:t>
      </w:r>
      <w:r>
        <w:tab/>
        <w:t>4D(1)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56"/>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2652</Words>
  <Characters>13050</Characters>
  <Application>Microsoft Office Word</Application>
  <DocSecurity>0</DocSecurity>
  <Lines>522</Lines>
  <Paragraphs>314</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1970 - 02-h0-01</dc:title>
  <dc:subject/>
  <dc:creator/>
  <cp:keywords/>
  <dc:description/>
  <cp:lastModifiedBy>svcMRProcess</cp:lastModifiedBy>
  <cp:revision>4</cp:revision>
  <cp:lastPrinted>2010-08-10T04:22:00Z</cp:lastPrinted>
  <dcterms:created xsi:type="dcterms:W3CDTF">2020-02-27T13:40:00Z</dcterms:created>
  <dcterms:modified xsi:type="dcterms:W3CDTF">2020-02-27T13:40:00Z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2010-08-12T16:00:00Z</vt:filetime>
  </property>
  <property fmtid="{D5CDD505-2E9C-101B-9397-08002B2CF9AE}" pid="6" name="ReprintNo">
    <vt:lpwstr>2</vt:lpwstr>
  </property>
  <property fmtid="{D5CDD505-2E9C-101B-9397-08002B2CF9AE}" pid="7" name="AsAtDate">
    <vt:lpwstr>01 Jul 2016</vt:lpwstr>
  </property>
  <property fmtid="{D5CDD505-2E9C-101B-9397-08002B2CF9AE}" pid="8" name="Suffix">
    <vt:lpwstr>02-h0-01</vt:lpwstr>
  </property>
  <property fmtid="{D5CDD505-2E9C-101B-9397-08002B2CF9AE}" pid="9" name="CommencementDate">
    <vt:lpwstr>20160701</vt:lpwstr>
  </property>
</Properties>
</file>