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Services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Water Services (Water Corporations Charges)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_Toc455404042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_Toc455404043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_Toc455404044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Annual charges and pro rata annual charges</w:t>
      </w:r>
      <w:r>
        <w:tab/>
      </w:r>
      <w:r>
        <w:fldChar w:fldCharType="begin"/>
      </w:r>
      <w:r>
        <w:instrText xml:space="preserve"> PAGEREF _Toc455404046 \h </w:instrText>
      </w:r>
      <w:r>
        <w:fldChar w:fldCharType="separate"/>
      </w:r>
      <w:r>
        <w:t>3</w:t>
      </w:r>
      <w:r>
        <w:fldChar w:fldCharType="end"/>
      </w:r>
    </w:p>
    <w:p>
      <w:pPr>
        <w:pStyle w:val="TOC8"/>
        <w:rPr>
          <w:rFonts w:asciiTheme="minorHAnsi" w:eastAsiaTheme="minorEastAsia" w:hAnsiTheme="minorHAnsi" w:cstheme="minorBidi"/>
          <w:szCs w:val="22"/>
        </w:rPr>
      </w:pPr>
      <w:r>
        <w:t>5.</w:t>
      </w:r>
      <w:r>
        <w:tab/>
        <w:t>Amendment of consumption or discharge charges during charge period</w:t>
      </w:r>
      <w:r>
        <w:tab/>
      </w:r>
      <w:r>
        <w:fldChar w:fldCharType="begin"/>
      </w:r>
      <w:r>
        <w:instrText xml:space="preserve"> PAGEREF _Toc455404047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Charges for Bunbury Water Corporation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_Toc455404049 \h </w:instrText>
      </w:r>
      <w:r>
        <w:fldChar w:fldCharType="separate"/>
      </w:r>
      <w:r>
        <w:t>4</w:t>
      </w:r>
      <w:r>
        <w:fldChar w:fldCharType="end"/>
      </w:r>
    </w:p>
    <w:p>
      <w:pPr>
        <w:pStyle w:val="TOC8"/>
        <w:rPr>
          <w:rFonts w:asciiTheme="minorHAnsi" w:eastAsiaTheme="minorEastAsia" w:hAnsiTheme="minorHAnsi" w:cstheme="minorBidi"/>
          <w:szCs w:val="22"/>
        </w:rPr>
      </w:pPr>
      <w:r>
        <w:t>7.</w:t>
      </w:r>
      <w:r>
        <w:tab/>
        <w:t>Water supply charges</w:t>
      </w:r>
      <w:r>
        <w:tab/>
      </w:r>
      <w:r>
        <w:fldChar w:fldCharType="begin"/>
      </w:r>
      <w:r>
        <w:instrText xml:space="preserve"> PAGEREF _Toc455404050 \h </w:instrText>
      </w:r>
      <w:r>
        <w:fldChar w:fldCharType="separate"/>
      </w:r>
      <w:r>
        <w:t>4</w:t>
      </w:r>
      <w:r>
        <w:fldChar w:fldCharType="end"/>
      </w:r>
    </w:p>
    <w:p>
      <w:pPr>
        <w:pStyle w:val="TOC8"/>
        <w:rPr>
          <w:rFonts w:asciiTheme="minorHAnsi" w:eastAsiaTheme="minorEastAsia" w:hAnsiTheme="minorHAnsi" w:cstheme="minorBidi"/>
          <w:szCs w:val="22"/>
        </w:rPr>
      </w:pPr>
      <w:r>
        <w:t>8.</w:t>
      </w:r>
      <w:r>
        <w:tab/>
        <w:t>Miscellaneous charges</w:t>
      </w:r>
      <w:r>
        <w:tab/>
      </w:r>
      <w:r>
        <w:fldChar w:fldCharType="begin"/>
      </w:r>
      <w:r>
        <w:instrText xml:space="preserve"> PAGEREF _Toc455404051 \h </w:instrText>
      </w:r>
      <w:r>
        <w:fldChar w:fldCharType="separate"/>
      </w:r>
      <w:r>
        <w:t>4</w:t>
      </w:r>
      <w:r>
        <w:fldChar w:fldCharType="end"/>
      </w:r>
    </w:p>
    <w:p>
      <w:pPr>
        <w:pStyle w:val="TOC8"/>
        <w:rPr>
          <w:rFonts w:asciiTheme="minorHAnsi" w:eastAsiaTheme="minorEastAsia" w:hAnsiTheme="minorHAnsi" w:cstheme="minorBidi"/>
          <w:szCs w:val="22"/>
        </w:rPr>
      </w:pPr>
      <w:r>
        <w:t>9.</w:t>
      </w:r>
      <w:r>
        <w:tab/>
        <w:t>Concessions</w:t>
      </w:r>
      <w:r>
        <w:tab/>
      </w:r>
      <w:r>
        <w:fldChar w:fldCharType="begin"/>
      </w:r>
      <w:r>
        <w:instrText xml:space="preserve"> PAGEREF _Toc455404052 \h </w:instrText>
      </w:r>
      <w:r>
        <w:fldChar w:fldCharType="separate"/>
      </w:r>
      <w:r>
        <w:t>5</w:t>
      </w:r>
      <w:r>
        <w:fldChar w:fldCharType="end"/>
      </w:r>
    </w:p>
    <w:p>
      <w:pPr>
        <w:pStyle w:val="TOC8"/>
        <w:rPr>
          <w:rFonts w:asciiTheme="minorHAnsi" w:eastAsiaTheme="minorEastAsia" w:hAnsiTheme="minorHAnsi" w:cstheme="minorBidi"/>
          <w:szCs w:val="22"/>
        </w:rPr>
      </w:pPr>
      <w:r>
        <w:t>10.</w:t>
      </w:r>
      <w:r>
        <w:tab/>
        <w:t>Interest accruing on overdue amounts</w:t>
      </w:r>
      <w:r>
        <w:tab/>
      </w:r>
      <w:r>
        <w:fldChar w:fldCharType="begin"/>
      </w:r>
      <w:r>
        <w:instrText xml:space="preserve"> PAGEREF _Toc455404053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Charges for Busselton Water Corporation</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_Toc455404055 \h </w:instrText>
      </w:r>
      <w:r>
        <w:fldChar w:fldCharType="separate"/>
      </w:r>
      <w:r>
        <w:t>7</w:t>
      </w:r>
      <w:r>
        <w:fldChar w:fldCharType="end"/>
      </w:r>
    </w:p>
    <w:p>
      <w:pPr>
        <w:pStyle w:val="TOC8"/>
        <w:rPr>
          <w:rFonts w:asciiTheme="minorHAnsi" w:eastAsiaTheme="minorEastAsia" w:hAnsiTheme="minorHAnsi" w:cstheme="minorBidi"/>
          <w:szCs w:val="22"/>
        </w:rPr>
      </w:pPr>
      <w:r>
        <w:t>12.</w:t>
      </w:r>
      <w:r>
        <w:tab/>
        <w:t>Water supply charges</w:t>
      </w:r>
      <w:r>
        <w:tab/>
      </w:r>
      <w:r>
        <w:fldChar w:fldCharType="begin"/>
      </w:r>
      <w:r>
        <w:instrText xml:space="preserve"> PAGEREF _Toc455404056 \h </w:instrText>
      </w:r>
      <w:r>
        <w:fldChar w:fldCharType="separate"/>
      </w:r>
      <w:r>
        <w:t>7</w:t>
      </w:r>
      <w:r>
        <w:fldChar w:fldCharType="end"/>
      </w:r>
    </w:p>
    <w:p>
      <w:pPr>
        <w:pStyle w:val="TOC8"/>
        <w:rPr>
          <w:rFonts w:asciiTheme="minorHAnsi" w:eastAsiaTheme="minorEastAsia" w:hAnsiTheme="minorHAnsi" w:cstheme="minorBidi"/>
          <w:szCs w:val="22"/>
        </w:rPr>
      </w:pPr>
      <w:r>
        <w:t>14.</w:t>
      </w:r>
      <w:r>
        <w:tab/>
        <w:t>Concessions</w:t>
      </w:r>
      <w:r>
        <w:tab/>
      </w:r>
      <w:r>
        <w:fldChar w:fldCharType="begin"/>
      </w:r>
      <w:r>
        <w:instrText xml:space="preserve"> PAGEREF _Toc455404057 \h </w:instrText>
      </w:r>
      <w:r>
        <w:fldChar w:fldCharType="separate"/>
      </w:r>
      <w:r>
        <w:t>8</w:t>
      </w:r>
      <w:r>
        <w:fldChar w:fldCharType="end"/>
      </w:r>
    </w:p>
    <w:p>
      <w:pPr>
        <w:pStyle w:val="TOC8"/>
        <w:rPr>
          <w:rFonts w:asciiTheme="minorHAnsi" w:eastAsiaTheme="minorEastAsia" w:hAnsiTheme="minorHAnsi" w:cstheme="minorBidi"/>
          <w:szCs w:val="22"/>
        </w:rPr>
      </w:pPr>
      <w:r>
        <w:t>15A.</w:t>
      </w:r>
      <w:r>
        <w:tab/>
        <w:t>Charge for payment using credit card</w:t>
      </w:r>
      <w:r>
        <w:tab/>
      </w:r>
      <w:r>
        <w:fldChar w:fldCharType="begin"/>
      </w:r>
      <w:r>
        <w:instrText xml:space="preserve"> PAGEREF _Toc455404058 \h </w:instrText>
      </w:r>
      <w:r>
        <w:fldChar w:fldCharType="separate"/>
      </w:r>
      <w:r>
        <w:t>9</w:t>
      </w:r>
      <w:r>
        <w:fldChar w:fldCharType="end"/>
      </w:r>
    </w:p>
    <w:p>
      <w:pPr>
        <w:pStyle w:val="TOC8"/>
        <w:rPr>
          <w:rFonts w:asciiTheme="minorHAnsi" w:eastAsiaTheme="minorEastAsia" w:hAnsiTheme="minorHAnsi" w:cstheme="minorBidi"/>
          <w:szCs w:val="22"/>
        </w:rPr>
      </w:pPr>
      <w:r>
        <w:t>15.</w:t>
      </w:r>
      <w:r>
        <w:tab/>
        <w:t>Interest accruing on overdue amounts</w:t>
      </w:r>
      <w:r>
        <w:tab/>
      </w:r>
      <w:r>
        <w:fldChar w:fldCharType="begin"/>
      </w:r>
      <w:r>
        <w:instrText xml:space="preserve"> PAGEREF _Toc455404059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Charges for the Water Corporation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_Toc455404062 \h </w:instrText>
      </w:r>
      <w:r>
        <w:fldChar w:fldCharType="separate"/>
      </w:r>
      <w:r>
        <w:t>10</w:t>
      </w:r>
      <w:r>
        <w:fldChar w:fldCharType="end"/>
      </w:r>
    </w:p>
    <w:p>
      <w:pPr>
        <w:pStyle w:val="TOC8"/>
        <w:rPr>
          <w:rFonts w:asciiTheme="minorHAnsi" w:eastAsiaTheme="minorEastAsia" w:hAnsiTheme="minorHAnsi" w:cstheme="minorBidi"/>
          <w:szCs w:val="22"/>
        </w:rPr>
      </w:pPr>
      <w:r>
        <w:t>17.</w:t>
      </w:r>
      <w:r>
        <w:tab/>
        <w:t>Concessional land</w:t>
      </w:r>
      <w:r>
        <w:tab/>
      </w:r>
      <w:r>
        <w:fldChar w:fldCharType="begin"/>
      </w:r>
      <w:r>
        <w:instrText xml:space="preserve"> PAGEREF _Toc455404063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Provisions of general application</w:t>
      </w:r>
    </w:p>
    <w:p>
      <w:pPr>
        <w:pStyle w:val="TOC8"/>
        <w:rPr>
          <w:rFonts w:asciiTheme="minorHAnsi" w:eastAsiaTheme="minorEastAsia" w:hAnsiTheme="minorHAnsi" w:cstheme="minorBidi"/>
          <w:szCs w:val="22"/>
        </w:rPr>
      </w:pPr>
      <w:r>
        <w:t>18.</w:t>
      </w:r>
      <w:r>
        <w:tab/>
        <w:t>Application of this Division</w:t>
      </w:r>
      <w:r>
        <w:tab/>
      </w:r>
      <w:r>
        <w:fldChar w:fldCharType="begin"/>
      </w:r>
      <w:r>
        <w:instrText xml:space="preserve"> PAGEREF _Toc455404065 \h </w:instrText>
      </w:r>
      <w:r>
        <w:fldChar w:fldCharType="separate"/>
      </w:r>
      <w:r>
        <w:t>18</w:t>
      </w:r>
      <w:r>
        <w:fldChar w:fldCharType="end"/>
      </w:r>
    </w:p>
    <w:p>
      <w:pPr>
        <w:pStyle w:val="TOC8"/>
        <w:rPr>
          <w:rFonts w:asciiTheme="minorHAnsi" w:eastAsiaTheme="minorEastAsia" w:hAnsiTheme="minorHAnsi" w:cstheme="minorBidi"/>
          <w:szCs w:val="22"/>
        </w:rPr>
      </w:pPr>
      <w:r>
        <w:t>19.</w:t>
      </w:r>
      <w:r>
        <w:tab/>
        <w:t>Payment of charges</w:t>
      </w:r>
      <w:r>
        <w:tab/>
      </w:r>
      <w:r>
        <w:fldChar w:fldCharType="begin"/>
      </w:r>
      <w:r>
        <w:instrText xml:space="preserve"> PAGEREF _Toc455404066 \h </w:instrText>
      </w:r>
      <w:r>
        <w:fldChar w:fldCharType="separate"/>
      </w:r>
      <w:r>
        <w:t>18</w:t>
      </w:r>
      <w:r>
        <w:fldChar w:fldCharType="end"/>
      </w:r>
    </w:p>
    <w:p>
      <w:pPr>
        <w:pStyle w:val="TOC8"/>
        <w:rPr>
          <w:rFonts w:asciiTheme="minorHAnsi" w:eastAsiaTheme="minorEastAsia" w:hAnsiTheme="minorHAnsi" w:cstheme="minorBidi"/>
          <w:szCs w:val="22"/>
        </w:rPr>
      </w:pPr>
      <w:r>
        <w:t>20.</w:t>
      </w:r>
      <w:r>
        <w:tab/>
        <w:t>Charge for payment using credit card</w:t>
      </w:r>
      <w:r>
        <w:tab/>
      </w:r>
      <w:r>
        <w:fldChar w:fldCharType="begin"/>
      </w:r>
      <w:r>
        <w:instrText xml:space="preserve"> PAGEREF _Toc455404067 \h </w:instrText>
      </w:r>
      <w:r>
        <w:fldChar w:fldCharType="separate"/>
      </w:r>
      <w:r>
        <w:t>19</w:t>
      </w:r>
      <w:r>
        <w:fldChar w:fldCharType="end"/>
      </w:r>
    </w:p>
    <w:p>
      <w:pPr>
        <w:pStyle w:val="TOC8"/>
        <w:rPr>
          <w:rFonts w:asciiTheme="minorHAnsi" w:eastAsiaTheme="minorEastAsia" w:hAnsiTheme="minorHAnsi" w:cstheme="minorBidi"/>
          <w:szCs w:val="22"/>
        </w:rPr>
      </w:pPr>
      <w:r>
        <w:t>21.</w:t>
      </w:r>
      <w:r>
        <w:tab/>
        <w:t>Special payment arrangements</w:t>
      </w:r>
      <w:r>
        <w:tab/>
      </w:r>
      <w:r>
        <w:fldChar w:fldCharType="begin"/>
      </w:r>
      <w:r>
        <w:instrText xml:space="preserve"> PAGEREF _Toc455404068 \h </w:instrText>
      </w:r>
      <w:r>
        <w:fldChar w:fldCharType="separate"/>
      </w:r>
      <w:r>
        <w:t>19</w:t>
      </w:r>
      <w:r>
        <w:fldChar w:fldCharType="end"/>
      </w:r>
    </w:p>
    <w:p>
      <w:pPr>
        <w:pStyle w:val="TOC8"/>
        <w:rPr>
          <w:rFonts w:asciiTheme="minorHAnsi" w:eastAsiaTheme="minorEastAsia" w:hAnsiTheme="minorHAnsi" w:cstheme="minorBidi"/>
          <w:szCs w:val="22"/>
        </w:rPr>
      </w:pPr>
      <w:r>
        <w:t>22.</w:t>
      </w:r>
      <w:r>
        <w:tab/>
        <w:t>Estimating quantity of water or wastewater supplied, discharged or drained</w:t>
      </w:r>
      <w:r>
        <w:tab/>
      </w:r>
      <w:r>
        <w:fldChar w:fldCharType="begin"/>
      </w:r>
      <w:r>
        <w:instrText xml:space="preserve"> PAGEREF _Toc455404069 \h </w:instrText>
      </w:r>
      <w:r>
        <w:fldChar w:fldCharType="separate"/>
      </w:r>
      <w:r>
        <w:t>20</w:t>
      </w:r>
      <w:r>
        <w:fldChar w:fldCharType="end"/>
      </w:r>
    </w:p>
    <w:p>
      <w:pPr>
        <w:pStyle w:val="TOC8"/>
        <w:rPr>
          <w:rFonts w:asciiTheme="minorHAnsi" w:eastAsiaTheme="minorEastAsia" w:hAnsiTheme="minorHAnsi" w:cstheme="minorBidi"/>
          <w:szCs w:val="22"/>
        </w:rPr>
      </w:pPr>
      <w:r>
        <w:t>23.</w:t>
      </w:r>
      <w:r>
        <w:tab/>
        <w:t>Determining quality and quantity of trade waste discharged</w:t>
      </w:r>
      <w:r>
        <w:tab/>
      </w:r>
      <w:r>
        <w:fldChar w:fldCharType="begin"/>
      </w:r>
      <w:r>
        <w:instrText xml:space="preserve"> PAGEREF _Toc455404070 \h </w:instrText>
      </w:r>
      <w:r>
        <w:fldChar w:fldCharType="separate"/>
      </w:r>
      <w:r>
        <w:t>21</w:t>
      </w:r>
      <w:r>
        <w:fldChar w:fldCharType="end"/>
      </w:r>
    </w:p>
    <w:p>
      <w:pPr>
        <w:pStyle w:val="TOC8"/>
        <w:rPr>
          <w:rFonts w:asciiTheme="minorHAnsi" w:eastAsiaTheme="minorEastAsia" w:hAnsiTheme="minorHAnsi" w:cstheme="minorBidi"/>
          <w:szCs w:val="22"/>
        </w:rPr>
      </w:pPr>
      <w:r>
        <w:t>24.</w:t>
      </w:r>
      <w:r>
        <w:tab/>
        <w:t>Vacant land: minimum charges before revaluation</w:t>
      </w:r>
      <w:r>
        <w:tab/>
      </w:r>
      <w:r>
        <w:fldChar w:fldCharType="begin"/>
      </w:r>
      <w:r>
        <w:instrText xml:space="preserve"> PAGEREF _Toc455404071 \h </w:instrText>
      </w:r>
      <w:r>
        <w:fldChar w:fldCharType="separate"/>
      </w:r>
      <w:r>
        <w:t>23</w:t>
      </w:r>
      <w:r>
        <w:fldChar w:fldCharType="end"/>
      </w:r>
    </w:p>
    <w:p>
      <w:pPr>
        <w:pStyle w:val="TOC8"/>
        <w:rPr>
          <w:rFonts w:asciiTheme="minorHAnsi" w:eastAsiaTheme="minorEastAsia" w:hAnsiTheme="minorHAnsi" w:cstheme="minorBidi"/>
          <w:szCs w:val="22"/>
        </w:rPr>
      </w:pPr>
      <w:r>
        <w:t>25.</w:t>
      </w:r>
      <w:r>
        <w:tab/>
        <w:t>Classification of land</w:t>
      </w:r>
      <w:r>
        <w:tab/>
      </w:r>
      <w:r>
        <w:fldChar w:fldCharType="begin"/>
      </w:r>
      <w:r>
        <w:instrText xml:space="preserve"> PAGEREF _Toc455404072 \h </w:instrText>
      </w:r>
      <w:r>
        <w:fldChar w:fldCharType="separate"/>
      </w:r>
      <w:r>
        <w:t>23</w:t>
      </w:r>
      <w:r>
        <w:fldChar w:fldCharType="end"/>
      </w:r>
    </w:p>
    <w:p>
      <w:pPr>
        <w:pStyle w:val="TOC8"/>
        <w:rPr>
          <w:rFonts w:asciiTheme="minorHAnsi" w:eastAsiaTheme="minorEastAsia" w:hAnsiTheme="minorHAnsi" w:cstheme="minorBidi"/>
          <w:szCs w:val="22"/>
        </w:rPr>
      </w:pPr>
      <w:r>
        <w:t>26.</w:t>
      </w:r>
      <w:r>
        <w:tab/>
        <w:t>Classification of land: holiday accommodation</w:t>
      </w:r>
      <w:r>
        <w:tab/>
      </w:r>
      <w:r>
        <w:fldChar w:fldCharType="begin"/>
      </w:r>
      <w:r>
        <w:instrText xml:space="preserve"> PAGEREF _Toc455404073 \h </w:instrText>
      </w:r>
      <w:r>
        <w:fldChar w:fldCharType="separate"/>
      </w:r>
      <w:r>
        <w:t>24</w:t>
      </w:r>
      <w:r>
        <w:fldChar w:fldCharType="end"/>
      </w:r>
    </w:p>
    <w:p>
      <w:pPr>
        <w:pStyle w:val="TOC8"/>
        <w:rPr>
          <w:rFonts w:asciiTheme="minorHAnsi" w:eastAsiaTheme="minorEastAsia" w:hAnsiTheme="minorHAnsi" w:cstheme="minorBidi"/>
          <w:szCs w:val="22"/>
        </w:rPr>
      </w:pPr>
      <w:r>
        <w:t>27.</w:t>
      </w:r>
      <w:r>
        <w:tab/>
        <w:t>Commercial caravan parks</w:t>
      </w:r>
      <w:r>
        <w:tab/>
      </w:r>
      <w:r>
        <w:fldChar w:fldCharType="begin"/>
      </w:r>
      <w:r>
        <w:instrText xml:space="preserve"> PAGEREF _Toc455404074 \h </w:instrText>
      </w:r>
      <w:r>
        <w:fldChar w:fldCharType="separate"/>
      </w:r>
      <w:r>
        <w:t>24</w:t>
      </w:r>
      <w:r>
        <w:fldChar w:fldCharType="end"/>
      </w:r>
    </w:p>
    <w:p>
      <w:pPr>
        <w:pStyle w:val="TOC8"/>
        <w:rPr>
          <w:rFonts w:asciiTheme="minorHAnsi" w:eastAsiaTheme="minorEastAsia" w:hAnsiTheme="minorHAnsi" w:cstheme="minorBidi"/>
          <w:szCs w:val="22"/>
        </w:rPr>
      </w:pPr>
      <w:r>
        <w:t>28.</w:t>
      </w:r>
      <w:r>
        <w:tab/>
        <w:t>Maximum increases for various GRV based charges</w:t>
      </w:r>
      <w:r>
        <w:tab/>
      </w:r>
      <w:r>
        <w:fldChar w:fldCharType="begin"/>
      </w:r>
      <w:r>
        <w:instrText xml:space="preserve"> PAGEREF _Toc455404075 \h </w:instrText>
      </w:r>
      <w:r>
        <w:fldChar w:fldCharType="separate"/>
      </w:r>
      <w:r>
        <w:t>25</w:t>
      </w:r>
      <w:r>
        <w:fldChar w:fldCharType="end"/>
      </w:r>
    </w:p>
    <w:p>
      <w:pPr>
        <w:pStyle w:val="TOC8"/>
        <w:rPr>
          <w:rFonts w:asciiTheme="minorHAnsi" w:eastAsiaTheme="minorEastAsia" w:hAnsiTheme="minorHAnsi" w:cstheme="minorBidi"/>
          <w:szCs w:val="22"/>
        </w:rPr>
      </w:pPr>
      <w:r>
        <w:t>29.</w:t>
      </w:r>
      <w:r>
        <w:tab/>
        <w:t>Interest accruing on overdue amounts</w:t>
      </w:r>
      <w:r>
        <w:tab/>
      </w:r>
      <w:r>
        <w:fldChar w:fldCharType="begin"/>
      </w:r>
      <w:r>
        <w:instrText xml:space="preserve"> PAGEREF _Toc455404076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Water supply charges</w:t>
      </w:r>
    </w:p>
    <w:p>
      <w:pPr>
        <w:pStyle w:val="TOC8"/>
        <w:rPr>
          <w:rFonts w:asciiTheme="minorHAnsi" w:eastAsiaTheme="minorEastAsia" w:hAnsiTheme="minorHAnsi" w:cstheme="minorBidi"/>
          <w:szCs w:val="22"/>
        </w:rPr>
      </w:pPr>
      <w:r>
        <w:t>30.</w:t>
      </w:r>
      <w:r>
        <w:tab/>
        <w:t>Land connected to water supply works</w:t>
      </w:r>
      <w:r>
        <w:tab/>
      </w:r>
      <w:r>
        <w:fldChar w:fldCharType="begin"/>
      </w:r>
      <w:r>
        <w:instrText xml:space="preserve"> PAGEREF _Toc455404078 \h </w:instrText>
      </w:r>
      <w:r>
        <w:fldChar w:fldCharType="separate"/>
      </w:r>
      <w:r>
        <w:t>27</w:t>
      </w:r>
      <w:r>
        <w:fldChar w:fldCharType="end"/>
      </w:r>
    </w:p>
    <w:p>
      <w:pPr>
        <w:pStyle w:val="TOC8"/>
        <w:rPr>
          <w:rFonts w:asciiTheme="minorHAnsi" w:eastAsiaTheme="minorEastAsia" w:hAnsiTheme="minorHAnsi" w:cstheme="minorBidi"/>
          <w:szCs w:val="22"/>
        </w:rPr>
      </w:pPr>
      <w:r>
        <w:t>31.</w:t>
      </w:r>
      <w:r>
        <w:tab/>
        <w:t>Water supply charges</w:t>
      </w:r>
      <w:r>
        <w:tab/>
      </w:r>
      <w:r>
        <w:fldChar w:fldCharType="begin"/>
      </w:r>
      <w:r>
        <w:instrText xml:space="preserve"> PAGEREF _Toc455404079 \h </w:instrText>
      </w:r>
      <w:r>
        <w:fldChar w:fldCharType="separate"/>
      </w:r>
      <w:r>
        <w:t>27</w:t>
      </w:r>
      <w:r>
        <w:fldChar w:fldCharType="end"/>
      </w:r>
    </w:p>
    <w:p>
      <w:pPr>
        <w:pStyle w:val="TOC8"/>
        <w:rPr>
          <w:rFonts w:asciiTheme="minorHAnsi" w:eastAsiaTheme="minorEastAsia" w:hAnsiTheme="minorHAnsi" w:cstheme="minorBidi"/>
          <w:szCs w:val="22"/>
        </w:rPr>
      </w:pPr>
      <w:r>
        <w:t>32.</w:t>
      </w:r>
      <w:r>
        <w:tab/>
        <w:t>Classification of land</w:t>
      </w:r>
      <w:r>
        <w:tab/>
      </w:r>
      <w:r>
        <w:fldChar w:fldCharType="begin"/>
      </w:r>
      <w:r>
        <w:instrText xml:space="preserve"> PAGEREF _Toc455404080 \h </w:instrText>
      </w:r>
      <w:r>
        <w:fldChar w:fldCharType="separate"/>
      </w:r>
      <w:r>
        <w:t>28</w:t>
      </w:r>
      <w:r>
        <w:fldChar w:fldCharType="end"/>
      </w:r>
    </w:p>
    <w:p>
      <w:pPr>
        <w:pStyle w:val="TOC8"/>
        <w:rPr>
          <w:rFonts w:asciiTheme="minorHAnsi" w:eastAsiaTheme="minorEastAsia" w:hAnsiTheme="minorHAnsi" w:cstheme="minorBidi"/>
          <w:szCs w:val="22"/>
        </w:rPr>
      </w:pPr>
      <w:r>
        <w:t>33.</w:t>
      </w:r>
      <w:r>
        <w:tab/>
        <w:t>Change of occupancy during year</w:t>
      </w:r>
      <w:r>
        <w:tab/>
      </w:r>
      <w:r>
        <w:fldChar w:fldCharType="begin"/>
      </w:r>
      <w:r>
        <w:instrText xml:space="preserve"> PAGEREF _Toc455404081 \h </w:instrText>
      </w:r>
      <w:r>
        <w:fldChar w:fldCharType="separate"/>
      </w:r>
      <w:r>
        <w:t>31</w:t>
      </w:r>
      <w:r>
        <w:fldChar w:fldCharType="end"/>
      </w:r>
    </w:p>
    <w:p>
      <w:pPr>
        <w:pStyle w:val="TOC8"/>
        <w:rPr>
          <w:rFonts w:asciiTheme="minorHAnsi" w:eastAsiaTheme="minorEastAsia" w:hAnsiTheme="minorHAnsi" w:cstheme="minorBidi"/>
          <w:szCs w:val="22"/>
        </w:rPr>
      </w:pPr>
      <w:r>
        <w:t>34.</w:t>
      </w:r>
      <w:r>
        <w:tab/>
        <w:t>Concessions: consumption charges</w:t>
      </w:r>
      <w:r>
        <w:tab/>
      </w:r>
      <w:r>
        <w:fldChar w:fldCharType="begin"/>
      </w:r>
      <w:r>
        <w:instrText xml:space="preserve"> PAGEREF _Toc455404082 \h </w:instrText>
      </w:r>
      <w:r>
        <w:fldChar w:fldCharType="separate"/>
      </w:r>
      <w:r>
        <w:t>32</w:t>
      </w:r>
      <w:r>
        <w:fldChar w:fldCharType="end"/>
      </w:r>
    </w:p>
    <w:p>
      <w:pPr>
        <w:pStyle w:val="TOC8"/>
        <w:rPr>
          <w:rFonts w:asciiTheme="minorHAnsi" w:eastAsiaTheme="minorEastAsia" w:hAnsiTheme="minorHAnsi" w:cstheme="minorBidi"/>
          <w:szCs w:val="22"/>
        </w:rPr>
      </w:pPr>
      <w:r>
        <w:t>35.</w:t>
      </w:r>
      <w:r>
        <w:tab/>
        <w:t>Concessions: certain occupiers of multi</w:t>
      </w:r>
      <w:r>
        <w:noBreakHyphen/>
        <w:t>unit developments</w:t>
      </w:r>
      <w:r>
        <w:tab/>
      </w:r>
      <w:r>
        <w:fldChar w:fldCharType="begin"/>
      </w:r>
      <w:r>
        <w:instrText xml:space="preserve"> PAGEREF _Toc455404083 \h </w:instrText>
      </w:r>
      <w:r>
        <w:fldChar w:fldCharType="separate"/>
      </w:r>
      <w:r>
        <w:t>33</w:t>
      </w:r>
      <w:r>
        <w:fldChar w:fldCharType="end"/>
      </w:r>
    </w:p>
    <w:p>
      <w:pPr>
        <w:pStyle w:val="TOC8"/>
        <w:rPr>
          <w:rFonts w:asciiTheme="minorHAnsi" w:eastAsiaTheme="minorEastAsia" w:hAnsiTheme="minorHAnsi" w:cstheme="minorBidi"/>
          <w:szCs w:val="22"/>
        </w:rPr>
      </w:pPr>
      <w:r>
        <w:t>36.</w:t>
      </w:r>
      <w:r>
        <w:tab/>
        <w:t>Concessions: certain retirement village residents</w:t>
      </w:r>
      <w:r>
        <w:tab/>
      </w:r>
      <w:r>
        <w:fldChar w:fldCharType="begin"/>
      </w:r>
      <w:r>
        <w:instrText xml:space="preserve"> PAGEREF _Toc455404084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Sewerage charges</w:t>
      </w:r>
    </w:p>
    <w:p>
      <w:pPr>
        <w:pStyle w:val="TOC8"/>
        <w:rPr>
          <w:rFonts w:asciiTheme="minorHAnsi" w:eastAsiaTheme="minorEastAsia" w:hAnsiTheme="minorHAnsi" w:cstheme="minorBidi"/>
          <w:szCs w:val="22"/>
        </w:rPr>
      </w:pPr>
      <w:r>
        <w:t>37.</w:t>
      </w:r>
      <w:r>
        <w:tab/>
        <w:t>Land connected to sewerage works</w:t>
      </w:r>
      <w:r>
        <w:tab/>
      </w:r>
      <w:r>
        <w:fldChar w:fldCharType="begin"/>
      </w:r>
      <w:r>
        <w:instrText xml:space="preserve"> PAGEREF _Toc455404086 \h </w:instrText>
      </w:r>
      <w:r>
        <w:fldChar w:fldCharType="separate"/>
      </w:r>
      <w:r>
        <w:t>36</w:t>
      </w:r>
      <w:r>
        <w:fldChar w:fldCharType="end"/>
      </w:r>
    </w:p>
    <w:p>
      <w:pPr>
        <w:pStyle w:val="TOC8"/>
        <w:rPr>
          <w:rFonts w:asciiTheme="minorHAnsi" w:eastAsiaTheme="minorEastAsia" w:hAnsiTheme="minorHAnsi" w:cstheme="minorBidi"/>
          <w:szCs w:val="22"/>
        </w:rPr>
      </w:pPr>
      <w:r>
        <w:t>38.</w:t>
      </w:r>
      <w:r>
        <w:tab/>
        <w:t>Sewerage areas</w:t>
      </w:r>
      <w:r>
        <w:tab/>
      </w:r>
      <w:r>
        <w:fldChar w:fldCharType="begin"/>
      </w:r>
      <w:r>
        <w:instrText xml:space="preserve"> PAGEREF _Toc455404087 \h </w:instrText>
      </w:r>
      <w:r>
        <w:fldChar w:fldCharType="separate"/>
      </w:r>
      <w:r>
        <w:t>36</w:t>
      </w:r>
      <w:r>
        <w:fldChar w:fldCharType="end"/>
      </w:r>
    </w:p>
    <w:p>
      <w:pPr>
        <w:pStyle w:val="TOC8"/>
        <w:rPr>
          <w:rFonts w:asciiTheme="minorHAnsi" w:eastAsiaTheme="minorEastAsia" w:hAnsiTheme="minorHAnsi" w:cstheme="minorBidi"/>
          <w:szCs w:val="22"/>
        </w:rPr>
      </w:pPr>
      <w:r>
        <w:t>39.</w:t>
      </w:r>
      <w:r>
        <w:tab/>
        <w:t>Sewerage charges</w:t>
      </w:r>
      <w:r>
        <w:tab/>
      </w:r>
      <w:r>
        <w:fldChar w:fldCharType="begin"/>
      </w:r>
      <w:r>
        <w:instrText xml:space="preserve"> PAGEREF _Toc455404088 \h </w:instrText>
      </w:r>
      <w:r>
        <w:fldChar w:fldCharType="separate"/>
      </w:r>
      <w:r>
        <w:t>37</w:t>
      </w:r>
      <w:r>
        <w:fldChar w:fldCharType="end"/>
      </w:r>
    </w:p>
    <w:p>
      <w:pPr>
        <w:pStyle w:val="TOC8"/>
        <w:rPr>
          <w:rFonts w:asciiTheme="minorHAnsi" w:eastAsiaTheme="minorEastAsia" w:hAnsiTheme="minorHAnsi" w:cstheme="minorBidi"/>
          <w:szCs w:val="22"/>
        </w:rPr>
      </w:pPr>
      <w:r>
        <w:t>40.</w:t>
      </w:r>
      <w:r>
        <w:tab/>
        <w:t>Classification of land</w:t>
      </w:r>
      <w:r>
        <w:tab/>
      </w:r>
      <w:r>
        <w:fldChar w:fldCharType="begin"/>
      </w:r>
      <w:r>
        <w:instrText xml:space="preserve"> PAGEREF _Toc455404089 \h </w:instrText>
      </w:r>
      <w:r>
        <w:fldChar w:fldCharType="separate"/>
      </w:r>
      <w:r>
        <w:t>37</w:t>
      </w:r>
      <w:r>
        <w:fldChar w:fldCharType="end"/>
      </w:r>
    </w:p>
    <w:p>
      <w:pPr>
        <w:pStyle w:val="TOC8"/>
        <w:rPr>
          <w:rFonts w:asciiTheme="minorHAnsi" w:eastAsiaTheme="minorEastAsia" w:hAnsiTheme="minorHAnsi" w:cstheme="minorBidi"/>
          <w:szCs w:val="22"/>
        </w:rPr>
      </w:pPr>
      <w:r>
        <w:t>41.</w:t>
      </w:r>
      <w:r>
        <w:tab/>
        <w:t>Minimum charges: Schedule 4 Division 2</w:t>
      </w:r>
      <w:r>
        <w:tab/>
      </w:r>
      <w:r>
        <w:fldChar w:fldCharType="begin"/>
      </w:r>
      <w:r>
        <w:instrText xml:space="preserve"> PAGEREF _Toc455404090 \h </w:instrText>
      </w:r>
      <w:r>
        <w:fldChar w:fldCharType="separate"/>
      </w:r>
      <w:r>
        <w:t>39</w:t>
      </w:r>
      <w:r>
        <w:fldChar w:fldCharType="end"/>
      </w:r>
    </w:p>
    <w:p>
      <w:pPr>
        <w:pStyle w:val="TOC8"/>
        <w:rPr>
          <w:rFonts w:asciiTheme="minorHAnsi" w:eastAsiaTheme="minorEastAsia" w:hAnsiTheme="minorHAnsi" w:cstheme="minorBidi"/>
          <w:szCs w:val="22"/>
        </w:rPr>
      </w:pPr>
      <w:r>
        <w:t>42.</w:t>
      </w:r>
      <w:r>
        <w:tab/>
        <w:t>Estimating charge, or volume discharged, for previous year: Schedule 4 Division 2</w:t>
      </w:r>
      <w:r>
        <w:tab/>
      </w:r>
      <w:r>
        <w:fldChar w:fldCharType="begin"/>
      </w:r>
      <w:r>
        <w:instrText xml:space="preserve"> PAGEREF _Toc455404091 \h </w:instrText>
      </w:r>
      <w:r>
        <w:fldChar w:fldCharType="separate"/>
      </w:r>
      <w:r>
        <w:t>40</w:t>
      </w:r>
      <w:r>
        <w:fldChar w:fldCharType="end"/>
      </w:r>
    </w:p>
    <w:p>
      <w:pPr>
        <w:pStyle w:val="TOC8"/>
        <w:rPr>
          <w:rFonts w:asciiTheme="minorHAnsi" w:eastAsiaTheme="minorEastAsia" w:hAnsiTheme="minorHAnsi" w:cstheme="minorBidi"/>
          <w:szCs w:val="22"/>
        </w:rPr>
      </w:pPr>
      <w:r>
        <w:t>43.</w:t>
      </w:r>
      <w:r>
        <w:tab/>
        <w:t>Determining number of major fixtures: Schedule 4 Division 2</w:t>
      </w:r>
      <w:r>
        <w:tab/>
      </w:r>
      <w:r>
        <w:fldChar w:fldCharType="begin"/>
      </w:r>
      <w:r>
        <w:instrText xml:space="preserve"> PAGEREF _Toc455404092 \h </w:instrText>
      </w:r>
      <w:r>
        <w:fldChar w:fldCharType="separate"/>
      </w:r>
      <w:r>
        <w:t>41</w:t>
      </w:r>
      <w:r>
        <w:fldChar w:fldCharType="end"/>
      </w:r>
    </w:p>
    <w:p>
      <w:pPr>
        <w:pStyle w:val="TOC8"/>
        <w:rPr>
          <w:rFonts w:asciiTheme="minorHAnsi" w:eastAsiaTheme="minorEastAsia" w:hAnsiTheme="minorHAnsi" w:cstheme="minorBidi"/>
          <w:szCs w:val="22"/>
        </w:rPr>
      </w:pPr>
      <w:r>
        <w:t>44.</w:t>
      </w:r>
      <w:r>
        <w:tab/>
        <w:t>Concessions: certain retirement village residents</w:t>
      </w:r>
      <w:r>
        <w:tab/>
      </w:r>
      <w:r>
        <w:fldChar w:fldCharType="begin"/>
      </w:r>
      <w:r>
        <w:instrText xml:space="preserve"> PAGEREF _Toc455404093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 — Drainage charges</w:t>
      </w:r>
    </w:p>
    <w:p>
      <w:pPr>
        <w:pStyle w:val="TOC8"/>
        <w:rPr>
          <w:rFonts w:asciiTheme="minorHAnsi" w:eastAsiaTheme="minorEastAsia" w:hAnsiTheme="minorHAnsi" w:cstheme="minorBidi"/>
          <w:szCs w:val="22"/>
        </w:rPr>
      </w:pPr>
      <w:r>
        <w:t>45.</w:t>
      </w:r>
      <w:r>
        <w:tab/>
        <w:t>Drainage areas</w:t>
      </w:r>
      <w:r>
        <w:tab/>
      </w:r>
      <w:r>
        <w:fldChar w:fldCharType="begin"/>
      </w:r>
      <w:r>
        <w:instrText xml:space="preserve"> PAGEREF _Toc455404095 \h </w:instrText>
      </w:r>
      <w:r>
        <w:fldChar w:fldCharType="separate"/>
      </w:r>
      <w:r>
        <w:t>42</w:t>
      </w:r>
      <w:r>
        <w:fldChar w:fldCharType="end"/>
      </w:r>
    </w:p>
    <w:p>
      <w:pPr>
        <w:pStyle w:val="TOC8"/>
        <w:rPr>
          <w:rFonts w:asciiTheme="minorHAnsi" w:eastAsiaTheme="minorEastAsia" w:hAnsiTheme="minorHAnsi" w:cstheme="minorBidi"/>
          <w:szCs w:val="22"/>
        </w:rPr>
      </w:pPr>
      <w:r>
        <w:t>46.</w:t>
      </w:r>
      <w:r>
        <w:tab/>
        <w:t>Drainage areas: notice of and objections to proposed designation</w:t>
      </w:r>
      <w:r>
        <w:tab/>
      </w:r>
      <w:r>
        <w:fldChar w:fldCharType="begin"/>
      </w:r>
      <w:r>
        <w:instrText xml:space="preserve"> PAGEREF _Toc455404096 \h </w:instrText>
      </w:r>
      <w:r>
        <w:fldChar w:fldCharType="separate"/>
      </w:r>
      <w:r>
        <w:t>43</w:t>
      </w:r>
      <w:r>
        <w:fldChar w:fldCharType="end"/>
      </w:r>
    </w:p>
    <w:p>
      <w:pPr>
        <w:pStyle w:val="TOC8"/>
        <w:rPr>
          <w:rFonts w:asciiTheme="minorHAnsi" w:eastAsiaTheme="minorEastAsia" w:hAnsiTheme="minorHAnsi" w:cstheme="minorBidi"/>
          <w:szCs w:val="22"/>
        </w:rPr>
      </w:pPr>
      <w:r>
        <w:t>47.</w:t>
      </w:r>
      <w:r>
        <w:tab/>
        <w:t>Drainage charges</w:t>
      </w:r>
      <w:r>
        <w:tab/>
      </w:r>
      <w:r>
        <w:fldChar w:fldCharType="begin"/>
      </w:r>
      <w:r>
        <w:instrText xml:space="preserve"> PAGEREF _Toc455404097 \h </w:instrText>
      </w:r>
      <w:r>
        <w:fldChar w:fldCharType="separate"/>
      </w:r>
      <w:r>
        <w:t>44</w:t>
      </w:r>
      <w:r>
        <w:fldChar w:fldCharType="end"/>
      </w:r>
    </w:p>
    <w:p>
      <w:pPr>
        <w:pStyle w:val="TOC8"/>
        <w:rPr>
          <w:rFonts w:asciiTheme="minorHAnsi" w:eastAsiaTheme="minorEastAsia" w:hAnsiTheme="minorHAnsi" w:cstheme="minorBidi"/>
          <w:szCs w:val="22"/>
        </w:rPr>
      </w:pPr>
      <w:r>
        <w:t>48.</w:t>
      </w:r>
      <w:r>
        <w:tab/>
        <w:t>Classification of land</w:t>
      </w:r>
      <w:r>
        <w:tab/>
      </w:r>
      <w:r>
        <w:fldChar w:fldCharType="begin"/>
      </w:r>
      <w:r>
        <w:instrText xml:space="preserve"> PAGEREF _Toc455404098 \h </w:instrText>
      </w:r>
      <w:r>
        <w:fldChar w:fldCharType="separate"/>
      </w:r>
      <w:r>
        <w:t>45</w:t>
      </w:r>
      <w:r>
        <w:fldChar w:fldCharType="end"/>
      </w:r>
    </w:p>
    <w:p>
      <w:pPr>
        <w:pStyle w:val="TOC8"/>
        <w:rPr>
          <w:rFonts w:asciiTheme="minorHAnsi" w:eastAsiaTheme="minorEastAsia" w:hAnsiTheme="minorHAnsi" w:cstheme="minorBidi"/>
          <w:szCs w:val="22"/>
        </w:rPr>
      </w:pPr>
      <w:r>
        <w:t>49.</w:t>
      </w:r>
      <w:r>
        <w:tab/>
        <w:t>Concessions: certain retirement village residents</w:t>
      </w:r>
      <w:r>
        <w:tab/>
      </w:r>
      <w:r>
        <w:fldChar w:fldCharType="begin"/>
      </w:r>
      <w:r>
        <w:instrText xml:space="preserve"> PAGEREF _Toc455404099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6 — Irrigation charges</w:t>
      </w:r>
    </w:p>
    <w:p>
      <w:pPr>
        <w:pStyle w:val="TOC8"/>
        <w:rPr>
          <w:rFonts w:asciiTheme="minorHAnsi" w:eastAsiaTheme="minorEastAsia" w:hAnsiTheme="minorHAnsi" w:cstheme="minorBidi"/>
          <w:szCs w:val="22"/>
        </w:rPr>
      </w:pPr>
      <w:r>
        <w:t>50.</w:t>
      </w:r>
      <w:r>
        <w:tab/>
        <w:t>Charges for water supplied from certain irrigation works</w:t>
      </w:r>
      <w:r>
        <w:tab/>
      </w:r>
      <w:r>
        <w:fldChar w:fldCharType="begin"/>
      </w:r>
      <w:r>
        <w:instrText xml:space="preserve"> PAGEREF _Toc455404101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Miscellaneous charges</w:t>
      </w:r>
    </w:p>
    <w:p>
      <w:pPr>
        <w:pStyle w:val="TOC8"/>
        <w:rPr>
          <w:rFonts w:asciiTheme="minorHAnsi" w:eastAsiaTheme="minorEastAsia" w:hAnsiTheme="minorHAnsi" w:cstheme="minorBidi"/>
          <w:szCs w:val="22"/>
        </w:rPr>
      </w:pPr>
      <w:r>
        <w:t>51.</w:t>
      </w:r>
      <w:r>
        <w:tab/>
        <w:t>Miscellaneous charges</w:t>
      </w:r>
      <w:r>
        <w:tab/>
      </w:r>
      <w:r>
        <w:fldChar w:fldCharType="begin"/>
      </w:r>
      <w:r>
        <w:instrText xml:space="preserve"> PAGEREF _Toc455404103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6 — Repeal of regulations and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Water Services (Water Corporations Charges) Regulations 2013</w:t>
      </w:r>
      <w:r>
        <w:t xml:space="preserve"> repealed</w:t>
      </w:r>
    </w:p>
    <w:p>
      <w:pPr>
        <w:pStyle w:val="TOC8"/>
        <w:rPr>
          <w:rFonts w:asciiTheme="minorHAnsi" w:eastAsiaTheme="minorEastAsia" w:hAnsiTheme="minorHAnsi" w:cstheme="minorBidi"/>
          <w:szCs w:val="22"/>
        </w:rPr>
      </w:pPr>
      <w:r>
        <w:t>52.</w:t>
      </w:r>
      <w:r>
        <w:tab/>
      </w:r>
      <w:r>
        <w:rPr>
          <w:i/>
        </w:rPr>
        <w:t>Water Services (Water Corporations Charges) Regulations 2013</w:t>
      </w:r>
      <w:r>
        <w:t xml:space="preserve"> repealed</w:t>
      </w:r>
      <w:r>
        <w:tab/>
      </w:r>
      <w:r>
        <w:fldChar w:fldCharType="begin"/>
      </w:r>
      <w:r>
        <w:instrText xml:space="preserve"> PAGEREF _Toc455404106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w:t>
      </w:r>
      <w:r>
        <w:rPr>
          <w:i/>
        </w:rPr>
        <w:t>Water Services (Water Corporations Charges) Regulations 2014</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53.</w:t>
      </w:r>
      <w:r>
        <w:tab/>
        <w:t xml:space="preserve">Application of the </w:t>
      </w:r>
      <w:r>
        <w:rPr>
          <w:i/>
        </w:rPr>
        <w:t>Interpretation Act 1984</w:t>
      </w:r>
      <w:r>
        <w:tab/>
      </w:r>
      <w:r>
        <w:fldChar w:fldCharType="begin"/>
      </w:r>
      <w:r>
        <w:instrText xml:space="preserve"> PAGEREF _Toc455404109 \h </w:instrText>
      </w:r>
      <w:r>
        <w:fldChar w:fldCharType="separate"/>
      </w:r>
      <w:r>
        <w:t>48</w:t>
      </w:r>
      <w:r>
        <w:fldChar w:fldCharType="end"/>
      </w:r>
    </w:p>
    <w:p>
      <w:pPr>
        <w:pStyle w:val="TOC8"/>
        <w:rPr>
          <w:rFonts w:asciiTheme="minorHAnsi" w:eastAsiaTheme="minorEastAsia" w:hAnsiTheme="minorHAnsi" w:cstheme="minorBidi"/>
          <w:szCs w:val="22"/>
        </w:rPr>
      </w:pPr>
      <w:r>
        <w:t>54.</w:t>
      </w:r>
      <w:r>
        <w:tab/>
        <w:t>Liability to water service charges</w:t>
      </w:r>
      <w:r>
        <w:tab/>
      </w:r>
      <w:r>
        <w:fldChar w:fldCharType="begin"/>
      </w:r>
      <w:r>
        <w:instrText xml:space="preserve"> PAGEREF _Toc455404110 \h </w:instrText>
      </w:r>
      <w:r>
        <w:fldChar w:fldCharType="separate"/>
      </w:r>
      <w:r>
        <w:t>48</w:t>
      </w:r>
      <w:r>
        <w:fldChar w:fldCharType="end"/>
      </w:r>
    </w:p>
    <w:p>
      <w:pPr>
        <w:pStyle w:val="TOC8"/>
        <w:rPr>
          <w:rFonts w:asciiTheme="minorHAnsi" w:eastAsiaTheme="minorEastAsia" w:hAnsiTheme="minorHAnsi" w:cstheme="minorBidi"/>
          <w:szCs w:val="22"/>
        </w:rPr>
      </w:pPr>
      <w:r>
        <w:t>55.</w:t>
      </w:r>
      <w:r>
        <w:tab/>
        <w:t>Continuing effect of things done before 1 July 2014</w:t>
      </w:r>
      <w:r>
        <w:tab/>
      </w:r>
      <w:r>
        <w:fldChar w:fldCharType="begin"/>
      </w:r>
      <w:r>
        <w:instrText xml:space="preserve"> PAGEREF _Toc455404111 \h </w:instrText>
      </w:r>
      <w:r>
        <w:fldChar w:fldCharType="separate"/>
      </w:r>
      <w:r>
        <w:t>48</w:t>
      </w:r>
      <w:r>
        <w:fldChar w:fldCharType="end"/>
      </w:r>
    </w:p>
    <w:p>
      <w:pPr>
        <w:pStyle w:val="TOC8"/>
        <w:rPr>
          <w:rFonts w:asciiTheme="minorHAnsi" w:eastAsiaTheme="minorEastAsia" w:hAnsiTheme="minorHAnsi" w:cstheme="minorBidi"/>
          <w:szCs w:val="22"/>
        </w:rPr>
      </w:pPr>
      <w:r>
        <w:t>56.</w:t>
      </w:r>
      <w:r>
        <w:tab/>
        <w:t>Relationship between Subdivision 1 and Subdivision 2</w:t>
      </w:r>
      <w:r>
        <w:tab/>
      </w:r>
      <w:r>
        <w:fldChar w:fldCharType="begin"/>
      </w:r>
      <w:r>
        <w:instrText xml:space="preserve"> PAGEREF _Toc455404112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Specific provisions</w:t>
      </w:r>
    </w:p>
    <w:p>
      <w:pPr>
        <w:pStyle w:val="TOC8"/>
        <w:rPr>
          <w:rFonts w:asciiTheme="minorHAnsi" w:eastAsiaTheme="minorEastAsia" w:hAnsiTheme="minorHAnsi" w:cstheme="minorBidi"/>
          <w:szCs w:val="22"/>
        </w:rPr>
      </w:pPr>
      <w:r>
        <w:t>57.</w:t>
      </w:r>
      <w:r>
        <w:tab/>
        <w:t>Commencement of these regulations during charge period</w:t>
      </w:r>
      <w:r>
        <w:tab/>
      </w:r>
      <w:r>
        <w:fldChar w:fldCharType="begin"/>
      </w:r>
      <w:r>
        <w:instrText xml:space="preserve"> PAGEREF _Toc455404114 \h </w:instrText>
      </w:r>
      <w:r>
        <w:fldChar w:fldCharType="separate"/>
      </w:r>
      <w:r>
        <w:t>49</w:t>
      </w:r>
      <w:r>
        <w:fldChar w:fldCharType="end"/>
      </w:r>
    </w:p>
    <w:p>
      <w:pPr>
        <w:pStyle w:val="TOC8"/>
        <w:rPr>
          <w:rFonts w:asciiTheme="minorHAnsi" w:eastAsiaTheme="minorEastAsia" w:hAnsiTheme="minorHAnsi" w:cstheme="minorBidi"/>
          <w:szCs w:val="22"/>
        </w:rPr>
      </w:pPr>
      <w:r>
        <w:t>58.</w:t>
      </w:r>
      <w:r>
        <w:tab/>
        <w:t>Special payment arrangements</w:t>
      </w:r>
      <w:r>
        <w:tab/>
      </w:r>
      <w:r>
        <w:fldChar w:fldCharType="begin"/>
      </w:r>
      <w:r>
        <w:instrText xml:space="preserve"> PAGEREF _Toc455404115 \h </w:instrText>
      </w:r>
      <w:r>
        <w:fldChar w:fldCharType="separate"/>
      </w:r>
      <w:r>
        <w:t>49</w:t>
      </w:r>
      <w:r>
        <w:fldChar w:fldCharType="end"/>
      </w:r>
    </w:p>
    <w:p>
      <w:pPr>
        <w:pStyle w:val="TOC8"/>
        <w:rPr>
          <w:rFonts w:asciiTheme="minorHAnsi" w:eastAsiaTheme="minorEastAsia" w:hAnsiTheme="minorHAnsi" w:cstheme="minorBidi"/>
          <w:szCs w:val="22"/>
        </w:rPr>
      </w:pPr>
      <w:r>
        <w:t>59.</w:t>
      </w:r>
      <w:r>
        <w:tab/>
        <w:t>Commercial caravan parks</w:t>
      </w:r>
      <w:r>
        <w:tab/>
      </w:r>
      <w:r>
        <w:fldChar w:fldCharType="begin"/>
      </w:r>
      <w:r>
        <w:instrText xml:space="preserve"> PAGEREF _Toc455404116 \h </w:instrText>
      </w:r>
      <w:r>
        <w:fldChar w:fldCharType="separate"/>
      </w:r>
      <w:r>
        <w:t>50</w:t>
      </w:r>
      <w:r>
        <w:fldChar w:fldCharType="end"/>
      </w:r>
    </w:p>
    <w:p>
      <w:pPr>
        <w:pStyle w:val="TOC8"/>
        <w:rPr>
          <w:rFonts w:asciiTheme="minorHAnsi" w:eastAsiaTheme="minorEastAsia" w:hAnsiTheme="minorHAnsi" w:cstheme="minorBidi"/>
          <w:szCs w:val="22"/>
        </w:rPr>
      </w:pPr>
      <w:r>
        <w:t>60.</w:t>
      </w:r>
      <w:r>
        <w:tab/>
        <w:t>Certain charges and discharge volumes before 1 July 2014</w:t>
      </w:r>
      <w:r>
        <w:tab/>
      </w:r>
      <w:r>
        <w:fldChar w:fldCharType="begin"/>
      </w:r>
      <w:r>
        <w:instrText xml:space="preserve"> PAGEREF _Toc455404117 \h </w:instrText>
      </w:r>
      <w:r>
        <w:fldChar w:fldCharType="separate"/>
      </w:r>
      <w:r>
        <w:t>50</w:t>
      </w:r>
      <w:r>
        <w:fldChar w:fldCharType="end"/>
      </w:r>
    </w:p>
    <w:p>
      <w:pPr>
        <w:pStyle w:val="TOC8"/>
        <w:rPr>
          <w:rFonts w:asciiTheme="minorHAnsi" w:eastAsiaTheme="minorEastAsia" w:hAnsiTheme="minorHAnsi" w:cstheme="minorBidi"/>
          <w:szCs w:val="22"/>
        </w:rPr>
      </w:pPr>
      <w:r>
        <w:t>61.</w:t>
      </w:r>
      <w:r>
        <w:tab/>
        <w:t>Concessions: r. 34 and 35</w:t>
      </w:r>
      <w:r>
        <w:tab/>
      </w:r>
      <w:r>
        <w:fldChar w:fldCharType="begin"/>
      </w:r>
      <w:r>
        <w:instrText xml:space="preserve"> PAGEREF _Toc455404118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w:t>
      </w:r>
      <w:r>
        <w:rPr>
          <w:i/>
        </w:rPr>
        <w:t>Water Services (Water Corporations Charges) Amendment Regulations (No. 2) 2014</w:t>
      </w:r>
    </w:p>
    <w:p>
      <w:pPr>
        <w:pStyle w:val="TOC8"/>
        <w:rPr>
          <w:rFonts w:asciiTheme="minorHAnsi" w:eastAsiaTheme="minorEastAsia" w:hAnsiTheme="minorHAnsi" w:cstheme="minorBidi"/>
          <w:szCs w:val="22"/>
        </w:rPr>
      </w:pPr>
      <w:r>
        <w:t>62.</w:t>
      </w:r>
      <w:r>
        <w:tab/>
        <w:t>Application of r. 5</w:t>
      </w:r>
      <w:r>
        <w:tab/>
      </w:r>
      <w:r>
        <w:fldChar w:fldCharType="begin"/>
      </w:r>
      <w:r>
        <w:instrText xml:space="preserve"> PAGEREF _Toc455404120 \h </w:instrText>
      </w:r>
      <w:r>
        <w:fldChar w:fldCharType="separate"/>
      </w:r>
      <w:r>
        <w:t>51</w:t>
      </w:r>
      <w:r>
        <w:fldChar w:fldCharType="end"/>
      </w:r>
    </w:p>
    <w:p>
      <w:pPr>
        <w:pStyle w:val="TOC8"/>
        <w:rPr>
          <w:rFonts w:asciiTheme="minorHAnsi" w:eastAsiaTheme="minorEastAsia" w:hAnsiTheme="minorHAnsi" w:cstheme="minorBidi"/>
          <w:szCs w:val="22"/>
        </w:rPr>
      </w:pPr>
      <w:r>
        <w:t>63.</w:t>
      </w:r>
      <w:r>
        <w:tab/>
        <w:t>Reduction, waiver or refund of certain charges</w:t>
      </w:r>
      <w:r>
        <w:tab/>
      </w:r>
      <w:r>
        <w:fldChar w:fldCharType="begin"/>
      </w:r>
      <w:r>
        <w:instrText xml:space="preserve"> PAGEREF _Toc455404121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 for Bunbury Water Corporation</w:t>
      </w:r>
    </w:p>
    <w:p>
      <w:pPr>
        <w:pStyle w:val="TOC4"/>
        <w:tabs>
          <w:tab w:val="right" w:leader="dot" w:pos="7077"/>
        </w:tabs>
        <w:rPr>
          <w:rFonts w:asciiTheme="minorHAnsi" w:eastAsiaTheme="minorEastAsia" w:hAnsiTheme="minorHAnsi" w:cstheme="minorBidi"/>
          <w:b w:val="0"/>
          <w:szCs w:val="22"/>
        </w:rPr>
      </w:pPr>
      <w:r>
        <w:t>Division 1</w:t>
      </w:r>
      <w:r>
        <w:rPr>
          <w:b w:val="0"/>
        </w:rPr>
        <w:t> — </w:t>
      </w:r>
      <w:r>
        <w:t>Service charges</w:t>
      </w:r>
    </w:p>
    <w:p>
      <w:pPr>
        <w:pStyle w:val="TOC8"/>
        <w:rPr>
          <w:rFonts w:asciiTheme="minorHAnsi" w:eastAsiaTheme="minorEastAsia" w:hAnsiTheme="minorHAnsi" w:cstheme="minorBidi"/>
          <w:szCs w:val="22"/>
        </w:rPr>
      </w:pPr>
      <w:r>
        <w:t>1.</w:t>
      </w:r>
      <w:r>
        <w:tab/>
        <w:t>Service charges for 2016/17 year and subsequent years</w:t>
      </w:r>
      <w:r>
        <w:tab/>
      </w:r>
      <w:r>
        <w:fldChar w:fldCharType="begin"/>
      </w:r>
      <w:r>
        <w:instrText xml:space="preserve"> PAGEREF _Toc455404124 \h </w:instrText>
      </w:r>
      <w:r>
        <w:fldChar w:fldCharType="separate"/>
      </w:r>
      <w:r>
        <w:t>53</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_Toc455404125 \h </w:instrText>
      </w:r>
      <w:r>
        <w:fldChar w:fldCharType="separate"/>
      </w:r>
      <w:r>
        <w:t>53</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_Toc455404126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8"/>
        <w:rPr>
          <w:rFonts w:asciiTheme="minorHAnsi" w:eastAsiaTheme="minorEastAsia" w:hAnsiTheme="minorHAnsi" w:cstheme="minorBidi"/>
          <w:szCs w:val="22"/>
        </w:rPr>
      </w:pPr>
      <w:r>
        <w:t>4.</w:t>
      </w:r>
      <w:r>
        <w:tab/>
        <w:t>Consumption charges for 2016/17 year and subsequent years</w:t>
      </w:r>
      <w:r>
        <w:tab/>
      </w:r>
      <w:r>
        <w:fldChar w:fldCharType="begin"/>
      </w:r>
      <w:r>
        <w:instrText xml:space="preserve"> PAGEREF _Toc455404128 \h </w:instrText>
      </w:r>
      <w:r>
        <w:fldChar w:fldCharType="separate"/>
      </w:r>
      <w:r>
        <w:t>54</w:t>
      </w:r>
      <w:r>
        <w:fldChar w:fldCharType="end"/>
      </w:r>
    </w:p>
    <w:p>
      <w:pPr>
        <w:pStyle w:val="TOC8"/>
        <w:rPr>
          <w:rFonts w:asciiTheme="minorHAnsi" w:eastAsiaTheme="minorEastAsia" w:hAnsiTheme="minorHAnsi" w:cstheme="minorBidi"/>
          <w:szCs w:val="22"/>
        </w:rPr>
      </w:pPr>
      <w:r>
        <w:t>5.</w:t>
      </w:r>
      <w:r>
        <w:tab/>
        <w:t>Residential lots</w:t>
      </w:r>
      <w:r>
        <w:tab/>
      </w:r>
      <w:r>
        <w:fldChar w:fldCharType="begin"/>
      </w:r>
      <w:r>
        <w:instrText xml:space="preserve"> PAGEREF _Toc455404129 \h </w:instrText>
      </w:r>
      <w:r>
        <w:fldChar w:fldCharType="separate"/>
      </w:r>
      <w:r>
        <w:t>54</w:t>
      </w:r>
      <w:r>
        <w:fldChar w:fldCharType="end"/>
      </w:r>
    </w:p>
    <w:p>
      <w:pPr>
        <w:pStyle w:val="TOC8"/>
        <w:rPr>
          <w:rFonts w:asciiTheme="minorHAnsi" w:eastAsiaTheme="minorEastAsia" w:hAnsiTheme="minorHAnsi" w:cstheme="minorBidi"/>
          <w:szCs w:val="22"/>
        </w:rPr>
      </w:pPr>
      <w:r>
        <w:t>6.</w:t>
      </w:r>
      <w:r>
        <w:tab/>
        <w:t>Non</w:t>
      </w:r>
      <w:r>
        <w:noBreakHyphen/>
        <w:t>residential lots</w:t>
      </w:r>
      <w:r>
        <w:tab/>
      </w:r>
      <w:r>
        <w:fldChar w:fldCharType="begin"/>
      </w:r>
      <w:r>
        <w:instrText xml:space="preserve"> PAGEREF _Toc455404130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Miscellaneous charges</w:t>
      </w:r>
    </w:p>
    <w:p>
      <w:pPr>
        <w:pStyle w:val="TOC8"/>
        <w:rPr>
          <w:rFonts w:asciiTheme="minorHAnsi" w:eastAsiaTheme="minorEastAsia" w:hAnsiTheme="minorHAnsi" w:cstheme="minorBidi"/>
          <w:szCs w:val="22"/>
        </w:rPr>
      </w:pPr>
      <w:r>
        <w:t>7.</w:t>
      </w:r>
      <w:r>
        <w:tab/>
        <w:t>Meters: multi</w:t>
      </w:r>
      <w:r>
        <w:noBreakHyphen/>
        <w:t>unit developments</w:t>
      </w:r>
      <w:r>
        <w:tab/>
      </w:r>
      <w:r>
        <w:fldChar w:fldCharType="begin"/>
      </w:r>
      <w:r>
        <w:instrText xml:space="preserve"> PAGEREF _Toc455404132 \h </w:instrText>
      </w:r>
      <w:r>
        <w:fldChar w:fldCharType="separate"/>
      </w:r>
      <w:r>
        <w:t>54</w:t>
      </w:r>
      <w:r>
        <w:fldChar w:fldCharType="end"/>
      </w:r>
    </w:p>
    <w:p>
      <w:pPr>
        <w:pStyle w:val="TOC8"/>
        <w:rPr>
          <w:rFonts w:asciiTheme="minorHAnsi" w:eastAsiaTheme="minorEastAsia" w:hAnsiTheme="minorHAnsi" w:cstheme="minorBidi"/>
          <w:szCs w:val="22"/>
        </w:rPr>
      </w:pPr>
      <w:r>
        <w:t>8.</w:t>
      </w:r>
      <w:r>
        <w:tab/>
        <w:t>Assessing meters: multi</w:t>
      </w:r>
      <w:r>
        <w:noBreakHyphen/>
        <w:t>unit developments</w:t>
      </w:r>
      <w:r>
        <w:tab/>
      </w:r>
      <w:r>
        <w:fldChar w:fldCharType="begin"/>
      </w:r>
      <w:r>
        <w:instrText xml:space="preserve"> PAGEREF _Toc455404133 \h </w:instrText>
      </w:r>
      <w:r>
        <w:fldChar w:fldCharType="separate"/>
      </w:r>
      <w:r>
        <w:t>54</w:t>
      </w:r>
      <w:r>
        <w:fldChar w:fldCharType="end"/>
      </w:r>
    </w:p>
    <w:p>
      <w:pPr>
        <w:pStyle w:val="TOC8"/>
        <w:rPr>
          <w:rFonts w:asciiTheme="minorHAnsi" w:eastAsiaTheme="minorEastAsia" w:hAnsiTheme="minorHAnsi" w:cstheme="minorBidi"/>
          <w:szCs w:val="22"/>
        </w:rPr>
      </w:pPr>
      <w:r>
        <w:t>9.</w:t>
      </w:r>
      <w:r>
        <w:tab/>
        <w:t>Testing meters</w:t>
      </w:r>
      <w:r>
        <w:tab/>
      </w:r>
      <w:r>
        <w:fldChar w:fldCharType="begin"/>
      </w:r>
      <w:r>
        <w:instrText xml:space="preserve"> PAGEREF _Toc455404134 \h </w:instrText>
      </w:r>
      <w:r>
        <w:fldChar w:fldCharType="separate"/>
      </w:r>
      <w:r>
        <w:t>55</w:t>
      </w:r>
      <w:r>
        <w:fldChar w:fldCharType="end"/>
      </w:r>
    </w:p>
    <w:p>
      <w:pPr>
        <w:pStyle w:val="TOC8"/>
        <w:rPr>
          <w:rFonts w:asciiTheme="minorHAnsi" w:eastAsiaTheme="minorEastAsia" w:hAnsiTheme="minorHAnsi" w:cstheme="minorBidi"/>
          <w:szCs w:val="22"/>
        </w:rPr>
      </w:pPr>
      <w:r>
        <w:t>10.</w:t>
      </w:r>
      <w:r>
        <w:tab/>
        <w:t>Copies of records</w:t>
      </w:r>
      <w:r>
        <w:tab/>
      </w:r>
      <w:r>
        <w:fldChar w:fldCharType="begin"/>
      </w:r>
      <w:r>
        <w:instrText xml:space="preserve"> PAGEREF _Toc455404135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2 — Charges for Busselton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2016/17 year and subsequent years</w:t>
      </w:r>
      <w:r>
        <w:tab/>
      </w:r>
      <w:r>
        <w:fldChar w:fldCharType="begin"/>
      </w:r>
      <w:r>
        <w:instrText xml:space="preserve"> PAGEREF _Toc455404138 \h </w:instrText>
      </w:r>
      <w:r>
        <w:fldChar w:fldCharType="separate"/>
      </w:r>
      <w:r>
        <w:t>56</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_Toc455404139 \h </w:instrText>
      </w:r>
      <w:r>
        <w:fldChar w:fldCharType="separate"/>
      </w:r>
      <w:r>
        <w:t>56</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_Toc455404140 \h </w:instrText>
      </w:r>
      <w:r>
        <w:fldChar w:fldCharType="separate"/>
      </w:r>
      <w:r>
        <w:t>56</w:t>
      </w:r>
      <w:r>
        <w:fldChar w:fldCharType="end"/>
      </w:r>
    </w:p>
    <w:p>
      <w:pPr>
        <w:pStyle w:val="TOC8"/>
        <w:rPr>
          <w:rFonts w:asciiTheme="minorHAnsi" w:eastAsiaTheme="minorEastAsia" w:hAnsiTheme="minorHAnsi" w:cstheme="minorBidi"/>
          <w:szCs w:val="22"/>
        </w:rPr>
      </w:pPr>
      <w:r>
        <w:t>4.</w:t>
      </w:r>
      <w:r>
        <w:tab/>
        <w:t>Vacant land</w:t>
      </w:r>
      <w:r>
        <w:tab/>
      </w:r>
      <w:r>
        <w:fldChar w:fldCharType="begin"/>
      </w:r>
      <w:r>
        <w:instrText xml:space="preserve"> PAGEREF _Toc455404141 \h </w:instrText>
      </w:r>
      <w:r>
        <w:fldChar w:fldCharType="separate"/>
      </w:r>
      <w:r>
        <w:t>56</w:t>
      </w:r>
      <w:r>
        <w:fldChar w:fldCharType="end"/>
      </w:r>
    </w:p>
    <w:p>
      <w:pPr>
        <w:pStyle w:val="TOC8"/>
        <w:rPr>
          <w:rFonts w:asciiTheme="minorHAnsi" w:eastAsiaTheme="minorEastAsia" w:hAnsiTheme="minorHAnsi" w:cstheme="minorBidi"/>
          <w:szCs w:val="22"/>
        </w:rPr>
      </w:pPr>
      <w:r>
        <w:t>5.</w:t>
      </w:r>
      <w:r>
        <w:tab/>
        <w:t>Fire services</w:t>
      </w:r>
      <w:r>
        <w:tab/>
      </w:r>
      <w:r>
        <w:fldChar w:fldCharType="begin"/>
      </w:r>
      <w:r>
        <w:instrText xml:space="preserve"> PAGEREF _Toc455404142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8"/>
        <w:rPr>
          <w:rFonts w:asciiTheme="minorHAnsi" w:eastAsiaTheme="minorEastAsia" w:hAnsiTheme="minorHAnsi" w:cstheme="minorBidi"/>
          <w:szCs w:val="22"/>
        </w:rPr>
      </w:pPr>
      <w:r>
        <w:t>6.</w:t>
      </w:r>
      <w:r>
        <w:tab/>
        <w:t>Consumption charges for 2016/17 year and subsequent years</w:t>
      </w:r>
      <w:r>
        <w:tab/>
      </w:r>
      <w:r>
        <w:fldChar w:fldCharType="begin"/>
      </w:r>
      <w:r>
        <w:instrText xml:space="preserve"> PAGEREF _Toc455404144 \h </w:instrText>
      </w:r>
      <w:r>
        <w:fldChar w:fldCharType="separate"/>
      </w:r>
      <w:r>
        <w:t>57</w:t>
      </w:r>
      <w:r>
        <w:fldChar w:fldCharType="end"/>
      </w:r>
    </w:p>
    <w:p>
      <w:pPr>
        <w:pStyle w:val="TOC8"/>
        <w:rPr>
          <w:rFonts w:asciiTheme="minorHAnsi" w:eastAsiaTheme="minorEastAsia" w:hAnsiTheme="minorHAnsi" w:cstheme="minorBidi"/>
          <w:szCs w:val="22"/>
        </w:rPr>
      </w:pPr>
      <w:r>
        <w:t>7.</w:t>
      </w:r>
      <w:r>
        <w:tab/>
        <w:t>Residential lots</w:t>
      </w:r>
      <w:r>
        <w:tab/>
      </w:r>
      <w:r>
        <w:fldChar w:fldCharType="begin"/>
      </w:r>
      <w:r>
        <w:instrText xml:space="preserve"> PAGEREF _Toc455404145 \h </w:instrText>
      </w:r>
      <w:r>
        <w:fldChar w:fldCharType="separate"/>
      </w:r>
      <w:r>
        <w:t>57</w:t>
      </w:r>
      <w:r>
        <w:fldChar w:fldCharType="end"/>
      </w:r>
    </w:p>
    <w:p>
      <w:pPr>
        <w:pStyle w:val="TOC8"/>
        <w:rPr>
          <w:rFonts w:asciiTheme="minorHAnsi" w:eastAsiaTheme="minorEastAsia" w:hAnsiTheme="minorHAnsi" w:cstheme="minorBidi"/>
          <w:szCs w:val="22"/>
        </w:rPr>
      </w:pPr>
      <w:r>
        <w:t>8.</w:t>
      </w:r>
      <w:r>
        <w:tab/>
        <w:t>Non</w:t>
      </w:r>
      <w:r>
        <w:noBreakHyphen/>
        <w:t>residential lots</w:t>
      </w:r>
      <w:r>
        <w:tab/>
      </w:r>
      <w:r>
        <w:fldChar w:fldCharType="begin"/>
      </w:r>
      <w:r>
        <w:instrText xml:space="preserve"> PAGEREF _Toc455404146 \h </w:instrText>
      </w:r>
      <w:r>
        <w:fldChar w:fldCharType="separate"/>
      </w:r>
      <w:r>
        <w:t>57</w:t>
      </w:r>
      <w:r>
        <w:fldChar w:fldCharType="end"/>
      </w:r>
    </w:p>
    <w:p>
      <w:pPr>
        <w:pStyle w:val="TOC8"/>
        <w:rPr>
          <w:rFonts w:asciiTheme="minorHAnsi" w:eastAsiaTheme="minorEastAsia" w:hAnsiTheme="minorHAnsi" w:cstheme="minorBidi"/>
          <w:szCs w:val="22"/>
        </w:rPr>
      </w:pPr>
      <w:r>
        <w:t>9.</w:t>
      </w:r>
      <w:r>
        <w:tab/>
        <w:t>Fire services</w:t>
      </w:r>
      <w:r>
        <w:tab/>
      </w:r>
      <w:r>
        <w:fldChar w:fldCharType="begin"/>
      </w:r>
      <w:r>
        <w:instrText xml:space="preserve"> PAGEREF _Toc455404147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3 — Water supply charges for the Water Corporation</w:t>
      </w:r>
    </w:p>
    <w:p>
      <w:pPr>
        <w:pStyle w:val="TOC4"/>
        <w:tabs>
          <w:tab w:val="right" w:leader="dot" w:pos="7077"/>
        </w:tabs>
        <w:rPr>
          <w:rFonts w:asciiTheme="minorHAnsi" w:eastAsiaTheme="minorEastAsia" w:hAnsiTheme="minorHAnsi" w:cstheme="minorBidi"/>
          <w:b w:val="0"/>
          <w:szCs w:val="22"/>
        </w:rPr>
      </w:pPr>
      <w:r>
        <w:t>Division 1</w:t>
      </w:r>
      <w:r>
        <w:rPr>
          <w:b w:val="0"/>
        </w:rPr>
        <w:t> — </w:t>
      </w:r>
      <w:r>
        <w:t>Service charges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Service charges for 2016/17 year and subsequent years</w:t>
      </w:r>
      <w:r>
        <w:tab/>
      </w:r>
      <w:r>
        <w:fldChar w:fldCharType="begin"/>
      </w:r>
      <w:r>
        <w:instrText xml:space="preserve"> PAGEREF _Toc455404151 \h </w:instrText>
      </w:r>
      <w:r>
        <w:fldChar w:fldCharType="separate"/>
      </w:r>
      <w:r>
        <w:t>58</w:t>
      </w:r>
      <w:r>
        <w:fldChar w:fldCharType="end"/>
      </w:r>
    </w:p>
    <w:p>
      <w:pPr>
        <w:pStyle w:val="TOC8"/>
        <w:rPr>
          <w:rFonts w:asciiTheme="minorHAnsi" w:eastAsiaTheme="minorEastAsia" w:hAnsiTheme="minorHAnsi" w:cstheme="minorBidi"/>
          <w:szCs w:val="22"/>
        </w:rPr>
      </w:pPr>
      <w:r>
        <w:t>2.</w:t>
      </w:r>
      <w:r>
        <w:tab/>
        <w:t>Table of meter</w:t>
      </w:r>
      <w:r>
        <w:noBreakHyphen/>
        <w:t>based charges</w:t>
      </w:r>
      <w:r>
        <w:tab/>
      </w:r>
      <w:r>
        <w:fldChar w:fldCharType="begin"/>
      </w:r>
      <w:r>
        <w:instrText xml:space="preserve"> PAGEREF _Toc455404152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Service charges that apply in respect of land</w:t>
      </w:r>
    </w:p>
    <w:p>
      <w:pPr>
        <w:pStyle w:val="TOC8"/>
        <w:rPr>
          <w:rFonts w:asciiTheme="minorHAnsi" w:eastAsiaTheme="minorEastAsia" w:hAnsiTheme="minorHAnsi" w:cstheme="minorBidi"/>
          <w:szCs w:val="22"/>
        </w:rPr>
      </w:pPr>
      <w:r>
        <w:t>3.</w:t>
      </w:r>
      <w:r>
        <w:tab/>
        <w:t>Residential</w:t>
      </w:r>
      <w:r>
        <w:tab/>
      </w:r>
      <w:r>
        <w:fldChar w:fldCharType="begin"/>
      </w:r>
      <w:r>
        <w:instrText xml:space="preserve"> PAGEREF _Toc455404154 \h </w:instrText>
      </w:r>
      <w:r>
        <w:fldChar w:fldCharType="separate"/>
      </w:r>
      <w:r>
        <w:t>59</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_Toc455404155 \h </w:instrText>
      </w:r>
      <w:r>
        <w:fldChar w:fldCharType="separate"/>
      </w:r>
      <w:r>
        <w:t>59</w:t>
      </w:r>
      <w:r>
        <w:fldChar w:fldCharType="end"/>
      </w:r>
    </w:p>
    <w:p>
      <w:pPr>
        <w:pStyle w:val="TOC8"/>
        <w:rPr>
          <w:rFonts w:asciiTheme="minorHAnsi" w:eastAsiaTheme="minorEastAsia" w:hAnsiTheme="minorHAnsi" w:cstheme="minorBidi"/>
          <w:szCs w:val="22"/>
        </w:rPr>
      </w:pPr>
      <w:r>
        <w:t>5.</w:t>
      </w:r>
      <w:r>
        <w:tab/>
        <w:t>Strata</w:t>
      </w:r>
      <w:r>
        <w:noBreakHyphen/>
        <w:t>titled or long</w:t>
      </w:r>
      <w:r>
        <w:noBreakHyphen/>
        <w:t>term residential caravan bays</w:t>
      </w:r>
      <w:r>
        <w:tab/>
      </w:r>
      <w:r>
        <w:fldChar w:fldCharType="begin"/>
      </w:r>
      <w:r>
        <w:instrText xml:space="preserve"> PAGEREF _Toc455404156 \h </w:instrText>
      </w:r>
      <w:r>
        <w:fldChar w:fldCharType="separate"/>
      </w:r>
      <w:r>
        <w:t>59</w:t>
      </w:r>
      <w:r>
        <w:fldChar w:fldCharType="end"/>
      </w:r>
    </w:p>
    <w:p>
      <w:pPr>
        <w:pStyle w:val="TOC8"/>
        <w:rPr>
          <w:rFonts w:asciiTheme="minorHAnsi" w:eastAsiaTheme="minorEastAsia" w:hAnsiTheme="minorHAnsi" w:cstheme="minorBidi"/>
          <w:szCs w:val="22"/>
        </w:rPr>
      </w:pPr>
      <w:r>
        <w:t>6.</w:t>
      </w:r>
      <w:r>
        <w:tab/>
        <w:t>Strata</w:t>
      </w:r>
      <w:r>
        <w:noBreakHyphen/>
        <w:t>titled storage units or parking bays</w:t>
      </w:r>
      <w:r>
        <w:tab/>
      </w:r>
      <w:r>
        <w:fldChar w:fldCharType="begin"/>
      </w:r>
      <w:r>
        <w:instrText xml:space="preserve"> PAGEREF _Toc455404157 \h </w:instrText>
      </w:r>
      <w:r>
        <w:fldChar w:fldCharType="separate"/>
      </w:r>
      <w:r>
        <w:t>59</w:t>
      </w:r>
      <w:r>
        <w:fldChar w:fldCharType="end"/>
      </w:r>
    </w:p>
    <w:p>
      <w:pPr>
        <w:pStyle w:val="TOC8"/>
        <w:rPr>
          <w:rFonts w:asciiTheme="minorHAnsi" w:eastAsiaTheme="minorEastAsia" w:hAnsiTheme="minorHAnsi" w:cstheme="minorBidi"/>
          <w:szCs w:val="22"/>
        </w:rPr>
      </w:pPr>
      <w:r>
        <w:t>7.</w:t>
      </w:r>
      <w:r>
        <w:tab/>
        <w:t>Non</w:t>
      </w:r>
      <w:r>
        <w:noBreakHyphen/>
        <w:t>residential strata</w:t>
      </w:r>
      <w:r>
        <w:noBreakHyphen/>
        <w:t>titled units that share a service</w:t>
      </w:r>
      <w:r>
        <w:tab/>
      </w:r>
      <w:r>
        <w:fldChar w:fldCharType="begin"/>
      </w:r>
      <w:r>
        <w:instrText xml:space="preserve"> PAGEREF _Toc455404158 \h </w:instrText>
      </w:r>
      <w:r>
        <w:fldChar w:fldCharType="separate"/>
      </w:r>
      <w:r>
        <w:t>59</w:t>
      </w:r>
      <w:r>
        <w:fldChar w:fldCharType="end"/>
      </w:r>
    </w:p>
    <w:p>
      <w:pPr>
        <w:pStyle w:val="TOC8"/>
        <w:rPr>
          <w:rFonts w:asciiTheme="minorHAnsi" w:eastAsiaTheme="minorEastAsia" w:hAnsiTheme="minorHAnsi" w:cstheme="minorBidi"/>
          <w:szCs w:val="22"/>
        </w:rPr>
      </w:pPr>
      <w:r>
        <w:t>8.</w:t>
      </w:r>
      <w:r>
        <w:tab/>
        <w:t>Community residential</w:t>
      </w:r>
      <w:r>
        <w:tab/>
      </w:r>
      <w:r>
        <w:fldChar w:fldCharType="begin"/>
      </w:r>
      <w:r>
        <w:instrText xml:space="preserve"> PAGEREF _Toc455404159 \h </w:instrText>
      </w:r>
      <w:r>
        <w:fldChar w:fldCharType="separate"/>
      </w:r>
      <w:r>
        <w:t>60</w:t>
      </w:r>
      <w:r>
        <w:fldChar w:fldCharType="end"/>
      </w:r>
    </w:p>
    <w:p>
      <w:pPr>
        <w:pStyle w:val="TOC8"/>
        <w:rPr>
          <w:rFonts w:asciiTheme="minorHAnsi" w:eastAsiaTheme="minorEastAsia" w:hAnsiTheme="minorHAnsi" w:cstheme="minorBidi"/>
          <w:szCs w:val="22"/>
        </w:rPr>
      </w:pPr>
      <w:r>
        <w:t>9.</w:t>
      </w:r>
      <w:r>
        <w:tab/>
        <w:t>Semi</w:t>
      </w:r>
      <w:r>
        <w:noBreakHyphen/>
        <w:t>rural residential</w:t>
      </w:r>
      <w:r>
        <w:tab/>
      </w:r>
      <w:r>
        <w:fldChar w:fldCharType="begin"/>
      </w:r>
      <w:r>
        <w:instrText xml:space="preserve"> PAGEREF _Toc455404160 \h </w:instrText>
      </w:r>
      <w:r>
        <w:fldChar w:fldCharType="separate"/>
      </w:r>
      <w:r>
        <w:t>60</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_Toc455404161 \h </w:instrText>
      </w:r>
      <w:r>
        <w:fldChar w:fldCharType="separate"/>
      </w:r>
      <w:r>
        <w:t>60</w:t>
      </w:r>
      <w:r>
        <w:fldChar w:fldCharType="end"/>
      </w:r>
    </w:p>
    <w:p>
      <w:pPr>
        <w:pStyle w:val="TOC8"/>
        <w:rPr>
          <w:rFonts w:asciiTheme="minorHAnsi" w:eastAsiaTheme="minorEastAsia" w:hAnsiTheme="minorHAnsi" w:cstheme="minorBidi"/>
          <w:szCs w:val="22"/>
        </w:rPr>
      </w:pPr>
      <w:r>
        <w:t>11.</w:t>
      </w:r>
      <w:r>
        <w:tab/>
        <w:t>Non</w:t>
      </w:r>
      <w:r>
        <w:noBreakHyphen/>
        <w:t>residential or commercial residential (except certain strata</w:t>
      </w:r>
      <w:r>
        <w:noBreakHyphen/>
        <w:t>titled units)</w:t>
      </w:r>
      <w:r>
        <w:tab/>
      </w:r>
      <w:r>
        <w:fldChar w:fldCharType="begin"/>
      </w:r>
      <w:r>
        <w:instrText xml:space="preserve"> PAGEREF _Toc455404162 \h </w:instrText>
      </w:r>
      <w:r>
        <w:fldChar w:fldCharType="separate"/>
      </w:r>
      <w:r>
        <w:t>61</w:t>
      </w:r>
      <w:r>
        <w:fldChar w:fldCharType="end"/>
      </w:r>
    </w:p>
    <w:p>
      <w:pPr>
        <w:pStyle w:val="TOC8"/>
        <w:rPr>
          <w:rFonts w:asciiTheme="minorHAnsi" w:eastAsiaTheme="minorEastAsia" w:hAnsiTheme="minorHAnsi" w:cstheme="minorBidi"/>
          <w:szCs w:val="22"/>
        </w:rPr>
      </w:pPr>
      <w:r>
        <w:t>12.</w:t>
      </w:r>
      <w:r>
        <w:tab/>
        <w:t>Additional connections</w:t>
      </w:r>
      <w:r>
        <w:tab/>
      </w:r>
      <w:r>
        <w:fldChar w:fldCharType="begin"/>
      </w:r>
      <w:r>
        <w:instrText xml:space="preserve"> PAGEREF _Toc455404163 \h </w:instrText>
      </w:r>
      <w:r>
        <w:fldChar w:fldCharType="separate"/>
      </w:r>
      <w:r>
        <w:t>61</w:t>
      </w:r>
      <w:r>
        <w:fldChar w:fldCharType="end"/>
      </w:r>
    </w:p>
    <w:p>
      <w:pPr>
        <w:pStyle w:val="TOC8"/>
        <w:rPr>
          <w:rFonts w:asciiTheme="minorHAnsi" w:eastAsiaTheme="minorEastAsia" w:hAnsiTheme="minorHAnsi" w:cstheme="minorBidi"/>
          <w:szCs w:val="22"/>
        </w:rPr>
      </w:pPr>
      <w:r>
        <w:t>13.</w:t>
      </w:r>
      <w:r>
        <w:tab/>
        <w:t>Farmland</w:t>
      </w:r>
      <w:r>
        <w:tab/>
      </w:r>
      <w:r>
        <w:fldChar w:fldCharType="begin"/>
      </w:r>
      <w:r>
        <w:instrText xml:space="preserve"> PAGEREF _Toc455404164 \h </w:instrText>
      </w:r>
      <w:r>
        <w:fldChar w:fldCharType="separate"/>
      </w:r>
      <w:r>
        <w:t>62</w:t>
      </w:r>
      <w:r>
        <w:fldChar w:fldCharType="end"/>
      </w:r>
    </w:p>
    <w:p>
      <w:pPr>
        <w:pStyle w:val="TOC8"/>
        <w:rPr>
          <w:rFonts w:asciiTheme="minorHAnsi" w:eastAsiaTheme="minorEastAsia" w:hAnsiTheme="minorHAnsi" w:cstheme="minorBidi"/>
          <w:szCs w:val="22"/>
        </w:rPr>
      </w:pPr>
      <w:r>
        <w:t>14.</w:t>
      </w:r>
      <w:r>
        <w:tab/>
        <w:t>Vacant land</w:t>
      </w:r>
      <w:r>
        <w:tab/>
      </w:r>
      <w:r>
        <w:fldChar w:fldCharType="begin"/>
      </w:r>
      <w:r>
        <w:instrText xml:space="preserve"> PAGEREF _Toc455404165 \h </w:instrText>
      </w:r>
      <w:r>
        <w:fldChar w:fldCharType="separate"/>
      </w:r>
      <w:r>
        <w:t>62</w:t>
      </w:r>
      <w:r>
        <w:fldChar w:fldCharType="end"/>
      </w:r>
    </w:p>
    <w:p>
      <w:pPr>
        <w:pStyle w:val="TOC8"/>
        <w:rPr>
          <w:rFonts w:asciiTheme="minorHAnsi" w:eastAsiaTheme="minorEastAsia" w:hAnsiTheme="minorHAnsi" w:cstheme="minorBidi"/>
          <w:szCs w:val="22"/>
        </w:rPr>
      </w:pPr>
      <w:r>
        <w:t>15.</w:t>
      </w:r>
      <w:r>
        <w:tab/>
        <w:t>Garden supply</w:t>
      </w:r>
      <w:r>
        <w:tab/>
      </w:r>
      <w:r>
        <w:fldChar w:fldCharType="begin"/>
      </w:r>
      <w:r>
        <w:instrText xml:space="preserve"> PAGEREF _Toc455404166 \h </w:instrText>
      </w:r>
      <w:r>
        <w:fldChar w:fldCharType="separate"/>
      </w:r>
      <w:r>
        <w:t>62</w:t>
      </w:r>
      <w:r>
        <w:fldChar w:fldCharType="end"/>
      </w:r>
    </w:p>
    <w:p>
      <w:pPr>
        <w:pStyle w:val="TOC8"/>
        <w:rPr>
          <w:rFonts w:asciiTheme="minorHAnsi" w:eastAsiaTheme="minorEastAsia" w:hAnsiTheme="minorHAnsi" w:cstheme="minorBidi"/>
          <w:szCs w:val="22"/>
        </w:rPr>
      </w:pPr>
      <w:r>
        <w:t>16.</w:t>
      </w:r>
      <w:r>
        <w:tab/>
        <w:t>Government trading organisations and non</w:t>
      </w:r>
      <w:r>
        <w:noBreakHyphen/>
        <w:t>commercial government property</w:t>
      </w:r>
      <w:r>
        <w:tab/>
      </w:r>
      <w:r>
        <w:fldChar w:fldCharType="begin"/>
      </w:r>
      <w:r>
        <w:instrText xml:space="preserve"> PAGEREF _Toc455404167 \h </w:instrText>
      </w:r>
      <w:r>
        <w:fldChar w:fldCharType="separate"/>
      </w:r>
      <w:r>
        <w:t>63</w:t>
      </w:r>
      <w:r>
        <w:fldChar w:fldCharType="end"/>
      </w:r>
    </w:p>
    <w:p>
      <w:pPr>
        <w:pStyle w:val="TOC8"/>
        <w:rPr>
          <w:rFonts w:asciiTheme="minorHAnsi" w:eastAsiaTheme="minorEastAsia" w:hAnsiTheme="minorHAnsi" w:cstheme="minorBidi"/>
          <w:szCs w:val="22"/>
        </w:rPr>
      </w:pPr>
      <w:r>
        <w:t>17.</w:t>
      </w:r>
      <w:r>
        <w:tab/>
        <w:t>Government trading organisations and non</w:t>
      </w:r>
      <w:r>
        <w:noBreakHyphen/>
        <w:t>commercial government property: on</w:t>
      </w:r>
      <w:r>
        <w:noBreakHyphen/>
        <w:t>supply to lessees or ships</w:t>
      </w:r>
      <w:r>
        <w:tab/>
      </w:r>
      <w:r>
        <w:fldChar w:fldCharType="begin"/>
      </w:r>
      <w:r>
        <w:instrText xml:space="preserve"> PAGEREF _Toc455404168 \h </w:instrText>
      </w:r>
      <w:r>
        <w:fldChar w:fldCharType="separate"/>
      </w:r>
      <w:r>
        <w:t>64</w:t>
      </w:r>
      <w:r>
        <w:fldChar w:fldCharType="end"/>
      </w:r>
    </w:p>
    <w:p>
      <w:pPr>
        <w:pStyle w:val="TOC8"/>
        <w:rPr>
          <w:rFonts w:asciiTheme="minorHAnsi" w:eastAsiaTheme="minorEastAsia" w:hAnsiTheme="minorHAnsi" w:cstheme="minorBidi"/>
          <w:szCs w:val="22"/>
        </w:rPr>
      </w:pPr>
      <w:r>
        <w:t>18.</w:t>
      </w:r>
      <w:r>
        <w:tab/>
        <w:t>Capital infrastructure charges</w:t>
      </w:r>
      <w:r>
        <w:tab/>
      </w:r>
      <w:r>
        <w:fldChar w:fldCharType="begin"/>
      </w:r>
      <w:r>
        <w:instrText xml:space="preserve"> PAGEREF _Toc455404169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Other service charges</w:t>
      </w:r>
    </w:p>
    <w:p>
      <w:pPr>
        <w:pStyle w:val="TOC8"/>
        <w:rPr>
          <w:rFonts w:asciiTheme="minorHAnsi" w:eastAsiaTheme="minorEastAsia" w:hAnsiTheme="minorHAnsi" w:cstheme="minorBidi"/>
          <w:szCs w:val="22"/>
        </w:rPr>
      </w:pPr>
      <w:r>
        <w:t>19.</w:t>
      </w:r>
      <w:r>
        <w:tab/>
        <w:t>Stock</w:t>
      </w:r>
      <w:r>
        <w:tab/>
      </w:r>
      <w:r>
        <w:fldChar w:fldCharType="begin"/>
      </w:r>
      <w:r>
        <w:instrText xml:space="preserve"> PAGEREF _Toc455404171 \h </w:instrText>
      </w:r>
      <w:r>
        <w:fldChar w:fldCharType="separate"/>
      </w:r>
      <w:r>
        <w:t>65</w:t>
      </w:r>
      <w:r>
        <w:fldChar w:fldCharType="end"/>
      </w:r>
    </w:p>
    <w:p>
      <w:pPr>
        <w:pStyle w:val="TOC8"/>
        <w:rPr>
          <w:rFonts w:asciiTheme="minorHAnsi" w:eastAsiaTheme="minorEastAsia" w:hAnsiTheme="minorHAnsi" w:cstheme="minorBidi"/>
          <w:szCs w:val="22"/>
        </w:rPr>
      </w:pPr>
      <w:r>
        <w:t>20.</w:t>
      </w:r>
      <w:r>
        <w:tab/>
        <w:t>Shipping</w:t>
      </w:r>
      <w:r>
        <w:tab/>
      </w:r>
      <w:r>
        <w:fldChar w:fldCharType="begin"/>
      </w:r>
      <w:r>
        <w:instrText xml:space="preserve"> PAGEREF _Toc455404172 \h </w:instrText>
      </w:r>
      <w:r>
        <w:fldChar w:fldCharType="separate"/>
      </w:r>
      <w:r>
        <w:t>66</w:t>
      </w:r>
      <w:r>
        <w:fldChar w:fldCharType="end"/>
      </w:r>
    </w:p>
    <w:p>
      <w:pPr>
        <w:pStyle w:val="TOC8"/>
        <w:rPr>
          <w:rFonts w:asciiTheme="minorHAnsi" w:eastAsiaTheme="minorEastAsia" w:hAnsiTheme="minorHAnsi" w:cstheme="minorBidi"/>
          <w:szCs w:val="22"/>
        </w:rPr>
      </w:pPr>
      <w:r>
        <w:t>21.</w:t>
      </w:r>
      <w:r>
        <w:tab/>
        <w:t>Local government standpipes</w:t>
      </w:r>
      <w:r>
        <w:tab/>
      </w:r>
      <w:r>
        <w:fldChar w:fldCharType="begin"/>
      </w:r>
      <w:r>
        <w:instrText xml:space="preserve"> PAGEREF _Toc455404173 \h </w:instrText>
      </w:r>
      <w:r>
        <w:fldChar w:fldCharType="separate"/>
      </w:r>
      <w:r>
        <w:t>66</w:t>
      </w:r>
      <w:r>
        <w:fldChar w:fldCharType="end"/>
      </w:r>
    </w:p>
    <w:p>
      <w:pPr>
        <w:pStyle w:val="TOC8"/>
        <w:rPr>
          <w:rFonts w:asciiTheme="minorHAnsi" w:eastAsiaTheme="minorEastAsia" w:hAnsiTheme="minorHAnsi" w:cstheme="minorBidi"/>
          <w:szCs w:val="22"/>
        </w:rPr>
      </w:pPr>
      <w:r>
        <w:t>22.</w:t>
      </w:r>
      <w:r>
        <w:tab/>
        <w:t>Fire service connections</w:t>
      </w:r>
      <w:r>
        <w:tab/>
      </w:r>
      <w:r>
        <w:fldChar w:fldCharType="begin"/>
      </w:r>
      <w:r>
        <w:instrText xml:space="preserve"> PAGEREF _Toc455404174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23.</w:t>
      </w:r>
      <w:r>
        <w:tab/>
        <w:t>Consumption charges for 2016/17 year and subsequent years</w:t>
      </w:r>
      <w:r>
        <w:tab/>
      </w:r>
      <w:r>
        <w:fldChar w:fldCharType="begin"/>
      </w:r>
      <w:r>
        <w:instrText xml:space="preserve"> PAGEREF _Toc455404177 \h </w:instrText>
      </w:r>
      <w:r>
        <w:fldChar w:fldCharType="separate"/>
      </w:r>
      <w:r>
        <w:t>66</w:t>
      </w:r>
      <w:r>
        <w:fldChar w:fldCharType="end"/>
      </w:r>
    </w:p>
    <w:p>
      <w:pPr>
        <w:pStyle w:val="TOC8"/>
        <w:rPr>
          <w:rFonts w:asciiTheme="minorHAnsi" w:eastAsiaTheme="minorEastAsia" w:hAnsiTheme="minorHAnsi" w:cstheme="minorBidi"/>
          <w:szCs w:val="22"/>
        </w:rPr>
      </w:pPr>
      <w:r>
        <w:t>24.</w:t>
      </w:r>
      <w:r>
        <w:tab/>
        <w:t>Residential or non</w:t>
      </w:r>
      <w:r>
        <w:noBreakHyphen/>
        <w:t>residential class of town or area</w:t>
      </w:r>
      <w:r>
        <w:tab/>
      </w:r>
      <w:r>
        <w:fldChar w:fldCharType="begin"/>
      </w:r>
      <w:r>
        <w:instrText xml:space="preserve"> PAGEREF _Toc455404178 \h </w:instrText>
      </w:r>
      <w:r>
        <w:fldChar w:fldCharType="separate"/>
      </w:r>
      <w:r>
        <w:t>66</w:t>
      </w:r>
      <w:r>
        <w:fldChar w:fldCharType="end"/>
      </w:r>
    </w:p>
    <w:p>
      <w:pPr>
        <w:pStyle w:val="TOC8"/>
        <w:rPr>
          <w:rFonts w:asciiTheme="minorHAnsi" w:eastAsiaTheme="minorEastAsia" w:hAnsiTheme="minorHAnsi" w:cstheme="minorBidi"/>
          <w:szCs w:val="22"/>
        </w:rPr>
      </w:pPr>
      <w:r>
        <w:t>25.</w:t>
      </w:r>
      <w:r>
        <w:tab/>
        <w:t>Table of class</w:t>
      </w:r>
      <w:r>
        <w:noBreakHyphen/>
        <w:t>based charges</w:t>
      </w:r>
      <w:r>
        <w:tab/>
      </w:r>
      <w:r>
        <w:fldChar w:fldCharType="begin"/>
      </w:r>
      <w:r>
        <w:instrText xml:space="preserve"> PAGEREF _Toc455404179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Consumption charges that apply in respect of land</w:t>
      </w:r>
    </w:p>
    <w:p>
      <w:pPr>
        <w:pStyle w:val="TOC8"/>
        <w:rPr>
          <w:rFonts w:asciiTheme="minorHAnsi" w:eastAsiaTheme="minorEastAsia" w:hAnsiTheme="minorHAnsi" w:cstheme="minorBidi"/>
          <w:szCs w:val="22"/>
        </w:rPr>
      </w:pPr>
      <w:r>
        <w:t>26.</w:t>
      </w:r>
      <w:r>
        <w:tab/>
        <w:t>Metropolitan residential and semi</w:t>
      </w:r>
      <w:r>
        <w:noBreakHyphen/>
        <w:t>rural residential</w:t>
      </w:r>
      <w:r>
        <w:tab/>
      </w:r>
      <w:r>
        <w:fldChar w:fldCharType="begin"/>
      </w:r>
      <w:r>
        <w:instrText xml:space="preserve"> PAGEREF _Toc455404181 \h </w:instrText>
      </w:r>
      <w:r>
        <w:fldChar w:fldCharType="separate"/>
      </w:r>
      <w:r>
        <w:t>67</w:t>
      </w:r>
      <w:r>
        <w:fldChar w:fldCharType="end"/>
      </w:r>
    </w:p>
    <w:p>
      <w:pPr>
        <w:pStyle w:val="TOC8"/>
        <w:rPr>
          <w:rFonts w:asciiTheme="minorHAnsi" w:eastAsiaTheme="minorEastAsia" w:hAnsiTheme="minorHAnsi" w:cstheme="minorBidi"/>
          <w:szCs w:val="22"/>
        </w:rPr>
      </w:pPr>
      <w:r>
        <w:t>27.</w:t>
      </w:r>
      <w:r>
        <w:tab/>
        <w:t>Metropolitan non</w:t>
      </w:r>
      <w:r>
        <w:noBreakHyphen/>
        <w:t>residential</w:t>
      </w:r>
      <w:r>
        <w:tab/>
      </w:r>
      <w:r>
        <w:fldChar w:fldCharType="begin"/>
      </w:r>
      <w:r>
        <w:instrText xml:space="preserve"> PAGEREF _Toc455404182 \h </w:instrText>
      </w:r>
      <w:r>
        <w:fldChar w:fldCharType="separate"/>
      </w:r>
      <w:r>
        <w:t>68</w:t>
      </w:r>
      <w:r>
        <w:fldChar w:fldCharType="end"/>
      </w:r>
    </w:p>
    <w:p>
      <w:pPr>
        <w:pStyle w:val="TOC8"/>
        <w:rPr>
          <w:rFonts w:asciiTheme="minorHAnsi" w:eastAsiaTheme="minorEastAsia" w:hAnsiTheme="minorHAnsi" w:cstheme="minorBidi"/>
          <w:szCs w:val="22"/>
        </w:rPr>
      </w:pPr>
      <w:r>
        <w:t>28.</w:t>
      </w:r>
      <w:r>
        <w:tab/>
        <w:t>Metropolitan non</w:t>
      </w:r>
      <w:r>
        <w:noBreakHyphen/>
        <w:t>residential concessional</w:t>
      </w:r>
      <w:r>
        <w:tab/>
      </w:r>
      <w:r>
        <w:fldChar w:fldCharType="begin"/>
      </w:r>
      <w:r>
        <w:instrText xml:space="preserve"> PAGEREF _Toc455404183 \h </w:instrText>
      </w:r>
      <w:r>
        <w:fldChar w:fldCharType="separate"/>
      </w:r>
      <w:r>
        <w:t>68</w:t>
      </w:r>
      <w:r>
        <w:fldChar w:fldCharType="end"/>
      </w:r>
    </w:p>
    <w:p>
      <w:pPr>
        <w:pStyle w:val="TOC8"/>
        <w:rPr>
          <w:rFonts w:asciiTheme="minorHAnsi" w:eastAsiaTheme="minorEastAsia" w:hAnsiTheme="minorHAnsi" w:cstheme="minorBidi"/>
          <w:szCs w:val="22"/>
        </w:rPr>
      </w:pPr>
      <w:r>
        <w:t>29.</w:t>
      </w:r>
      <w:r>
        <w:tab/>
        <w:t>Community residential</w:t>
      </w:r>
      <w:r>
        <w:tab/>
      </w:r>
      <w:r>
        <w:fldChar w:fldCharType="begin"/>
      </w:r>
      <w:r>
        <w:instrText xml:space="preserve"> PAGEREF _Toc455404184 \h </w:instrText>
      </w:r>
      <w:r>
        <w:fldChar w:fldCharType="separate"/>
      </w:r>
      <w:r>
        <w:t>69</w:t>
      </w:r>
      <w:r>
        <w:fldChar w:fldCharType="end"/>
      </w:r>
    </w:p>
    <w:p>
      <w:pPr>
        <w:pStyle w:val="TOC8"/>
        <w:rPr>
          <w:rFonts w:asciiTheme="minorHAnsi" w:eastAsiaTheme="minorEastAsia" w:hAnsiTheme="minorHAnsi" w:cstheme="minorBidi"/>
          <w:szCs w:val="22"/>
        </w:rPr>
      </w:pPr>
      <w:r>
        <w:t>30.</w:t>
      </w:r>
      <w:r>
        <w:tab/>
        <w:t>Non</w:t>
      </w:r>
      <w:r>
        <w:noBreakHyphen/>
        <w:t>metropolitan residential</w:t>
      </w:r>
      <w:r>
        <w:tab/>
      </w:r>
      <w:r>
        <w:fldChar w:fldCharType="begin"/>
      </w:r>
      <w:r>
        <w:instrText xml:space="preserve"> PAGEREF _Toc455404185 \h </w:instrText>
      </w:r>
      <w:r>
        <w:fldChar w:fldCharType="separate"/>
      </w:r>
      <w:r>
        <w:t>70</w:t>
      </w:r>
      <w:r>
        <w:fldChar w:fldCharType="end"/>
      </w:r>
    </w:p>
    <w:p>
      <w:pPr>
        <w:pStyle w:val="TOC8"/>
        <w:rPr>
          <w:rFonts w:asciiTheme="minorHAnsi" w:eastAsiaTheme="minorEastAsia" w:hAnsiTheme="minorHAnsi" w:cstheme="minorBidi"/>
          <w:szCs w:val="22"/>
        </w:rPr>
      </w:pPr>
      <w:r>
        <w:t>31.</w:t>
      </w:r>
      <w:r>
        <w:tab/>
        <w:t>Non</w:t>
      </w:r>
      <w:r>
        <w:noBreakHyphen/>
        <w:t>metropolitan non</w:t>
      </w:r>
      <w:r>
        <w:noBreakHyphen/>
        <w:t>residential</w:t>
      </w:r>
      <w:r>
        <w:tab/>
      </w:r>
      <w:r>
        <w:fldChar w:fldCharType="begin"/>
      </w:r>
      <w:r>
        <w:instrText xml:space="preserve"> PAGEREF _Toc455404186 \h </w:instrText>
      </w:r>
      <w:r>
        <w:fldChar w:fldCharType="separate"/>
      </w:r>
      <w:r>
        <w:t>72</w:t>
      </w:r>
      <w:r>
        <w:fldChar w:fldCharType="end"/>
      </w:r>
    </w:p>
    <w:p>
      <w:pPr>
        <w:pStyle w:val="TOC8"/>
        <w:rPr>
          <w:rFonts w:asciiTheme="minorHAnsi" w:eastAsiaTheme="minorEastAsia" w:hAnsiTheme="minorHAnsi" w:cstheme="minorBidi"/>
          <w:szCs w:val="22"/>
        </w:rPr>
      </w:pPr>
      <w:r>
        <w:t>32.</w:t>
      </w:r>
      <w:r>
        <w:tab/>
        <w:t>Non</w:t>
      </w:r>
      <w:r>
        <w:noBreakHyphen/>
        <w:t>metropolitan residential concessional</w:t>
      </w:r>
      <w:r>
        <w:tab/>
      </w:r>
      <w:r>
        <w:fldChar w:fldCharType="begin"/>
      </w:r>
      <w:r>
        <w:instrText xml:space="preserve"> PAGEREF _Toc455404187 \h </w:instrText>
      </w:r>
      <w:r>
        <w:fldChar w:fldCharType="separate"/>
      </w:r>
      <w:r>
        <w:t>73</w:t>
      </w:r>
      <w:r>
        <w:fldChar w:fldCharType="end"/>
      </w:r>
    </w:p>
    <w:p>
      <w:pPr>
        <w:pStyle w:val="TOC8"/>
        <w:rPr>
          <w:rFonts w:asciiTheme="minorHAnsi" w:eastAsiaTheme="minorEastAsia" w:hAnsiTheme="minorHAnsi" w:cstheme="minorBidi"/>
          <w:szCs w:val="22"/>
        </w:rPr>
      </w:pPr>
      <w:r>
        <w:t>33.</w:t>
      </w:r>
      <w:r>
        <w:tab/>
        <w:t>Strata</w:t>
      </w:r>
      <w:r>
        <w:noBreakHyphen/>
        <w:t>titled or long</w:t>
      </w:r>
      <w:r>
        <w:noBreakHyphen/>
        <w:t>term residential caravan bays</w:t>
      </w:r>
      <w:r>
        <w:tab/>
      </w:r>
      <w:r>
        <w:fldChar w:fldCharType="begin"/>
      </w:r>
      <w:r>
        <w:instrText xml:space="preserve"> PAGEREF _Toc455404188 \h </w:instrText>
      </w:r>
      <w:r>
        <w:fldChar w:fldCharType="separate"/>
      </w:r>
      <w:r>
        <w:t>73</w:t>
      </w:r>
      <w:r>
        <w:fldChar w:fldCharType="end"/>
      </w:r>
    </w:p>
    <w:p>
      <w:pPr>
        <w:pStyle w:val="TOC8"/>
        <w:rPr>
          <w:rFonts w:asciiTheme="minorHAnsi" w:eastAsiaTheme="minorEastAsia" w:hAnsiTheme="minorHAnsi" w:cstheme="minorBidi"/>
          <w:szCs w:val="22"/>
        </w:rPr>
      </w:pPr>
      <w:r>
        <w:t>34.</w:t>
      </w:r>
      <w:r>
        <w:tab/>
        <w:t>Government trading organisations and non</w:t>
      </w:r>
      <w:r>
        <w:noBreakHyphen/>
        <w:t>commercial government property</w:t>
      </w:r>
      <w:r>
        <w:tab/>
      </w:r>
      <w:r>
        <w:fldChar w:fldCharType="begin"/>
      </w:r>
      <w:r>
        <w:instrText xml:space="preserve"> PAGEREF _Toc455404189 \h </w:instrText>
      </w:r>
      <w:r>
        <w:fldChar w:fldCharType="separate"/>
      </w:r>
      <w:r>
        <w:t>73</w:t>
      </w:r>
      <w:r>
        <w:fldChar w:fldCharType="end"/>
      </w:r>
    </w:p>
    <w:p>
      <w:pPr>
        <w:pStyle w:val="TOC8"/>
        <w:rPr>
          <w:rFonts w:asciiTheme="minorHAnsi" w:eastAsiaTheme="minorEastAsia" w:hAnsiTheme="minorHAnsi" w:cstheme="minorBidi"/>
          <w:szCs w:val="22"/>
        </w:rPr>
      </w:pPr>
      <w:r>
        <w:t>35.</w:t>
      </w:r>
      <w:r>
        <w:tab/>
        <w:t>Coral Bay desalinated</w:t>
      </w:r>
      <w:r>
        <w:tab/>
      </w:r>
      <w:r>
        <w:fldChar w:fldCharType="begin"/>
      </w:r>
      <w:r>
        <w:instrText xml:space="preserve"> PAGEREF _Toc455404190 \h </w:instrText>
      </w:r>
      <w:r>
        <w:fldChar w:fldCharType="separate"/>
      </w:r>
      <w:r>
        <w:t>74</w:t>
      </w:r>
      <w:r>
        <w:fldChar w:fldCharType="end"/>
      </w:r>
    </w:p>
    <w:p>
      <w:pPr>
        <w:pStyle w:val="TOC8"/>
        <w:rPr>
          <w:rFonts w:asciiTheme="minorHAnsi" w:eastAsiaTheme="minorEastAsia" w:hAnsiTheme="minorHAnsi" w:cstheme="minorBidi"/>
          <w:szCs w:val="22"/>
        </w:rPr>
      </w:pPr>
      <w:r>
        <w:t>36.</w:t>
      </w:r>
      <w:r>
        <w:tab/>
        <w:t>Denham desalinated</w:t>
      </w:r>
      <w:r>
        <w:tab/>
      </w:r>
      <w:r>
        <w:fldChar w:fldCharType="begin"/>
      </w:r>
      <w:r>
        <w:instrText xml:space="preserve"> PAGEREF _Toc455404191 \h </w:instrText>
      </w:r>
      <w:r>
        <w:fldChar w:fldCharType="separate"/>
      </w:r>
      <w:r>
        <w:t>74</w:t>
      </w:r>
      <w:r>
        <w:fldChar w:fldCharType="end"/>
      </w:r>
    </w:p>
    <w:p>
      <w:pPr>
        <w:pStyle w:val="TOC8"/>
        <w:rPr>
          <w:rFonts w:asciiTheme="minorHAnsi" w:eastAsiaTheme="minorEastAsia" w:hAnsiTheme="minorHAnsi" w:cstheme="minorBidi"/>
          <w:szCs w:val="22"/>
        </w:rPr>
      </w:pPr>
      <w:r>
        <w:t>37.</w:t>
      </w:r>
      <w:r>
        <w:tab/>
        <w:t>Garden supply: Mulataga</w:t>
      </w:r>
      <w:r>
        <w:tab/>
      </w:r>
      <w:r>
        <w:fldChar w:fldCharType="begin"/>
      </w:r>
      <w:r>
        <w:instrText xml:space="preserve"> PAGEREF _Toc455404192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consumption charges</w:t>
      </w:r>
    </w:p>
    <w:p>
      <w:pPr>
        <w:pStyle w:val="TOC8"/>
        <w:rPr>
          <w:rFonts w:asciiTheme="minorHAnsi" w:eastAsiaTheme="minorEastAsia" w:hAnsiTheme="minorHAnsi" w:cstheme="minorBidi"/>
          <w:szCs w:val="22"/>
        </w:rPr>
      </w:pPr>
      <w:r>
        <w:t>38.</w:t>
      </w:r>
      <w:r>
        <w:tab/>
        <w:t>Local government standpipes</w:t>
      </w:r>
      <w:r>
        <w:tab/>
      </w:r>
      <w:r>
        <w:fldChar w:fldCharType="begin"/>
      </w:r>
      <w:r>
        <w:instrText xml:space="preserve"> PAGEREF _Toc455404194 \h </w:instrText>
      </w:r>
      <w:r>
        <w:fldChar w:fldCharType="separate"/>
      </w:r>
      <w:r>
        <w:t>75</w:t>
      </w:r>
      <w:r>
        <w:fldChar w:fldCharType="end"/>
      </w:r>
    </w:p>
    <w:p>
      <w:pPr>
        <w:pStyle w:val="TOC8"/>
        <w:rPr>
          <w:rFonts w:asciiTheme="minorHAnsi" w:eastAsiaTheme="minorEastAsia" w:hAnsiTheme="minorHAnsi" w:cstheme="minorBidi"/>
          <w:szCs w:val="22"/>
        </w:rPr>
      </w:pPr>
      <w:r>
        <w:t>39.</w:t>
      </w:r>
      <w:r>
        <w:tab/>
        <w:t>Shipping</w:t>
      </w:r>
      <w:r>
        <w:tab/>
      </w:r>
      <w:r>
        <w:fldChar w:fldCharType="begin"/>
      </w:r>
      <w:r>
        <w:instrText xml:space="preserve"> PAGEREF _Toc455404195 \h </w:instrText>
      </w:r>
      <w:r>
        <w:fldChar w:fldCharType="separate"/>
      </w:r>
      <w:r>
        <w:t>75</w:t>
      </w:r>
      <w:r>
        <w:fldChar w:fldCharType="end"/>
      </w:r>
    </w:p>
    <w:p>
      <w:pPr>
        <w:pStyle w:val="TOC8"/>
        <w:rPr>
          <w:rFonts w:asciiTheme="minorHAnsi" w:eastAsiaTheme="minorEastAsia" w:hAnsiTheme="minorHAnsi" w:cstheme="minorBidi"/>
          <w:szCs w:val="22"/>
        </w:rPr>
      </w:pPr>
      <w:r>
        <w:t>40.</w:t>
      </w:r>
      <w:r>
        <w:tab/>
        <w:t>Stock</w:t>
      </w:r>
      <w:r>
        <w:tab/>
      </w:r>
      <w:r>
        <w:fldChar w:fldCharType="begin"/>
      </w:r>
      <w:r>
        <w:instrText xml:space="preserve"> PAGEREF _Toc455404196 \h </w:instrText>
      </w:r>
      <w:r>
        <w:fldChar w:fldCharType="separate"/>
      </w:r>
      <w:r>
        <w:t>76</w:t>
      </w:r>
      <w:r>
        <w:fldChar w:fldCharType="end"/>
      </w:r>
    </w:p>
    <w:p>
      <w:pPr>
        <w:pStyle w:val="TOC8"/>
        <w:rPr>
          <w:rFonts w:asciiTheme="minorHAnsi" w:eastAsiaTheme="minorEastAsia" w:hAnsiTheme="minorHAnsi" w:cstheme="minorBidi"/>
          <w:szCs w:val="22"/>
        </w:rPr>
      </w:pPr>
      <w:r>
        <w:t>41.</w:t>
      </w:r>
      <w:r>
        <w:tab/>
        <w:t>Hydrant standpipes</w:t>
      </w:r>
      <w:r>
        <w:tab/>
      </w:r>
      <w:r>
        <w:fldChar w:fldCharType="begin"/>
      </w:r>
      <w:r>
        <w:instrText xml:space="preserve"> PAGEREF _Toc455404197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Schedule 4 — Sewerage charges for the Water Corporation</w:t>
      </w:r>
    </w:p>
    <w:p>
      <w:pPr>
        <w:pStyle w:val="TOC4"/>
        <w:tabs>
          <w:tab w:val="right" w:leader="dot" w:pos="7077"/>
        </w:tabs>
        <w:rPr>
          <w:rFonts w:asciiTheme="minorHAnsi" w:eastAsiaTheme="minorEastAsia" w:hAnsiTheme="minorHAnsi" w:cstheme="minorBidi"/>
          <w:b w:val="0"/>
          <w:szCs w:val="22"/>
        </w:rPr>
      </w:pPr>
      <w:r>
        <w:t>Division 1</w:t>
      </w:r>
      <w:r>
        <w:rPr>
          <w:b w:val="0"/>
        </w:rPr>
        <w:t> — </w:t>
      </w:r>
      <w:r>
        <w:t>Service charges</w:t>
      </w:r>
    </w:p>
    <w:p>
      <w:pPr>
        <w:pStyle w:val="TOC8"/>
        <w:rPr>
          <w:rFonts w:asciiTheme="minorHAnsi" w:eastAsiaTheme="minorEastAsia" w:hAnsiTheme="minorHAnsi" w:cstheme="minorBidi"/>
          <w:szCs w:val="22"/>
        </w:rPr>
      </w:pPr>
      <w:r>
        <w:t>1.</w:t>
      </w:r>
      <w:r>
        <w:tab/>
        <w:t>Service charges for 2016/17 year and subsequent years</w:t>
      </w:r>
      <w:r>
        <w:tab/>
      </w:r>
      <w:r>
        <w:fldChar w:fldCharType="begin"/>
      </w:r>
      <w:r>
        <w:instrText xml:space="preserve"> PAGEREF _Toc455404200 \h </w:instrText>
      </w:r>
      <w:r>
        <w:fldChar w:fldCharType="separate"/>
      </w:r>
      <w:r>
        <w:t>77</w:t>
      </w:r>
      <w:r>
        <w:fldChar w:fldCharType="end"/>
      </w:r>
    </w:p>
    <w:p>
      <w:pPr>
        <w:pStyle w:val="TOC8"/>
        <w:rPr>
          <w:rFonts w:asciiTheme="minorHAnsi" w:eastAsiaTheme="minorEastAsia" w:hAnsiTheme="minorHAnsi" w:cstheme="minorBidi"/>
          <w:szCs w:val="22"/>
        </w:rPr>
      </w:pPr>
      <w:r>
        <w:t>2.</w:t>
      </w:r>
      <w:r>
        <w:tab/>
        <w:t>Metropolitan residential</w:t>
      </w:r>
      <w:r>
        <w:tab/>
      </w:r>
      <w:r>
        <w:fldChar w:fldCharType="begin"/>
      </w:r>
      <w:r>
        <w:instrText xml:space="preserve"> PAGEREF _Toc455404201 \h </w:instrText>
      </w:r>
      <w:r>
        <w:fldChar w:fldCharType="separate"/>
      </w:r>
      <w:r>
        <w:t>77</w:t>
      </w:r>
      <w:r>
        <w:fldChar w:fldCharType="end"/>
      </w:r>
    </w:p>
    <w:p>
      <w:pPr>
        <w:pStyle w:val="TOC8"/>
        <w:rPr>
          <w:rFonts w:asciiTheme="minorHAnsi" w:eastAsiaTheme="minorEastAsia" w:hAnsiTheme="minorHAnsi" w:cstheme="minorBidi"/>
          <w:szCs w:val="22"/>
        </w:rPr>
      </w:pPr>
      <w:r>
        <w:t>3.</w:t>
      </w:r>
      <w:r>
        <w:tab/>
        <w:t>Metropolitan vacant land</w:t>
      </w:r>
      <w:r>
        <w:tab/>
      </w:r>
      <w:r>
        <w:fldChar w:fldCharType="begin"/>
      </w:r>
      <w:r>
        <w:instrText xml:space="preserve"> PAGEREF _Toc455404202 \h </w:instrText>
      </w:r>
      <w:r>
        <w:fldChar w:fldCharType="separate"/>
      </w:r>
      <w:r>
        <w:t>77</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_Toc455404203 \h </w:instrText>
      </w:r>
      <w:r>
        <w:fldChar w:fldCharType="separate"/>
      </w:r>
      <w:r>
        <w:t>78</w:t>
      </w:r>
      <w:r>
        <w:fldChar w:fldCharType="end"/>
      </w:r>
    </w:p>
    <w:p>
      <w:pPr>
        <w:pStyle w:val="TOC8"/>
        <w:rPr>
          <w:rFonts w:asciiTheme="minorHAnsi" w:eastAsiaTheme="minorEastAsia" w:hAnsiTheme="minorHAnsi" w:cstheme="minorBidi"/>
          <w:szCs w:val="22"/>
        </w:rPr>
      </w:pPr>
      <w:r>
        <w:t>5.</w:t>
      </w:r>
      <w:r>
        <w:tab/>
        <w:t>Strata</w:t>
      </w:r>
      <w:r>
        <w:noBreakHyphen/>
        <w:t>titled caravan bay</w:t>
      </w:r>
      <w:r>
        <w:tab/>
      </w:r>
      <w:r>
        <w:fldChar w:fldCharType="begin"/>
      </w:r>
      <w:r>
        <w:instrText xml:space="preserve"> PAGEREF _Toc455404204 \h </w:instrText>
      </w:r>
      <w:r>
        <w:fldChar w:fldCharType="separate"/>
      </w:r>
      <w:r>
        <w:t>78</w:t>
      </w:r>
      <w:r>
        <w:fldChar w:fldCharType="end"/>
      </w:r>
    </w:p>
    <w:p>
      <w:pPr>
        <w:pStyle w:val="TOC8"/>
        <w:rPr>
          <w:rFonts w:asciiTheme="minorHAnsi" w:eastAsiaTheme="minorEastAsia" w:hAnsiTheme="minorHAnsi" w:cstheme="minorBidi"/>
          <w:szCs w:val="22"/>
        </w:rPr>
      </w:pPr>
      <w:r>
        <w:t>6.</w:t>
      </w:r>
      <w:r>
        <w:tab/>
        <w:t>Strata</w:t>
      </w:r>
      <w:r>
        <w:noBreakHyphen/>
        <w:t>titled storage unit or strata</w:t>
      </w:r>
      <w:r>
        <w:noBreakHyphen/>
        <w:t>titled parking bay</w:t>
      </w:r>
      <w:r>
        <w:tab/>
      </w:r>
      <w:r>
        <w:fldChar w:fldCharType="begin"/>
      </w:r>
      <w:r>
        <w:instrText xml:space="preserve"> PAGEREF _Toc455404205 \h </w:instrText>
      </w:r>
      <w:r>
        <w:fldChar w:fldCharType="separate"/>
      </w:r>
      <w:r>
        <w:t>78</w:t>
      </w:r>
      <w:r>
        <w:fldChar w:fldCharType="end"/>
      </w:r>
    </w:p>
    <w:p>
      <w:pPr>
        <w:pStyle w:val="TOC8"/>
        <w:rPr>
          <w:rFonts w:asciiTheme="minorHAnsi" w:eastAsiaTheme="minorEastAsia" w:hAnsiTheme="minorHAnsi" w:cstheme="minorBidi"/>
          <w:szCs w:val="22"/>
        </w:rPr>
      </w:pPr>
      <w:r>
        <w:t>7.</w:t>
      </w:r>
      <w:r>
        <w:tab/>
        <w:t>Land from which trade waste is discharged into sewer</w:t>
      </w:r>
      <w:r>
        <w:tab/>
      </w:r>
      <w:r>
        <w:fldChar w:fldCharType="begin"/>
      </w:r>
      <w:r>
        <w:instrText xml:space="preserve"> PAGEREF _Toc455404206 \h </w:instrText>
      </w:r>
      <w:r>
        <w:fldChar w:fldCharType="separate"/>
      </w:r>
      <w:r>
        <w:t>78</w:t>
      </w:r>
      <w:r>
        <w:fldChar w:fldCharType="end"/>
      </w:r>
    </w:p>
    <w:p>
      <w:pPr>
        <w:pStyle w:val="TOC8"/>
        <w:rPr>
          <w:rFonts w:asciiTheme="minorHAnsi" w:eastAsiaTheme="minorEastAsia" w:hAnsiTheme="minorHAnsi" w:cstheme="minorBidi"/>
          <w:szCs w:val="22"/>
        </w:rPr>
      </w:pPr>
      <w:r>
        <w:t>8.</w:t>
      </w:r>
      <w:r>
        <w:tab/>
        <w:t>Land from which trade waste is discharged into sewer through grease arrestor</w:t>
      </w:r>
      <w:r>
        <w:tab/>
      </w:r>
      <w:r>
        <w:fldChar w:fldCharType="begin"/>
      </w:r>
      <w:r>
        <w:instrText xml:space="preserve"> PAGEREF _Toc455404207 \h </w:instrText>
      </w:r>
      <w:r>
        <w:fldChar w:fldCharType="separate"/>
      </w:r>
      <w:r>
        <w:t>79</w:t>
      </w:r>
      <w:r>
        <w:fldChar w:fldCharType="end"/>
      </w:r>
    </w:p>
    <w:p>
      <w:pPr>
        <w:pStyle w:val="TOC8"/>
        <w:rPr>
          <w:rFonts w:asciiTheme="minorHAnsi" w:eastAsiaTheme="minorEastAsia" w:hAnsiTheme="minorHAnsi" w:cstheme="minorBidi"/>
          <w:szCs w:val="22"/>
        </w:rPr>
      </w:pPr>
      <w:r>
        <w:t>9.</w:t>
      </w:r>
      <w:r>
        <w:tab/>
        <w:t>Trade waste discharged from open area</w:t>
      </w:r>
      <w:r>
        <w:tab/>
      </w:r>
      <w:r>
        <w:fldChar w:fldCharType="begin"/>
      </w:r>
      <w:r>
        <w:instrText xml:space="preserve"> PAGEREF _Toc455404208 \h </w:instrText>
      </w:r>
      <w:r>
        <w:fldChar w:fldCharType="separate"/>
      </w:r>
      <w:r>
        <w:t>79</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_Toc455404209 \h </w:instrText>
      </w:r>
      <w:r>
        <w:fldChar w:fldCharType="separate"/>
      </w:r>
      <w:r>
        <w:t>80</w:t>
      </w:r>
      <w:r>
        <w:fldChar w:fldCharType="end"/>
      </w:r>
    </w:p>
    <w:p>
      <w:pPr>
        <w:pStyle w:val="TOC8"/>
        <w:rPr>
          <w:rFonts w:asciiTheme="minorHAnsi" w:eastAsiaTheme="minorEastAsia" w:hAnsiTheme="minorHAnsi" w:cstheme="minorBidi"/>
          <w:szCs w:val="22"/>
        </w:rPr>
      </w:pPr>
      <w:r>
        <w:t>11.</w:t>
      </w:r>
      <w:r>
        <w:tab/>
        <w:t>Non</w:t>
      </w:r>
      <w:r>
        <w:noBreakHyphen/>
        <w:t>metropolitan</w:t>
      </w:r>
      <w:r>
        <w:tab/>
      </w:r>
      <w:r>
        <w:fldChar w:fldCharType="begin"/>
      </w:r>
      <w:r>
        <w:instrText xml:space="preserve"> PAGEREF _Toc455404210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Combined charges for certain non</w:t>
      </w:r>
      <w:r>
        <w:noBreakHyphen/>
        <w:t>residential property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12.</w:t>
      </w:r>
      <w:r>
        <w:tab/>
        <w:t>Combined charges for 2016/17 year and subsequent years</w:t>
      </w:r>
      <w:r>
        <w:tab/>
      </w:r>
      <w:r>
        <w:fldChar w:fldCharType="begin"/>
      </w:r>
      <w:r>
        <w:instrText xml:space="preserve"> PAGEREF _Toc455404213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Combined charges: metropolitan</w:t>
      </w:r>
    </w:p>
    <w:p>
      <w:pPr>
        <w:pStyle w:val="TOC8"/>
        <w:rPr>
          <w:rFonts w:asciiTheme="minorHAnsi" w:eastAsiaTheme="minorEastAsia" w:hAnsiTheme="minorHAnsi" w:cstheme="minorBidi"/>
          <w:szCs w:val="22"/>
        </w:rPr>
      </w:pPr>
      <w:r>
        <w:t>13.</w:t>
      </w:r>
      <w:r>
        <w:tab/>
        <w:t>Metropolitan non</w:t>
      </w:r>
      <w:r>
        <w:noBreakHyphen/>
        <w:t>residential</w:t>
      </w:r>
      <w:r>
        <w:tab/>
      </w:r>
      <w:r>
        <w:fldChar w:fldCharType="begin"/>
      </w:r>
      <w:r>
        <w:instrText xml:space="preserve"> PAGEREF _Toc455404215 \h </w:instrText>
      </w:r>
      <w:r>
        <w:fldChar w:fldCharType="separate"/>
      </w:r>
      <w:r>
        <w:t>86</w:t>
      </w:r>
      <w:r>
        <w:fldChar w:fldCharType="end"/>
      </w:r>
    </w:p>
    <w:p>
      <w:pPr>
        <w:pStyle w:val="TOC8"/>
        <w:rPr>
          <w:rFonts w:asciiTheme="minorHAnsi" w:eastAsiaTheme="minorEastAsia" w:hAnsiTheme="minorHAnsi" w:cstheme="minorBidi"/>
          <w:szCs w:val="22"/>
        </w:rPr>
      </w:pPr>
      <w:r>
        <w:t>14.</w:t>
      </w:r>
      <w:r>
        <w:tab/>
        <w:t>Metropolitan government trading organisation and non</w:t>
      </w:r>
      <w:r>
        <w:noBreakHyphen/>
        <w:t>commercial government property</w:t>
      </w:r>
      <w:r>
        <w:tab/>
      </w:r>
      <w:r>
        <w:fldChar w:fldCharType="begin"/>
      </w:r>
      <w:r>
        <w:instrText xml:space="preserve"> PAGEREF _Toc455404216 \h </w:instrText>
      </w:r>
      <w:r>
        <w:fldChar w:fldCharType="separate"/>
      </w:r>
      <w:r>
        <w:t>88</w:t>
      </w:r>
      <w:r>
        <w:fldChar w:fldCharType="end"/>
      </w:r>
    </w:p>
    <w:p>
      <w:pPr>
        <w:pStyle w:val="TOC8"/>
        <w:rPr>
          <w:rFonts w:asciiTheme="minorHAnsi" w:eastAsiaTheme="minorEastAsia" w:hAnsiTheme="minorHAnsi" w:cstheme="minorBidi"/>
          <w:szCs w:val="22"/>
        </w:rPr>
      </w:pPr>
      <w:r>
        <w:t>15.</w:t>
      </w:r>
      <w:r>
        <w:tab/>
        <w:t>Metropolitan non</w:t>
      </w:r>
      <w:r>
        <w:noBreakHyphen/>
        <w:t>strata titled caravan park with long</w:t>
      </w:r>
      <w:r>
        <w:noBreakHyphen/>
        <w:t>term residential caravan bays</w:t>
      </w:r>
      <w:r>
        <w:tab/>
      </w:r>
      <w:r>
        <w:fldChar w:fldCharType="begin"/>
      </w:r>
      <w:r>
        <w:instrText xml:space="preserve"> PAGEREF _Toc455404217 \h </w:instrText>
      </w:r>
      <w:r>
        <w:fldChar w:fldCharType="separate"/>
      </w:r>
      <w:r>
        <w:t>88</w:t>
      </w:r>
      <w:r>
        <w:fldChar w:fldCharType="end"/>
      </w:r>
    </w:p>
    <w:p>
      <w:pPr>
        <w:pStyle w:val="TOC8"/>
        <w:rPr>
          <w:rFonts w:asciiTheme="minorHAnsi" w:eastAsiaTheme="minorEastAsia" w:hAnsiTheme="minorHAnsi" w:cstheme="minorBidi"/>
          <w:szCs w:val="22"/>
        </w:rPr>
      </w:pPr>
      <w:r>
        <w:t>16.</w:t>
      </w:r>
      <w:r>
        <w:tab/>
        <w:t>Metropolitan nursing home</w:t>
      </w:r>
      <w:r>
        <w:tab/>
      </w:r>
      <w:r>
        <w:fldChar w:fldCharType="begin"/>
      </w:r>
      <w:r>
        <w:instrText xml:space="preserve"> PAGEREF _Toc455404218 \h </w:instrText>
      </w:r>
      <w:r>
        <w:fldChar w:fldCharType="separate"/>
      </w:r>
      <w:r>
        <w:t>89</w:t>
      </w:r>
      <w:r>
        <w:fldChar w:fldCharType="end"/>
      </w:r>
    </w:p>
    <w:p>
      <w:pPr>
        <w:pStyle w:val="TOC8"/>
        <w:rPr>
          <w:rFonts w:asciiTheme="minorHAnsi" w:eastAsiaTheme="minorEastAsia" w:hAnsiTheme="minorHAnsi" w:cstheme="minorBidi"/>
          <w:szCs w:val="22"/>
        </w:rPr>
      </w:pPr>
      <w:r>
        <w:t>17.</w:t>
      </w:r>
      <w:r>
        <w:tab/>
        <w:t>Certain metropolitan strata</w:t>
      </w:r>
      <w:r>
        <w:noBreakHyphen/>
        <w:t>titled units</w:t>
      </w:r>
      <w:r>
        <w:tab/>
      </w:r>
      <w:r>
        <w:fldChar w:fldCharType="begin"/>
      </w:r>
      <w:r>
        <w:instrText xml:space="preserve"> PAGEREF _Toc455404219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Calculation of certain factors for the purposes of Subdivision 2</w:t>
      </w:r>
    </w:p>
    <w:p>
      <w:pPr>
        <w:pStyle w:val="TOC8"/>
        <w:rPr>
          <w:rFonts w:asciiTheme="minorHAnsi" w:eastAsiaTheme="minorEastAsia" w:hAnsiTheme="minorHAnsi" w:cstheme="minorBidi"/>
          <w:szCs w:val="22"/>
        </w:rPr>
      </w:pPr>
      <w:r>
        <w:t>18.</w:t>
      </w:r>
      <w:r>
        <w:tab/>
        <w:t>Service charge</w:t>
      </w:r>
      <w:r>
        <w:tab/>
      </w:r>
      <w:r>
        <w:fldChar w:fldCharType="begin"/>
      </w:r>
      <w:r>
        <w:instrText xml:space="preserve"> PAGEREF _Toc455404221 \h </w:instrText>
      </w:r>
      <w:r>
        <w:fldChar w:fldCharType="separate"/>
      </w:r>
      <w:r>
        <w:t>91</w:t>
      </w:r>
      <w:r>
        <w:fldChar w:fldCharType="end"/>
      </w:r>
    </w:p>
    <w:p>
      <w:pPr>
        <w:pStyle w:val="TOC8"/>
        <w:rPr>
          <w:rFonts w:asciiTheme="minorHAnsi" w:eastAsiaTheme="minorEastAsia" w:hAnsiTheme="minorHAnsi" w:cstheme="minorBidi"/>
          <w:szCs w:val="22"/>
        </w:rPr>
      </w:pPr>
      <w:r>
        <w:t>19.</w:t>
      </w:r>
      <w:r>
        <w:tab/>
        <w:t>Discharge charge</w:t>
      </w:r>
      <w:r>
        <w:tab/>
      </w:r>
      <w:r>
        <w:fldChar w:fldCharType="begin"/>
      </w:r>
      <w:r>
        <w:instrText xml:space="preserve"> PAGEREF _Toc455404222 \h </w:instrText>
      </w:r>
      <w:r>
        <w:fldChar w:fldCharType="separate"/>
      </w:r>
      <w:r>
        <w:t>92</w:t>
      </w:r>
      <w:r>
        <w:fldChar w:fldCharType="end"/>
      </w:r>
    </w:p>
    <w:p>
      <w:pPr>
        <w:pStyle w:val="TOC8"/>
        <w:rPr>
          <w:rFonts w:asciiTheme="minorHAnsi" w:eastAsiaTheme="minorEastAsia" w:hAnsiTheme="minorHAnsi" w:cstheme="minorBidi"/>
          <w:szCs w:val="22"/>
        </w:rPr>
      </w:pPr>
      <w:r>
        <w:t>20.</w:t>
      </w:r>
      <w:r>
        <w:tab/>
        <w:t>Discharge allowance</w:t>
      </w:r>
      <w:r>
        <w:tab/>
      </w:r>
      <w:r>
        <w:fldChar w:fldCharType="begin"/>
      </w:r>
      <w:r>
        <w:instrText xml:space="preserve"> PAGEREF _Toc455404223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Combined charges: non</w:t>
      </w:r>
      <w:r>
        <w:noBreakHyphen/>
        <w:t>metropolitan</w:t>
      </w:r>
    </w:p>
    <w:p>
      <w:pPr>
        <w:pStyle w:val="TOC8"/>
        <w:rPr>
          <w:rFonts w:asciiTheme="minorHAnsi" w:eastAsiaTheme="minorEastAsia" w:hAnsiTheme="minorHAnsi" w:cstheme="minorBidi"/>
          <w:szCs w:val="22"/>
        </w:rPr>
      </w:pPr>
      <w:r>
        <w:t>21.</w:t>
      </w:r>
      <w:r>
        <w:tab/>
        <w:t>Non</w:t>
      </w:r>
      <w:r>
        <w:noBreakHyphen/>
        <w:t>metropolitan non</w:t>
      </w:r>
      <w:r>
        <w:noBreakHyphen/>
        <w:t>residential</w:t>
      </w:r>
      <w:r>
        <w:tab/>
      </w:r>
      <w:r>
        <w:fldChar w:fldCharType="begin"/>
      </w:r>
      <w:r>
        <w:instrText xml:space="preserve"> PAGEREF _Toc455404225 \h </w:instrText>
      </w:r>
      <w:r>
        <w:fldChar w:fldCharType="separate"/>
      </w:r>
      <w:r>
        <w:t>93</w:t>
      </w:r>
      <w:r>
        <w:fldChar w:fldCharType="end"/>
      </w:r>
    </w:p>
    <w:p>
      <w:pPr>
        <w:pStyle w:val="TOC8"/>
        <w:rPr>
          <w:rFonts w:asciiTheme="minorHAnsi" w:eastAsiaTheme="minorEastAsia" w:hAnsiTheme="minorHAnsi" w:cstheme="minorBidi"/>
          <w:szCs w:val="22"/>
        </w:rPr>
      </w:pPr>
      <w:r>
        <w:t>22.</w:t>
      </w:r>
      <w:r>
        <w:tab/>
        <w:t>Non</w:t>
      </w:r>
      <w:r>
        <w:noBreakHyphen/>
        <w:t>metropolitan non</w:t>
      </w:r>
      <w:r>
        <w:noBreakHyphen/>
        <w:t>strata titled caravan park with long</w:t>
      </w:r>
      <w:r>
        <w:noBreakHyphen/>
        <w:t>term residential caravan bays</w:t>
      </w:r>
      <w:r>
        <w:tab/>
      </w:r>
      <w:r>
        <w:fldChar w:fldCharType="begin"/>
      </w:r>
      <w:r>
        <w:instrText xml:space="preserve"> PAGEREF _Toc455404226 \h </w:instrText>
      </w:r>
      <w:r>
        <w:fldChar w:fldCharType="separate"/>
      </w:r>
      <w:r>
        <w:t>94</w:t>
      </w:r>
      <w:r>
        <w:fldChar w:fldCharType="end"/>
      </w:r>
    </w:p>
    <w:p>
      <w:pPr>
        <w:pStyle w:val="TOC8"/>
        <w:rPr>
          <w:rFonts w:asciiTheme="minorHAnsi" w:eastAsiaTheme="minorEastAsia" w:hAnsiTheme="minorHAnsi" w:cstheme="minorBidi"/>
          <w:szCs w:val="22"/>
        </w:rPr>
      </w:pPr>
      <w:r>
        <w:t>23.</w:t>
      </w:r>
      <w:r>
        <w:tab/>
        <w:t>Non</w:t>
      </w:r>
      <w:r>
        <w:noBreakHyphen/>
        <w:t>metropolitan nursing home</w:t>
      </w:r>
      <w:r>
        <w:tab/>
      </w:r>
      <w:r>
        <w:fldChar w:fldCharType="begin"/>
      </w:r>
      <w:r>
        <w:instrText xml:space="preserve"> PAGEREF _Toc455404227 \h </w:instrText>
      </w:r>
      <w:r>
        <w:fldChar w:fldCharType="separate"/>
      </w:r>
      <w:r>
        <w:t>95</w:t>
      </w:r>
      <w:r>
        <w:fldChar w:fldCharType="end"/>
      </w:r>
    </w:p>
    <w:p>
      <w:pPr>
        <w:pStyle w:val="TOC8"/>
        <w:rPr>
          <w:rFonts w:asciiTheme="minorHAnsi" w:eastAsiaTheme="minorEastAsia" w:hAnsiTheme="minorHAnsi" w:cstheme="minorBidi"/>
          <w:szCs w:val="22"/>
        </w:rPr>
      </w:pPr>
      <w:r>
        <w:t>24.</w:t>
      </w:r>
      <w:r>
        <w:tab/>
        <w:t>Certain non</w:t>
      </w:r>
      <w:r>
        <w:noBreakHyphen/>
        <w:t>metropolitan strata</w:t>
      </w:r>
      <w:r>
        <w:noBreakHyphen/>
        <w:t>titled units</w:t>
      </w:r>
      <w:r>
        <w:tab/>
      </w:r>
      <w:r>
        <w:fldChar w:fldCharType="begin"/>
      </w:r>
      <w:r>
        <w:instrText xml:space="preserve"> PAGEREF _Toc455404228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Calculation of certain factors for the purposes of Subdivision 4</w:t>
      </w:r>
    </w:p>
    <w:p>
      <w:pPr>
        <w:pStyle w:val="TOC8"/>
        <w:rPr>
          <w:rFonts w:asciiTheme="minorHAnsi" w:eastAsiaTheme="minorEastAsia" w:hAnsiTheme="minorHAnsi" w:cstheme="minorBidi"/>
          <w:szCs w:val="22"/>
        </w:rPr>
      </w:pPr>
      <w:r>
        <w:t>25.</w:t>
      </w:r>
      <w:r>
        <w:tab/>
        <w:t>Service charge</w:t>
      </w:r>
      <w:r>
        <w:tab/>
      </w:r>
      <w:r>
        <w:fldChar w:fldCharType="begin"/>
      </w:r>
      <w:r>
        <w:instrText xml:space="preserve"> PAGEREF _Toc455404230 \h </w:instrText>
      </w:r>
      <w:r>
        <w:fldChar w:fldCharType="separate"/>
      </w:r>
      <w:r>
        <w:t>96</w:t>
      </w:r>
      <w:r>
        <w:fldChar w:fldCharType="end"/>
      </w:r>
    </w:p>
    <w:p>
      <w:pPr>
        <w:pStyle w:val="TOC8"/>
        <w:rPr>
          <w:rFonts w:asciiTheme="minorHAnsi" w:eastAsiaTheme="minorEastAsia" w:hAnsiTheme="minorHAnsi" w:cstheme="minorBidi"/>
          <w:szCs w:val="22"/>
        </w:rPr>
      </w:pPr>
      <w:r>
        <w:t>26.</w:t>
      </w:r>
      <w:r>
        <w:tab/>
        <w:t>Discharge charge</w:t>
      </w:r>
      <w:r>
        <w:tab/>
      </w:r>
      <w:r>
        <w:fldChar w:fldCharType="begin"/>
      </w:r>
      <w:r>
        <w:instrText xml:space="preserve"> PAGEREF _Toc455404231 \h </w:instrText>
      </w:r>
      <w:r>
        <w:fldChar w:fldCharType="separate"/>
      </w:r>
      <w:r>
        <w:t>97</w:t>
      </w:r>
      <w:r>
        <w:fldChar w:fldCharType="end"/>
      </w:r>
    </w:p>
    <w:p>
      <w:pPr>
        <w:pStyle w:val="TOC8"/>
        <w:rPr>
          <w:rFonts w:asciiTheme="minorHAnsi" w:eastAsiaTheme="minorEastAsia" w:hAnsiTheme="minorHAnsi" w:cstheme="minorBidi"/>
          <w:szCs w:val="22"/>
        </w:rPr>
      </w:pPr>
      <w:r>
        <w:t>27.</w:t>
      </w:r>
      <w:r>
        <w:tab/>
        <w:t>Discharge allowance</w:t>
      </w:r>
      <w:r>
        <w:tab/>
      </w:r>
      <w:r>
        <w:fldChar w:fldCharType="begin"/>
      </w:r>
      <w:r>
        <w:instrText xml:space="preserve"> PAGEREF _Toc455404232 \h </w:instrText>
      </w:r>
      <w:r>
        <w:fldChar w:fldCharType="separate"/>
      </w:r>
      <w:r>
        <w:t>98</w:t>
      </w:r>
      <w:r>
        <w:fldChar w:fldCharType="end"/>
      </w:r>
    </w:p>
    <w:p>
      <w:pPr>
        <w:pStyle w:val="TOC8"/>
        <w:rPr>
          <w:rFonts w:asciiTheme="minorHAnsi" w:eastAsiaTheme="minorEastAsia" w:hAnsiTheme="minorHAnsi" w:cstheme="minorBidi"/>
          <w:szCs w:val="22"/>
        </w:rPr>
      </w:pPr>
      <w:r>
        <w:t>28.</w:t>
      </w:r>
      <w:r>
        <w:tab/>
        <w:t>Maximum charge</w:t>
      </w:r>
      <w:r>
        <w:tab/>
      </w:r>
      <w:r>
        <w:fldChar w:fldCharType="begin"/>
      </w:r>
      <w:r>
        <w:instrText xml:space="preserve"> PAGEREF _Toc455404233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Discharge charges: trade waste and effluent</w:t>
      </w:r>
    </w:p>
    <w:p>
      <w:pPr>
        <w:pStyle w:val="TOC8"/>
        <w:rPr>
          <w:rFonts w:asciiTheme="minorHAnsi" w:eastAsiaTheme="minorEastAsia" w:hAnsiTheme="minorHAnsi" w:cstheme="minorBidi"/>
          <w:szCs w:val="22"/>
        </w:rPr>
      </w:pPr>
      <w:r>
        <w:t>29.</w:t>
      </w:r>
      <w:r>
        <w:tab/>
        <w:t>Discharge charges for 2016/17 year and subsequent years</w:t>
      </w:r>
      <w:r>
        <w:tab/>
      </w:r>
      <w:r>
        <w:fldChar w:fldCharType="begin"/>
      </w:r>
      <w:r>
        <w:instrText xml:space="preserve"> PAGEREF _Toc455404235 \h </w:instrText>
      </w:r>
      <w:r>
        <w:fldChar w:fldCharType="separate"/>
      </w:r>
      <w:r>
        <w:t>99</w:t>
      </w:r>
      <w:r>
        <w:fldChar w:fldCharType="end"/>
      </w:r>
    </w:p>
    <w:p>
      <w:pPr>
        <w:pStyle w:val="TOC8"/>
        <w:rPr>
          <w:rFonts w:asciiTheme="minorHAnsi" w:eastAsiaTheme="minorEastAsia" w:hAnsiTheme="minorHAnsi" w:cstheme="minorBidi"/>
          <w:szCs w:val="22"/>
        </w:rPr>
      </w:pPr>
      <w:r>
        <w:t>30.</w:t>
      </w:r>
      <w:r>
        <w:tab/>
        <w:t>Trade waste discharged into sewer under approval</w:t>
      </w:r>
      <w:r>
        <w:tab/>
      </w:r>
      <w:r>
        <w:fldChar w:fldCharType="begin"/>
      </w:r>
      <w:r>
        <w:instrText xml:space="preserve"> PAGEREF _Toc455404236 \h </w:instrText>
      </w:r>
      <w:r>
        <w:fldChar w:fldCharType="separate"/>
      </w:r>
      <w:r>
        <w:t>99</w:t>
      </w:r>
      <w:r>
        <w:fldChar w:fldCharType="end"/>
      </w:r>
    </w:p>
    <w:p>
      <w:pPr>
        <w:pStyle w:val="TOC8"/>
        <w:rPr>
          <w:rFonts w:asciiTheme="minorHAnsi" w:eastAsiaTheme="minorEastAsia" w:hAnsiTheme="minorHAnsi" w:cstheme="minorBidi"/>
          <w:szCs w:val="22"/>
        </w:rPr>
      </w:pPr>
      <w:r>
        <w:t>31.</w:t>
      </w:r>
      <w:r>
        <w:tab/>
        <w:t>Effluent discharged from septic tank effluent pumping system into sewer</w:t>
      </w:r>
      <w:r>
        <w:tab/>
      </w:r>
      <w:r>
        <w:fldChar w:fldCharType="begin"/>
      </w:r>
      <w:r>
        <w:instrText xml:space="preserve"> PAGEREF _Toc455404237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Schedule 5 — Drainage charges for the Water Corporation</w:t>
      </w:r>
    </w:p>
    <w:p>
      <w:pPr>
        <w:pStyle w:val="TOC8"/>
        <w:rPr>
          <w:rFonts w:asciiTheme="minorHAnsi" w:eastAsiaTheme="minorEastAsia" w:hAnsiTheme="minorHAnsi" w:cstheme="minorBidi"/>
          <w:szCs w:val="22"/>
        </w:rPr>
      </w:pPr>
      <w:r>
        <w:t>1.</w:t>
      </w:r>
      <w:r>
        <w:tab/>
        <w:t>Drainage charges for 2016/17 year and subsequent years</w:t>
      </w:r>
      <w:r>
        <w:tab/>
      </w:r>
      <w:r>
        <w:fldChar w:fldCharType="begin"/>
      </w:r>
      <w:r>
        <w:instrText xml:space="preserve"> PAGEREF _Toc455404239 \h </w:instrText>
      </w:r>
      <w:r>
        <w:fldChar w:fldCharType="separate"/>
      </w:r>
      <w:r>
        <w:t>104</w:t>
      </w:r>
      <w:r>
        <w:fldChar w:fldCharType="end"/>
      </w:r>
    </w:p>
    <w:p>
      <w:pPr>
        <w:pStyle w:val="TOC8"/>
        <w:rPr>
          <w:rFonts w:asciiTheme="minorHAnsi" w:eastAsiaTheme="minorEastAsia" w:hAnsiTheme="minorHAnsi" w:cstheme="minorBidi"/>
          <w:szCs w:val="22"/>
        </w:rPr>
      </w:pPr>
      <w:r>
        <w:t>2.</w:t>
      </w:r>
      <w:r>
        <w:tab/>
        <w:t>Strata</w:t>
      </w:r>
      <w:r>
        <w:noBreakHyphen/>
        <w:t>titled caravan bays</w:t>
      </w:r>
      <w:r>
        <w:tab/>
      </w:r>
      <w:r>
        <w:fldChar w:fldCharType="begin"/>
      </w:r>
      <w:r>
        <w:instrText xml:space="preserve"> PAGEREF _Toc455404240 \h </w:instrText>
      </w:r>
      <w:r>
        <w:fldChar w:fldCharType="separate"/>
      </w:r>
      <w:r>
        <w:t>104</w:t>
      </w:r>
      <w:r>
        <w:fldChar w:fldCharType="end"/>
      </w:r>
    </w:p>
    <w:p>
      <w:pPr>
        <w:pStyle w:val="TOC8"/>
        <w:rPr>
          <w:rFonts w:asciiTheme="minorHAnsi" w:eastAsiaTheme="minorEastAsia" w:hAnsiTheme="minorHAnsi" w:cstheme="minorBidi"/>
          <w:szCs w:val="22"/>
        </w:rPr>
      </w:pPr>
      <w:r>
        <w:t>3.</w:t>
      </w:r>
      <w:r>
        <w:tab/>
        <w:t>Strata</w:t>
      </w:r>
      <w:r>
        <w:noBreakHyphen/>
        <w:t>titled storage unit or strata</w:t>
      </w:r>
      <w:r>
        <w:noBreakHyphen/>
        <w:t>titled parking bay</w:t>
      </w:r>
      <w:r>
        <w:tab/>
      </w:r>
      <w:r>
        <w:fldChar w:fldCharType="begin"/>
      </w:r>
      <w:r>
        <w:instrText xml:space="preserve"> PAGEREF _Toc455404241 \h </w:instrText>
      </w:r>
      <w:r>
        <w:fldChar w:fldCharType="separate"/>
      </w:r>
      <w:r>
        <w:t>104</w:t>
      </w:r>
      <w:r>
        <w:fldChar w:fldCharType="end"/>
      </w:r>
    </w:p>
    <w:p>
      <w:pPr>
        <w:pStyle w:val="TOC8"/>
        <w:rPr>
          <w:rFonts w:asciiTheme="minorHAnsi" w:eastAsiaTheme="minorEastAsia" w:hAnsiTheme="minorHAnsi" w:cstheme="minorBidi"/>
          <w:szCs w:val="22"/>
        </w:rPr>
      </w:pPr>
      <w:r>
        <w:t>4.</w:t>
      </w:r>
      <w:r>
        <w:tab/>
        <w:t>Residential or semi</w:t>
      </w:r>
      <w:r>
        <w:noBreakHyphen/>
        <w:t>rural residential</w:t>
      </w:r>
      <w:r>
        <w:tab/>
      </w:r>
      <w:r>
        <w:fldChar w:fldCharType="begin"/>
      </w:r>
      <w:r>
        <w:instrText xml:space="preserve"> PAGEREF _Toc455404242 \h </w:instrText>
      </w:r>
      <w:r>
        <w:fldChar w:fldCharType="separate"/>
      </w:r>
      <w:r>
        <w:t>104</w:t>
      </w:r>
      <w:r>
        <w:fldChar w:fldCharType="end"/>
      </w:r>
    </w:p>
    <w:p>
      <w:pPr>
        <w:pStyle w:val="TOC8"/>
        <w:rPr>
          <w:rFonts w:asciiTheme="minorHAnsi" w:eastAsiaTheme="minorEastAsia" w:hAnsiTheme="minorHAnsi" w:cstheme="minorBidi"/>
          <w:szCs w:val="22"/>
        </w:rPr>
      </w:pPr>
      <w:r>
        <w:t>5.</w:t>
      </w:r>
      <w:r>
        <w:tab/>
        <w:t>Vacant land</w:t>
      </w:r>
      <w:r>
        <w:tab/>
      </w:r>
      <w:r>
        <w:fldChar w:fldCharType="begin"/>
      </w:r>
      <w:r>
        <w:instrText xml:space="preserve"> PAGEREF _Toc455404243 \h </w:instrText>
      </w:r>
      <w:r>
        <w:fldChar w:fldCharType="separate"/>
      </w:r>
      <w:r>
        <w:t>104</w:t>
      </w:r>
      <w:r>
        <w:fldChar w:fldCharType="end"/>
      </w:r>
    </w:p>
    <w:p>
      <w:pPr>
        <w:pStyle w:val="TOC8"/>
        <w:rPr>
          <w:rFonts w:asciiTheme="minorHAnsi" w:eastAsiaTheme="minorEastAsia" w:hAnsiTheme="minorHAnsi" w:cstheme="minorBidi"/>
          <w:szCs w:val="22"/>
        </w:rPr>
      </w:pPr>
      <w:r>
        <w:t>6.</w:t>
      </w:r>
      <w:r>
        <w:tab/>
        <w:t>Non</w:t>
      </w:r>
      <w:r>
        <w:noBreakHyphen/>
        <w:t>residential (except certain strata</w:t>
      </w:r>
      <w:r>
        <w:noBreakHyphen/>
        <w:t>titled units)</w:t>
      </w:r>
      <w:r>
        <w:tab/>
      </w:r>
      <w:r>
        <w:fldChar w:fldCharType="begin"/>
      </w:r>
      <w:r>
        <w:instrText xml:space="preserve"> PAGEREF _Toc455404244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Schedule 6 — Irrigation charges for the Water Corporation (Ord Irrigation District)</w:t>
      </w:r>
    </w:p>
    <w:p>
      <w:pPr>
        <w:pStyle w:val="TOC8"/>
        <w:rPr>
          <w:rFonts w:asciiTheme="minorHAnsi" w:eastAsiaTheme="minorEastAsia" w:hAnsiTheme="minorHAnsi" w:cstheme="minorBidi"/>
          <w:szCs w:val="22"/>
        </w:rPr>
      </w:pPr>
      <w:r>
        <w:t>1.</w:t>
      </w:r>
      <w:r>
        <w:tab/>
        <w:t>Irrigation charges for 2016/17 year and subsequent years</w:t>
      </w:r>
      <w:r>
        <w:tab/>
      </w:r>
      <w:r>
        <w:fldChar w:fldCharType="begin"/>
      </w:r>
      <w:r>
        <w:instrText xml:space="preserve"> PAGEREF _Toc455404246 \h </w:instrText>
      </w:r>
      <w:r>
        <w:fldChar w:fldCharType="separate"/>
      </w:r>
      <w:r>
        <w:t>106</w:t>
      </w:r>
      <w:r>
        <w:fldChar w:fldCharType="end"/>
      </w:r>
    </w:p>
    <w:p>
      <w:pPr>
        <w:pStyle w:val="TOC8"/>
        <w:rPr>
          <w:rFonts w:asciiTheme="minorHAnsi" w:eastAsiaTheme="minorEastAsia" w:hAnsiTheme="minorHAnsi" w:cstheme="minorBidi"/>
          <w:szCs w:val="22"/>
        </w:rPr>
      </w:pPr>
      <w:r>
        <w:t>2.</w:t>
      </w:r>
      <w:r>
        <w:tab/>
        <w:t>Water supplied for irrigation</w:t>
      </w:r>
      <w:r>
        <w:tab/>
      </w:r>
      <w:r>
        <w:fldChar w:fldCharType="begin"/>
      </w:r>
      <w:r>
        <w:instrText xml:space="preserve"> PAGEREF _Toc455404247 \h </w:instrText>
      </w:r>
      <w:r>
        <w:fldChar w:fldCharType="separate"/>
      </w:r>
      <w:r>
        <w:t>106</w:t>
      </w:r>
      <w:r>
        <w:fldChar w:fldCharType="end"/>
      </w:r>
    </w:p>
    <w:p>
      <w:pPr>
        <w:pStyle w:val="TOC8"/>
        <w:rPr>
          <w:rFonts w:asciiTheme="minorHAnsi" w:eastAsiaTheme="minorEastAsia" w:hAnsiTheme="minorHAnsi" w:cstheme="minorBidi"/>
          <w:szCs w:val="22"/>
        </w:rPr>
      </w:pPr>
      <w:r>
        <w:t>3.</w:t>
      </w:r>
      <w:r>
        <w:tab/>
        <w:t>Water supplied for watering stock or dust prevention</w:t>
      </w:r>
      <w:r>
        <w:tab/>
      </w:r>
      <w:r>
        <w:fldChar w:fldCharType="begin"/>
      </w:r>
      <w:r>
        <w:instrText xml:space="preserve"> PAGEREF _Toc455404248 \h </w:instrText>
      </w:r>
      <w:r>
        <w:fldChar w:fldCharType="separate"/>
      </w:r>
      <w:r>
        <w:t>106</w:t>
      </w:r>
      <w:r>
        <w:fldChar w:fldCharType="end"/>
      </w:r>
    </w:p>
    <w:p>
      <w:pPr>
        <w:pStyle w:val="TOC8"/>
        <w:rPr>
          <w:rFonts w:asciiTheme="minorHAnsi" w:eastAsiaTheme="minorEastAsia" w:hAnsiTheme="minorHAnsi" w:cstheme="minorBidi"/>
          <w:szCs w:val="22"/>
        </w:rPr>
      </w:pPr>
      <w:r>
        <w:t>4.</w:t>
      </w:r>
      <w:r>
        <w:tab/>
        <w:t>Water supplied for purposes other than irrigation, watering stock or dust prevention</w:t>
      </w:r>
      <w:r>
        <w:tab/>
      </w:r>
      <w:r>
        <w:fldChar w:fldCharType="begin"/>
      </w:r>
      <w:r>
        <w:instrText xml:space="preserve"> PAGEREF _Toc455404249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Schedule 7 — Miscellaneous charges for the Water Corporation</w:t>
      </w:r>
    </w:p>
    <w:p>
      <w:pPr>
        <w:pStyle w:val="TOC8"/>
        <w:rPr>
          <w:rFonts w:asciiTheme="minorHAnsi" w:eastAsiaTheme="minorEastAsia" w:hAnsiTheme="minorHAnsi" w:cstheme="minorBidi"/>
          <w:szCs w:val="22"/>
        </w:rPr>
      </w:pPr>
      <w:r>
        <w:t>1.</w:t>
      </w:r>
      <w:r>
        <w:tab/>
        <w:t>Meters: multi</w:t>
      </w:r>
      <w:r>
        <w:noBreakHyphen/>
        <w:t>unit developments</w:t>
      </w:r>
      <w:r>
        <w:tab/>
      </w:r>
      <w:r>
        <w:fldChar w:fldCharType="begin"/>
      </w:r>
      <w:r>
        <w:instrText xml:space="preserve"> PAGEREF _Toc455404251 \h </w:instrText>
      </w:r>
      <w:r>
        <w:fldChar w:fldCharType="separate"/>
      </w:r>
      <w:r>
        <w:t>108</w:t>
      </w:r>
      <w:r>
        <w:fldChar w:fldCharType="end"/>
      </w:r>
    </w:p>
    <w:p>
      <w:pPr>
        <w:pStyle w:val="TOC8"/>
        <w:rPr>
          <w:rFonts w:asciiTheme="minorHAnsi" w:eastAsiaTheme="minorEastAsia" w:hAnsiTheme="minorHAnsi" w:cstheme="minorBidi"/>
          <w:szCs w:val="22"/>
        </w:rPr>
      </w:pPr>
      <w:r>
        <w:t>2.</w:t>
      </w:r>
      <w:r>
        <w:tab/>
        <w:t>Assessing meters: multi</w:t>
      </w:r>
      <w:r>
        <w:noBreakHyphen/>
        <w:t>unit developments</w:t>
      </w:r>
      <w:r>
        <w:tab/>
      </w:r>
      <w:r>
        <w:fldChar w:fldCharType="begin"/>
      </w:r>
      <w:r>
        <w:instrText xml:space="preserve"> PAGEREF _Toc455404252 \h </w:instrText>
      </w:r>
      <w:r>
        <w:fldChar w:fldCharType="separate"/>
      </w:r>
      <w:r>
        <w:t>108</w:t>
      </w:r>
      <w:r>
        <w:fldChar w:fldCharType="end"/>
      </w:r>
    </w:p>
    <w:p>
      <w:pPr>
        <w:pStyle w:val="TOC8"/>
        <w:rPr>
          <w:rFonts w:asciiTheme="minorHAnsi" w:eastAsiaTheme="minorEastAsia" w:hAnsiTheme="minorHAnsi" w:cstheme="minorBidi"/>
          <w:szCs w:val="22"/>
        </w:rPr>
      </w:pPr>
      <w:r>
        <w:t>3.</w:t>
      </w:r>
      <w:r>
        <w:tab/>
        <w:t>Testing meters</w:t>
      </w:r>
      <w:r>
        <w:tab/>
      </w:r>
      <w:r>
        <w:fldChar w:fldCharType="begin"/>
      </w:r>
      <w:r>
        <w:instrText xml:space="preserve"> PAGEREF _Toc455404253 \h </w:instrText>
      </w:r>
      <w:r>
        <w:fldChar w:fldCharType="separate"/>
      </w:r>
      <w:r>
        <w:t>108</w:t>
      </w:r>
      <w:r>
        <w:fldChar w:fldCharType="end"/>
      </w:r>
    </w:p>
    <w:p>
      <w:pPr>
        <w:pStyle w:val="TOC8"/>
        <w:rPr>
          <w:rFonts w:asciiTheme="minorHAnsi" w:eastAsiaTheme="minorEastAsia" w:hAnsiTheme="minorHAnsi" w:cstheme="minorBidi"/>
          <w:szCs w:val="22"/>
        </w:rPr>
      </w:pPr>
      <w:r>
        <w:t>4.</w:t>
      </w:r>
      <w:r>
        <w:tab/>
        <w:t>Installing water supply connection</w:t>
      </w:r>
      <w:r>
        <w:tab/>
      </w:r>
      <w:r>
        <w:fldChar w:fldCharType="begin"/>
      </w:r>
      <w:r>
        <w:instrText xml:space="preserve"> PAGEREF _Toc455404254 \h </w:instrText>
      </w:r>
      <w:r>
        <w:fldChar w:fldCharType="separate"/>
      </w:r>
      <w:r>
        <w:t>108</w:t>
      </w:r>
      <w:r>
        <w:fldChar w:fldCharType="end"/>
      </w:r>
    </w:p>
    <w:p>
      <w:pPr>
        <w:pStyle w:val="TOC8"/>
        <w:rPr>
          <w:rFonts w:asciiTheme="minorHAnsi" w:eastAsiaTheme="minorEastAsia" w:hAnsiTheme="minorHAnsi" w:cstheme="minorBidi"/>
          <w:szCs w:val="22"/>
        </w:rPr>
      </w:pPr>
      <w:r>
        <w:t>5.</w:t>
      </w:r>
      <w:r>
        <w:tab/>
        <w:t>Activating water supply connection</w:t>
      </w:r>
      <w:r>
        <w:tab/>
      </w:r>
      <w:r>
        <w:fldChar w:fldCharType="begin"/>
      </w:r>
      <w:r>
        <w:instrText xml:space="preserve"> PAGEREF _Toc455404255 \h </w:instrText>
      </w:r>
      <w:r>
        <w:fldChar w:fldCharType="separate"/>
      </w:r>
      <w:r>
        <w:t>109</w:t>
      </w:r>
      <w:r>
        <w:fldChar w:fldCharType="end"/>
      </w:r>
    </w:p>
    <w:p>
      <w:pPr>
        <w:pStyle w:val="TOC8"/>
        <w:rPr>
          <w:rFonts w:asciiTheme="minorHAnsi" w:eastAsiaTheme="minorEastAsia" w:hAnsiTheme="minorHAnsi" w:cstheme="minorBidi"/>
          <w:szCs w:val="22"/>
        </w:rPr>
      </w:pPr>
      <w:r>
        <w:t>6.</w:t>
      </w:r>
      <w:r>
        <w:tab/>
        <w:t>Disconnecting water supply connection</w:t>
      </w:r>
      <w:r>
        <w:tab/>
      </w:r>
      <w:r>
        <w:fldChar w:fldCharType="begin"/>
      </w:r>
      <w:r>
        <w:instrText xml:space="preserve"> PAGEREF _Toc455404256 \h </w:instrText>
      </w:r>
      <w:r>
        <w:fldChar w:fldCharType="separate"/>
      </w:r>
      <w:r>
        <w:t>109</w:t>
      </w:r>
      <w:r>
        <w:fldChar w:fldCharType="end"/>
      </w:r>
    </w:p>
    <w:p>
      <w:pPr>
        <w:pStyle w:val="TOC8"/>
        <w:rPr>
          <w:rFonts w:asciiTheme="minorHAnsi" w:eastAsiaTheme="minorEastAsia" w:hAnsiTheme="minorHAnsi" w:cstheme="minorBidi"/>
          <w:szCs w:val="22"/>
        </w:rPr>
      </w:pPr>
      <w:r>
        <w:t>7.</w:t>
      </w:r>
      <w:r>
        <w:tab/>
        <w:t>Reconnecting water supply connection</w:t>
      </w:r>
      <w:r>
        <w:tab/>
      </w:r>
      <w:r>
        <w:fldChar w:fldCharType="begin"/>
      </w:r>
      <w:r>
        <w:instrText xml:space="preserve"> PAGEREF _Toc455404257 \h </w:instrText>
      </w:r>
      <w:r>
        <w:fldChar w:fldCharType="separate"/>
      </w:r>
      <w:r>
        <w:t>110</w:t>
      </w:r>
      <w:r>
        <w:fldChar w:fldCharType="end"/>
      </w:r>
    </w:p>
    <w:p>
      <w:pPr>
        <w:pStyle w:val="TOC8"/>
        <w:rPr>
          <w:rFonts w:asciiTheme="minorHAnsi" w:eastAsiaTheme="minorEastAsia" w:hAnsiTheme="minorHAnsi" w:cstheme="minorBidi"/>
          <w:szCs w:val="22"/>
        </w:rPr>
      </w:pPr>
      <w:r>
        <w:t>8.</w:t>
      </w:r>
      <w:r>
        <w:tab/>
        <w:t>Relocating water supply connection</w:t>
      </w:r>
      <w:r>
        <w:tab/>
      </w:r>
      <w:r>
        <w:fldChar w:fldCharType="begin"/>
      </w:r>
      <w:r>
        <w:instrText xml:space="preserve"> PAGEREF _Toc455404258 \h </w:instrText>
      </w:r>
      <w:r>
        <w:fldChar w:fldCharType="separate"/>
      </w:r>
      <w:r>
        <w:t>110</w:t>
      </w:r>
      <w:r>
        <w:fldChar w:fldCharType="end"/>
      </w:r>
    </w:p>
    <w:p>
      <w:pPr>
        <w:pStyle w:val="TOC8"/>
        <w:rPr>
          <w:rFonts w:asciiTheme="minorHAnsi" w:eastAsiaTheme="minorEastAsia" w:hAnsiTheme="minorHAnsi" w:cstheme="minorBidi"/>
          <w:szCs w:val="22"/>
        </w:rPr>
      </w:pPr>
      <w:r>
        <w:t>9.</w:t>
      </w:r>
      <w:r>
        <w:tab/>
        <w:t>Proposal to connect to sewer</w:t>
      </w:r>
      <w:r>
        <w:tab/>
      </w:r>
      <w:r>
        <w:fldChar w:fldCharType="begin"/>
      </w:r>
      <w:r>
        <w:instrText xml:space="preserve"> PAGEREF _Toc455404259 \h </w:instrText>
      </w:r>
      <w:r>
        <w:fldChar w:fldCharType="separate"/>
      </w:r>
      <w:r>
        <w:t>111</w:t>
      </w:r>
      <w:r>
        <w:fldChar w:fldCharType="end"/>
      </w:r>
    </w:p>
    <w:p>
      <w:pPr>
        <w:pStyle w:val="TOC8"/>
        <w:rPr>
          <w:rFonts w:asciiTheme="minorHAnsi" w:eastAsiaTheme="minorEastAsia" w:hAnsiTheme="minorHAnsi" w:cstheme="minorBidi"/>
          <w:szCs w:val="22"/>
        </w:rPr>
      </w:pPr>
      <w:r>
        <w:t>10.</w:t>
      </w:r>
      <w:r>
        <w:tab/>
        <w:t>Installing sewer junction</w:t>
      </w:r>
      <w:r>
        <w:tab/>
      </w:r>
      <w:r>
        <w:fldChar w:fldCharType="begin"/>
      </w:r>
      <w:r>
        <w:instrText xml:space="preserve"> PAGEREF _Toc455404260 \h </w:instrText>
      </w:r>
      <w:r>
        <w:fldChar w:fldCharType="separate"/>
      </w:r>
      <w:r>
        <w:t>111</w:t>
      </w:r>
      <w:r>
        <w:fldChar w:fldCharType="end"/>
      </w:r>
    </w:p>
    <w:p>
      <w:pPr>
        <w:pStyle w:val="TOC8"/>
        <w:rPr>
          <w:rFonts w:asciiTheme="minorHAnsi" w:eastAsiaTheme="minorEastAsia" w:hAnsiTheme="minorHAnsi" w:cstheme="minorBidi"/>
          <w:szCs w:val="22"/>
        </w:rPr>
      </w:pPr>
      <w:r>
        <w:t>11.</w:t>
      </w:r>
      <w:r>
        <w:tab/>
        <w:t>Hire of standpipe for fire hydrant</w:t>
      </w:r>
      <w:r>
        <w:tab/>
      </w:r>
      <w:r>
        <w:fldChar w:fldCharType="begin"/>
      </w:r>
      <w:r>
        <w:instrText xml:space="preserve"> PAGEREF _Toc455404261 \h </w:instrText>
      </w:r>
      <w:r>
        <w:fldChar w:fldCharType="separate"/>
      </w:r>
      <w:r>
        <w:t>111</w:t>
      </w:r>
      <w:r>
        <w:fldChar w:fldCharType="end"/>
      </w:r>
    </w:p>
    <w:p>
      <w:pPr>
        <w:pStyle w:val="TOC8"/>
        <w:rPr>
          <w:rFonts w:asciiTheme="minorHAnsi" w:eastAsiaTheme="minorEastAsia" w:hAnsiTheme="minorHAnsi" w:cstheme="minorBidi"/>
          <w:szCs w:val="22"/>
        </w:rPr>
      </w:pPr>
      <w:r>
        <w:t>12.</w:t>
      </w:r>
      <w:r>
        <w:tab/>
        <w:t>Trade waste: routine services</w:t>
      </w:r>
      <w:r>
        <w:tab/>
      </w:r>
      <w:r>
        <w:fldChar w:fldCharType="begin"/>
      </w:r>
      <w:r>
        <w:instrText xml:space="preserve"> PAGEREF _Toc455404262 \h </w:instrText>
      </w:r>
      <w:r>
        <w:fldChar w:fldCharType="separate"/>
      </w:r>
      <w:r>
        <w:t>112</w:t>
      </w:r>
      <w:r>
        <w:fldChar w:fldCharType="end"/>
      </w:r>
    </w:p>
    <w:p>
      <w:pPr>
        <w:pStyle w:val="TOC8"/>
        <w:rPr>
          <w:rFonts w:asciiTheme="minorHAnsi" w:eastAsiaTheme="minorEastAsia" w:hAnsiTheme="minorHAnsi" w:cstheme="minorBidi"/>
          <w:szCs w:val="22"/>
        </w:rPr>
      </w:pPr>
      <w:r>
        <w:t>13.</w:t>
      </w:r>
      <w:r>
        <w:tab/>
        <w:t>Trade waste: ad hoc services</w:t>
      </w:r>
      <w:r>
        <w:tab/>
      </w:r>
      <w:r>
        <w:fldChar w:fldCharType="begin"/>
      </w:r>
      <w:r>
        <w:instrText xml:space="preserve"> PAGEREF _Toc455404263 \h </w:instrText>
      </w:r>
      <w:r>
        <w:fldChar w:fldCharType="separate"/>
      </w:r>
      <w:r>
        <w:t>112</w:t>
      </w:r>
      <w:r>
        <w:fldChar w:fldCharType="end"/>
      </w:r>
    </w:p>
    <w:p>
      <w:pPr>
        <w:pStyle w:val="TOC8"/>
        <w:rPr>
          <w:rFonts w:asciiTheme="minorHAnsi" w:eastAsiaTheme="minorEastAsia" w:hAnsiTheme="minorHAnsi" w:cstheme="minorBidi"/>
          <w:szCs w:val="22"/>
        </w:rPr>
      </w:pPr>
      <w:r>
        <w:t>14.</w:t>
      </w:r>
      <w:r>
        <w:tab/>
        <w:t>Trade waste: one</w:t>
      </w:r>
      <w:r>
        <w:noBreakHyphen/>
        <w:t>off discharge services</w:t>
      </w:r>
      <w:r>
        <w:tab/>
      </w:r>
      <w:r>
        <w:fldChar w:fldCharType="begin"/>
      </w:r>
      <w:r>
        <w:instrText xml:space="preserve"> PAGEREF _Toc455404264 \h </w:instrText>
      </w:r>
      <w:r>
        <w:fldChar w:fldCharType="separate"/>
      </w:r>
      <w:r>
        <w:t>113</w:t>
      </w:r>
      <w:r>
        <w:fldChar w:fldCharType="end"/>
      </w:r>
    </w:p>
    <w:p>
      <w:pPr>
        <w:pStyle w:val="TOC8"/>
        <w:rPr>
          <w:rFonts w:asciiTheme="minorHAnsi" w:eastAsiaTheme="minorEastAsia" w:hAnsiTheme="minorHAnsi" w:cstheme="minorBidi"/>
          <w:szCs w:val="22"/>
        </w:rPr>
      </w:pPr>
      <w:r>
        <w:t>15.</w:t>
      </w:r>
      <w:r>
        <w:tab/>
        <w:t>Meter reading and other information</w:t>
      </w:r>
      <w:r>
        <w:tab/>
      </w:r>
      <w:r>
        <w:fldChar w:fldCharType="begin"/>
      </w:r>
      <w:r>
        <w:instrText xml:space="preserve"> PAGEREF _Toc455404265 \h </w:instrText>
      </w:r>
      <w:r>
        <w:fldChar w:fldCharType="separate"/>
      </w:r>
      <w:r>
        <w:t>113</w:t>
      </w:r>
      <w:r>
        <w:fldChar w:fldCharType="end"/>
      </w:r>
    </w:p>
    <w:p>
      <w:pPr>
        <w:pStyle w:val="TOC8"/>
        <w:rPr>
          <w:rFonts w:asciiTheme="minorHAnsi" w:eastAsiaTheme="minorEastAsia" w:hAnsiTheme="minorHAnsi" w:cstheme="minorBidi"/>
          <w:szCs w:val="22"/>
        </w:rPr>
      </w:pPr>
      <w:r>
        <w:t>16.</w:t>
      </w:r>
      <w:r>
        <w:tab/>
        <w:t>Plans and diagrams of property sewer connections or sewerage works</w:t>
      </w:r>
      <w:r>
        <w:tab/>
      </w:r>
      <w:r>
        <w:fldChar w:fldCharType="begin"/>
      </w:r>
      <w:r>
        <w:instrText xml:space="preserve"> PAGEREF _Toc455404266 \h </w:instrText>
      </w:r>
      <w:r>
        <w:fldChar w:fldCharType="separate"/>
      </w:r>
      <w:r>
        <w:t>113</w:t>
      </w:r>
      <w:r>
        <w:fldChar w:fldCharType="end"/>
      </w:r>
    </w:p>
    <w:p>
      <w:pPr>
        <w:pStyle w:val="TOC8"/>
        <w:rPr>
          <w:rFonts w:asciiTheme="minorHAnsi" w:eastAsiaTheme="minorEastAsia" w:hAnsiTheme="minorHAnsi" w:cstheme="minorBidi"/>
          <w:szCs w:val="22"/>
        </w:rPr>
      </w:pPr>
      <w:r>
        <w:t>17.</w:t>
      </w:r>
      <w:r>
        <w:tab/>
        <w:t>Copies of records</w:t>
      </w:r>
      <w:r>
        <w:tab/>
      </w:r>
      <w:r>
        <w:fldChar w:fldCharType="begin"/>
      </w:r>
      <w:r>
        <w:instrText xml:space="preserve"> PAGEREF _Toc455404267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Schedule 8 — Government trading organisations</w:t>
      </w:r>
    </w:p>
    <w:p>
      <w:pPr>
        <w:pStyle w:val="TOC2"/>
        <w:tabs>
          <w:tab w:val="right" w:leader="dot" w:pos="7077"/>
        </w:tabs>
        <w:rPr>
          <w:rFonts w:asciiTheme="minorHAnsi" w:eastAsiaTheme="minorEastAsia" w:hAnsiTheme="minorHAnsi" w:cstheme="minorBidi"/>
          <w:b w:val="0"/>
          <w:sz w:val="22"/>
          <w:szCs w:val="22"/>
        </w:rPr>
      </w:pPr>
      <w:r>
        <w:t>Schedule 9 — Central business districts</w:t>
      </w:r>
    </w:p>
    <w:p>
      <w:pPr>
        <w:pStyle w:val="TOC8"/>
        <w:rPr>
          <w:rFonts w:asciiTheme="minorHAnsi" w:eastAsiaTheme="minorEastAsia" w:hAnsiTheme="minorHAnsi" w:cstheme="minorBidi"/>
          <w:szCs w:val="22"/>
        </w:rPr>
      </w:pPr>
      <w:r>
        <w:t>1.</w:t>
      </w:r>
      <w:r>
        <w:tab/>
        <w:t>Central business districts</w:t>
      </w:r>
      <w:r>
        <w:tab/>
      </w:r>
      <w:r>
        <w:fldChar w:fldCharType="begin"/>
      </w:r>
      <w:r>
        <w:instrText xml:space="preserve"> PAGEREF _Toc455404270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Schedule 10 — Class of town or area: current consumption year</w:t>
      </w:r>
    </w:p>
    <w:p>
      <w:pPr>
        <w:pStyle w:val="TOC2"/>
        <w:tabs>
          <w:tab w:val="right" w:leader="dot" w:pos="7077"/>
        </w:tabs>
        <w:rPr>
          <w:rFonts w:asciiTheme="minorHAnsi" w:eastAsiaTheme="minorEastAsia" w:hAnsiTheme="minorHAnsi" w:cstheme="minorBidi"/>
          <w:b w:val="0"/>
          <w:sz w:val="22"/>
          <w:szCs w:val="22"/>
        </w:rPr>
      </w:pPr>
      <w:r>
        <w:t>Schedule 11 — Class of town or area: previous consumption year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_Toc455404274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Water Services Act 2012</w:t>
      </w:r>
    </w:p>
    <w:p>
      <w:pPr>
        <w:pStyle w:val="NameofActReg"/>
      </w:pPr>
      <w:r>
        <w:t>Water Services (Water Corporations Charges) Regulations 2014</w:t>
      </w:r>
    </w:p>
    <w:p>
      <w:pPr>
        <w:pStyle w:val="Heading2"/>
        <w:pageBreakBefore w:val="0"/>
        <w:spacing w:before="240"/>
      </w:pPr>
      <w:bookmarkStart w:id="3" w:name="_Toc455155150"/>
      <w:bookmarkStart w:id="4" w:name="_Toc455404041"/>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55404042"/>
      <w:r>
        <w:rPr>
          <w:rStyle w:val="CharSectno"/>
        </w:rPr>
        <w:t>1</w:t>
      </w:r>
      <w:r>
        <w:t>.</w:t>
      </w:r>
      <w:r>
        <w:tab/>
        <w:t>Citation</w:t>
      </w:r>
      <w:bookmarkEnd w:id="5"/>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Water Services (Water Corporations Charges) Regulations 2014</w:t>
      </w:r>
      <w:r>
        <w:rPr>
          <w:vertAlign w:val="superscript"/>
        </w:rPr>
        <w:t> 1</w:t>
      </w:r>
      <w:r>
        <w:t>.</w:t>
      </w:r>
    </w:p>
    <w:p>
      <w:pPr>
        <w:pStyle w:val="Heading5"/>
        <w:rPr>
          <w:spacing w:val="-2"/>
        </w:rPr>
      </w:pPr>
      <w:bookmarkStart w:id="7" w:name="_Toc455404043"/>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vertAlign w:val="superscript"/>
        </w:rPr>
        <w:t> 1</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8" w:name="_Toc455404044"/>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has the meaning given in the </w:t>
      </w:r>
      <w:r>
        <w:rPr>
          <w:i/>
        </w:rPr>
        <w:t>Rates and Charges (Rebates and Deferments) Act 1992</w:t>
      </w:r>
      <w:r>
        <w:t xml:space="preserve"> section 3(1);</w:t>
      </w:r>
    </w:p>
    <w:p>
      <w:pPr>
        <w:pStyle w:val="Defstart"/>
      </w:pPr>
      <w:r>
        <w:tab/>
      </w:r>
      <w:r>
        <w:rPr>
          <w:rStyle w:val="CharDefText"/>
        </w:rPr>
        <w:t>multi</w:t>
      </w:r>
      <w:r>
        <w:rPr>
          <w:rStyle w:val="CharDefText"/>
        </w:rPr>
        <w:noBreakHyphen/>
        <w:t>unit development</w:t>
      </w:r>
      <w:r>
        <w:t xml:space="preserve"> has the meaning given in the </w:t>
      </w:r>
      <w:r>
        <w:rPr>
          <w:i/>
        </w:rPr>
        <w:t>Water Services Regulations 2013</w:t>
      </w:r>
      <w:r>
        <w:t xml:space="preserve"> regulation 3(1);</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Defstart"/>
      </w:pPr>
      <w:r>
        <w:tab/>
      </w:r>
      <w:r>
        <w:rPr>
          <w:rStyle w:val="CharDefText"/>
        </w:rPr>
        <w:t>water supply connection</w:t>
      </w:r>
      <w:r>
        <w:t xml:space="preserve"> has the meaning given in the </w:t>
      </w:r>
      <w:r>
        <w:rPr>
          <w:i/>
        </w:rPr>
        <w:t>Water Services Regulations 2013</w:t>
      </w:r>
      <w:r>
        <w:t xml:space="preserve"> regulation 3(1).</w:t>
      </w:r>
    </w:p>
    <w:p>
      <w:pPr>
        <w:pStyle w:val="Heading2"/>
      </w:pPr>
      <w:bookmarkStart w:id="9" w:name="_Toc455155154"/>
      <w:bookmarkStart w:id="10" w:name="_Toc455404045"/>
      <w:r>
        <w:rPr>
          <w:rStyle w:val="CharPartNo"/>
        </w:rPr>
        <w:t>Part 2</w:t>
      </w:r>
      <w:r>
        <w:rPr>
          <w:rStyle w:val="CharDivNo"/>
        </w:rPr>
        <w:t> </w:t>
      </w:r>
      <w:r>
        <w:t>—</w:t>
      </w:r>
      <w:r>
        <w:rPr>
          <w:rStyle w:val="CharDivText"/>
        </w:rPr>
        <w:t> </w:t>
      </w:r>
      <w:r>
        <w:rPr>
          <w:rStyle w:val="CharPartText"/>
        </w:rPr>
        <w:t>General provisions</w:t>
      </w:r>
      <w:bookmarkEnd w:id="9"/>
      <w:bookmarkEnd w:id="10"/>
    </w:p>
    <w:p>
      <w:pPr>
        <w:pStyle w:val="Heading5"/>
      </w:pPr>
      <w:bookmarkStart w:id="11" w:name="_Toc455404046"/>
      <w:r>
        <w:rPr>
          <w:rStyle w:val="CharSectno"/>
        </w:rPr>
        <w:t>4</w:t>
      </w:r>
      <w:r>
        <w:t>.</w:t>
      </w:r>
      <w:r>
        <w:tab/>
        <w:t>Annual charges and pro rata annual charges</w:t>
      </w:r>
      <w:bookmarkEnd w:id="11"/>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12" w:name="_Toc455404047"/>
      <w:r>
        <w:rPr>
          <w:rStyle w:val="CharSectno"/>
        </w:rPr>
        <w:t>5</w:t>
      </w:r>
      <w:r>
        <w:t>.</w:t>
      </w:r>
      <w:r>
        <w:tab/>
        <w:t>Amendment of consumption or discharge charges during charge period</w:t>
      </w:r>
      <w:bookmarkEnd w:id="12"/>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13" w:name="_Toc455155157"/>
      <w:bookmarkStart w:id="14" w:name="_Toc455404048"/>
      <w:r>
        <w:rPr>
          <w:rStyle w:val="CharPartNo"/>
        </w:rPr>
        <w:t>Part 3</w:t>
      </w:r>
      <w:r>
        <w:rPr>
          <w:rStyle w:val="CharDivNo"/>
        </w:rPr>
        <w:t> </w:t>
      </w:r>
      <w:r>
        <w:t>—</w:t>
      </w:r>
      <w:r>
        <w:rPr>
          <w:rStyle w:val="CharDivText"/>
        </w:rPr>
        <w:t> </w:t>
      </w:r>
      <w:r>
        <w:rPr>
          <w:rStyle w:val="CharPartText"/>
        </w:rPr>
        <w:t>Charges for Bunbury Water Corporation</w:t>
      </w:r>
      <w:bookmarkEnd w:id="13"/>
      <w:bookmarkEnd w:id="14"/>
    </w:p>
    <w:p>
      <w:pPr>
        <w:pStyle w:val="Heading5"/>
      </w:pPr>
      <w:bookmarkStart w:id="15" w:name="_Toc455404049"/>
      <w:r>
        <w:rPr>
          <w:rStyle w:val="CharSectno"/>
        </w:rPr>
        <w:t>6</w:t>
      </w:r>
      <w:r>
        <w:t>.</w:t>
      </w:r>
      <w:r>
        <w:tab/>
        <w:t>Terms used</w:t>
      </w:r>
      <w:bookmarkEnd w:id="15"/>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16" w:name="_Toc455404050"/>
      <w:r>
        <w:rPr>
          <w:rStyle w:val="CharSectno"/>
        </w:rPr>
        <w:t>7</w:t>
      </w:r>
      <w:r>
        <w:t>.</w:t>
      </w:r>
      <w:r>
        <w:tab/>
        <w:t>Water supply charges</w:t>
      </w:r>
      <w:bookmarkEnd w:id="16"/>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Heading5"/>
      </w:pPr>
      <w:bookmarkStart w:id="17" w:name="_Toc455404051"/>
      <w:r>
        <w:rPr>
          <w:rStyle w:val="CharSectno"/>
        </w:rPr>
        <w:t>8</w:t>
      </w:r>
      <w:r>
        <w:t>.</w:t>
      </w:r>
      <w:r>
        <w:tab/>
        <w:t>Miscellaneous charges</w:t>
      </w:r>
      <w:bookmarkEnd w:id="17"/>
    </w:p>
    <w:p>
      <w:pPr>
        <w:pStyle w:val="Subsection"/>
      </w:pPr>
      <w:r>
        <w:tab/>
        <w:t>(1)</w:t>
      </w:r>
      <w:r>
        <w:tab/>
        <w:t>Schedule 1 Division 3 sets out charges for certain things done, or goods and services provided, by the Bunbury Water Corporation as part of or incidental to the provision of a water service.</w:t>
      </w:r>
    </w:p>
    <w:p>
      <w:pPr>
        <w:pStyle w:val="Subsection"/>
        <w:keepNext/>
      </w:pPr>
      <w:r>
        <w:tab/>
        <w:t>(2)</w:t>
      </w:r>
      <w:r>
        <w:tab/>
        <w:t xml:space="preserve">The Bunbury Water Corporation may — </w:t>
      </w:r>
    </w:p>
    <w:p>
      <w:pPr>
        <w:pStyle w:val="Indenta"/>
      </w:pPr>
      <w:r>
        <w:tab/>
        <w:t>(a)</w:t>
      </w:r>
      <w:r>
        <w:tab/>
        <w:t>require payment of a charge, set out in Schedule 1 Division 3, in advance; and</w:t>
      </w:r>
    </w:p>
    <w:p>
      <w:pPr>
        <w:pStyle w:val="Indenta"/>
      </w:pPr>
      <w:r>
        <w:tab/>
        <w:t>(b)</w:t>
      </w:r>
      <w:r>
        <w:tab/>
        <w:t>reduce or waive a charge in a particular case, or generally, if it considers that to be appropriate.</w:t>
      </w:r>
    </w:p>
    <w:p>
      <w:pPr>
        <w:pStyle w:val="Heading5"/>
      </w:pPr>
      <w:bookmarkStart w:id="18" w:name="_Toc455404052"/>
      <w:r>
        <w:rPr>
          <w:rStyle w:val="CharSectno"/>
        </w:rPr>
        <w:t>9</w:t>
      </w:r>
      <w:r>
        <w:t>.</w:t>
      </w:r>
      <w:r>
        <w:tab/>
        <w:t>Concessions</w:t>
      </w:r>
      <w:bookmarkEnd w:id="18"/>
    </w:p>
    <w:p>
      <w:pPr>
        <w:pStyle w:val="Subsection"/>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19" w:name="_Toc455404053"/>
      <w:r>
        <w:rPr>
          <w:rStyle w:val="CharSectno"/>
        </w:rPr>
        <w:t>10</w:t>
      </w:r>
      <w:r>
        <w:t>.</w:t>
      </w:r>
      <w:r>
        <w:tab/>
        <w:t>Interest accruing on overdue amounts</w:t>
      </w:r>
      <w:bookmarkEnd w:id="19"/>
    </w:p>
    <w:p>
      <w:pPr>
        <w:pStyle w:val="Subsection"/>
      </w:pPr>
      <w:r>
        <w:tab/>
      </w:r>
      <w:r>
        <w:tab/>
        <w:t>If an amount payable under this Part is overdue, interest accrues daily on any part of that amount unpaid after the day on which the amount was due, at the rate of 11.88% per annum.</w:t>
      </w:r>
    </w:p>
    <w:p>
      <w:pPr>
        <w:pStyle w:val="Footnotesection"/>
      </w:pPr>
      <w:r>
        <w:tab/>
        <w:t>[Regulation 10 amended in Gazette 30 Jun 2015 p. 2363; 27 Jun 2016 p. 2538.]</w:t>
      </w:r>
    </w:p>
    <w:p>
      <w:pPr>
        <w:pStyle w:val="Heading2"/>
      </w:pPr>
      <w:bookmarkStart w:id="20" w:name="_Toc455155163"/>
      <w:bookmarkStart w:id="21" w:name="_Toc455404054"/>
      <w:r>
        <w:rPr>
          <w:rStyle w:val="CharPartNo"/>
        </w:rPr>
        <w:t>Part 4</w:t>
      </w:r>
      <w:r>
        <w:rPr>
          <w:rStyle w:val="CharDivNo"/>
        </w:rPr>
        <w:t> </w:t>
      </w:r>
      <w:r>
        <w:t>—</w:t>
      </w:r>
      <w:r>
        <w:rPr>
          <w:rStyle w:val="CharDivText"/>
        </w:rPr>
        <w:t> </w:t>
      </w:r>
      <w:r>
        <w:rPr>
          <w:rStyle w:val="CharPartText"/>
        </w:rPr>
        <w:t>Charges for Busselton Water Corporation</w:t>
      </w:r>
      <w:bookmarkEnd w:id="20"/>
      <w:bookmarkEnd w:id="21"/>
    </w:p>
    <w:p>
      <w:pPr>
        <w:pStyle w:val="Heading5"/>
      </w:pPr>
      <w:bookmarkStart w:id="22" w:name="_Toc455404055"/>
      <w:r>
        <w:rPr>
          <w:rStyle w:val="CharSectno"/>
        </w:rPr>
        <w:t>11</w:t>
      </w:r>
      <w:r>
        <w:t>.</w:t>
      </w:r>
      <w:r>
        <w:tab/>
        <w:t>Terms used</w:t>
      </w:r>
      <w:bookmarkEnd w:id="22"/>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fire service connection</w:t>
      </w:r>
      <w:r>
        <w:t xml:space="preserve"> means a water supply connection provided exclusively for the purposes of fighting fires;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23" w:name="_Toc455404056"/>
      <w:r>
        <w:rPr>
          <w:rStyle w:val="CharSectno"/>
        </w:rPr>
        <w:t>12</w:t>
      </w:r>
      <w:r>
        <w:t>.</w:t>
      </w:r>
      <w:r>
        <w:tab/>
        <w:t>Water supply charges</w:t>
      </w:r>
      <w:bookmarkEnd w:id="23"/>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in Gazette 30 Jun 2015 p. 2363.]</w:t>
      </w:r>
    </w:p>
    <w:p>
      <w:pPr>
        <w:pStyle w:val="Heading5"/>
      </w:pPr>
      <w:bookmarkStart w:id="24" w:name="_Toc455404057"/>
      <w:r>
        <w:rPr>
          <w:rStyle w:val="CharSectno"/>
        </w:rPr>
        <w:t>14</w:t>
      </w:r>
      <w:r>
        <w:t>.</w:t>
      </w:r>
      <w:r>
        <w:tab/>
        <w:t>Concessions</w:t>
      </w:r>
      <w:bookmarkEnd w:id="24"/>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25" w:name="_Toc455404058"/>
      <w:r>
        <w:rPr>
          <w:rStyle w:val="CharSectno"/>
        </w:rPr>
        <w:t>15A</w:t>
      </w:r>
      <w:r>
        <w:t>.</w:t>
      </w:r>
      <w:r>
        <w:tab/>
        <w:t>Charge for payment using credit card</w:t>
      </w:r>
      <w:bookmarkEnd w:id="25"/>
    </w:p>
    <w:p>
      <w:pPr>
        <w:pStyle w:val="Subsection"/>
      </w:pPr>
      <w:r>
        <w:tab/>
        <w:t>(1)</w:t>
      </w:r>
      <w:r>
        <w:tab/>
        <w:t>An invoice for a water service charge, or a portion of a water service charge, may include an additional charge for payments made using a credit card.</w:t>
      </w:r>
    </w:p>
    <w:p>
      <w:pPr>
        <w:pStyle w:val="Subsection"/>
      </w:pPr>
      <w:r>
        <w:tab/>
        <w:t>(2)</w:t>
      </w:r>
      <w:r>
        <w:tab/>
        <w:t xml:space="preserve">The additional charge — </w:t>
      </w:r>
    </w:p>
    <w:p>
      <w:pPr>
        <w:pStyle w:val="Indenta"/>
      </w:pPr>
      <w:r>
        <w:tab/>
        <w:t>(a)</w:t>
      </w:r>
      <w:r>
        <w:tab/>
        <w:t>is payable if the amount in the invoice is paid, in whole or in part, using a credit card; and</w:t>
      </w:r>
    </w:p>
    <w:p>
      <w:pPr>
        <w:pStyle w:val="Indenta"/>
      </w:pPr>
      <w:r>
        <w:tab/>
        <w:t>(b)</w:t>
      </w:r>
      <w:r>
        <w:tab/>
        <w:t>cannot exceed 0.481% of the amount paid.</w:t>
      </w:r>
    </w:p>
    <w:p>
      <w:pPr>
        <w:pStyle w:val="Footnotesection"/>
      </w:pPr>
      <w:r>
        <w:tab/>
        <w:t>[Regulation 15A inserted in Gazette 30 Jun 2015 p. 2364.]</w:t>
      </w:r>
    </w:p>
    <w:p>
      <w:pPr>
        <w:pStyle w:val="Heading5"/>
      </w:pPr>
      <w:bookmarkStart w:id="26" w:name="_Toc455404059"/>
      <w:r>
        <w:rPr>
          <w:rStyle w:val="CharSectno"/>
        </w:rPr>
        <w:t>15</w:t>
      </w:r>
      <w:r>
        <w:t>.</w:t>
      </w:r>
      <w:r>
        <w:tab/>
        <w:t>Interest accruing on overdue amounts</w:t>
      </w:r>
      <w:bookmarkEnd w:id="26"/>
    </w:p>
    <w:p>
      <w:pPr>
        <w:pStyle w:val="Subsection"/>
      </w:pPr>
      <w:r>
        <w:tab/>
      </w:r>
      <w:r>
        <w:tab/>
        <w:t>If an amount payable under this Part is overdue, interest accrues daily on any part of that amount unpaid after the day on which the amount was due, at the rate of 11.88% per annum.</w:t>
      </w:r>
    </w:p>
    <w:p>
      <w:pPr>
        <w:pStyle w:val="Footnotesection"/>
      </w:pPr>
      <w:r>
        <w:tab/>
        <w:t>[Regulation 15 amended in Gazette 27 Jun 2016 p. 2538.]</w:t>
      </w:r>
    </w:p>
    <w:p>
      <w:pPr>
        <w:pStyle w:val="Heading2"/>
      </w:pPr>
      <w:bookmarkStart w:id="27" w:name="_Toc455155169"/>
      <w:bookmarkStart w:id="28" w:name="_Toc455404060"/>
      <w:r>
        <w:rPr>
          <w:rStyle w:val="CharPartNo"/>
        </w:rPr>
        <w:t>Part 5</w:t>
      </w:r>
      <w:r>
        <w:t> — </w:t>
      </w:r>
      <w:r>
        <w:rPr>
          <w:rStyle w:val="CharPartText"/>
        </w:rPr>
        <w:t>Charges for the Water Corporation</w:t>
      </w:r>
      <w:bookmarkEnd w:id="27"/>
      <w:bookmarkEnd w:id="28"/>
    </w:p>
    <w:p>
      <w:pPr>
        <w:pStyle w:val="Heading3"/>
        <w:rPr>
          <w:rStyle w:val="CharDivText"/>
        </w:rPr>
      </w:pPr>
      <w:bookmarkStart w:id="29" w:name="_Toc455155170"/>
      <w:bookmarkStart w:id="30" w:name="_Toc455404061"/>
      <w:r>
        <w:rPr>
          <w:rStyle w:val="CharDivNo"/>
        </w:rPr>
        <w:t>Division 1</w:t>
      </w:r>
      <w:r>
        <w:t> — </w:t>
      </w:r>
      <w:r>
        <w:rPr>
          <w:rStyle w:val="CharDivText"/>
        </w:rPr>
        <w:t>Preliminary</w:t>
      </w:r>
      <w:bookmarkEnd w:id="29"/>
      <w:bookmarkEnd w:id="30"/>
    </w:p>
    <w:p>
      <w:pPr>
        <w:pStyle w:val="Heading5"/>
      </w:pPr>
      <w:bookmarkStart w:id="31" w:name="_Toc455404062"/>
      <w:r>
        <w:rPr>
          <w:rStyle w:val="CharSectno"/>
        </w:rPr>
        <w:t>16</w:t>
      </w:r>
      <w:r>
        <w:t>.</w:t>
      </w:r>
      <w:r>
        <w:tab/>
        <w:t>Terms used</w:t>
      </w:r>
      <w:bookmarkEnd w:id="31"/>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farmland</w:t>
      </w:r>
      <w:r>
        <w:t xml:space="preserve"> has the meaning given in the </w:t>
      </w:r>
      <w:r>
        <w:rPr>
          <w:i/>
        </w:rPr>
        <w:t>Water Services Regulations 2013</w:t>
      </w:r>
      <w:r>
        <w:t xml:space="preserve"> regulation 3(1);</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pPr>
      <w:r>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has the meaning given in the </w:t>
      </w:r>
      <w:r>
        <w:rPr>
          <w:i/>
        </w:rPr>
        <w:t>Strata Titles Act 1985</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metropolitan area</w:t>
      </w:r>
      <w:r>
        <w:t xml:space="preserve"> has the meaning given in the </w:t>
      </w:r>
      <w:r>
        <w:rPr>
          <w:i/>
        </w:rPr>
        <w:t>Water Services Regulations 2013</w:t>
      </w:r>
      <w:r>
        <w:t xml:space="preserve"> regulation 3(1);</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 junction</w:t>
      </w:r>
      <w:r>
        <w:t xml:space="preserve"> has the meaning given in the </w:t>
      </w:r>
      <w:r>
        <w:rPr>
          <w:i/>
        </w:rPr>
        <w:t>Water Services Regulations 2013</w:t>
      </w:r>
      <w:r>
        <w:t xml:space="preserve"> regulation 3(1);</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Heading5"/>
      </w:pPr>
      <w:bookmarkStart w:id="32" w:name="_Toc455404063"/>
      <w:r>
        <w:rPr>
          <w:rStyle w:val="CharSectno"/>
        </w:rPr>
        <w:t>17</w:t>
      </w:r>
      <w:r>
        <w:t>.</w:t>
      </w:r>
      <w:r>
        <w:tab/>
        <w:t>Concessional land</w:t>
      </w:r>
      <w:bookmarkEnd w:id="32"/>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33" w:name="_Toc455155173"/>
      <w:bookmarkStart w:id="34" w:name="_Toc455404064"/>
      <w:r>
        <w:rPr>
          <w:rStyle w:val="CharDivNo"/>
        </w:rPr>
        <w:t>Division 2</w:t>
      </w:r>
      <w:r>
        <w:t> — </w:t>
      </w:r>
      <w:r>
        <w:rPr>
          <w:rStyle w:val="CharDivText"/>
        </w:rPr>
        <w:t>Provisions of general application</w:t>
      </w:r>
      <w:bookmarkEnd w:id="33"/>
      <w:bookmarkEnd w:id="34"/>
    </w:p>
    <w:p>
      <w:pPr>
        <w:pStyle w:val="Heading5"/>
      </w:pPr>
      <w:bookmarkStart w:id="35" w:name="_Toc455404065"/>
      <w:r>
        <w:rPr>
          <w:rStyle w:val="CharSectno"/>
        </w:rPr>
        <w:t>18</w:t>
      </w:r>
      <w:r>
        <w:t>.</w:t>
      </w:r>
      <w:r>
        <w:tab/>
        <w:t>Application of this Division</w:t>
      </w:r>
      <w:bookmarkEnd w:id="35"/>
    </w:p>
    <w:p>
      <w:pPr>
        <w:pStyle w:val="Subsection"/>
      </w:pPr>
      <w:r>
        <w:tab/>
      </w:r>
      <w:r>
        <w:tab/>
        <w:t>This Division applies to water service charges applicable under Divisions 3, 4, 5 and 6.</w:t>
      </w:r>
    </w:p>
    <w:p>
      <w:pPr>
        <w:pStyle w:val="Heading5"/>
      </w:pPr>
      <w:bookmarkStart w:id="36" w:name="_Toc455404066"/>
      <w:r>
        <w:rPr>
          <w:rStyle w:val="CharSectno"/>
        </w:rPr>
        <w:t>19</w:t>
      </w:r>
      <w:r>
        <w:t>.</w:t>
      </w:r>
      <w:r>
        <w:tab/>
        <w:t>Payment of charges</w:t>
      </w:r>
      <w:bookmarkEnd w:id="36"/>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37" w:name="_Toc455404067"/>
      <w:r>
        <w:rPr>
          <w:rStyle w:val="CharSectno"/>
        </w:rPr>
        <w:t>20</w:t>
      </w:r>
      <w:r>
        <w:t>.</w:t>
      </w:r>
      <w:r>
        <w:tab/>
        <w:t>Charge for payment using credit card</w:t>
      </w:r>
      <w:bookmarkEnd w:id="37"/>
    </w:p>
    <w:p>
      <w:pPr>
        <w:pStyle w:val="Subsection"/>
      </w:pPr>
      <w:r>
        <w:tab/>
        <w:t>(1)</w:t>
      </w:r>
      <w:r>
        <w:tab/>
        <w:t>An invoice for a water service charge, or a portion of a water service charge, may include an additional charge for payments made using a credit card.</w:t>
      </w:r>
    </w:p>
    <w:p>
      <w:pPr>
        <w:pStyle w:val="Subsection"/>
      </w:pPr>
      <w:r>
        <w:tab/>
        <w:t>(2)</w:t>
      </w:r>
      <w:r>
        <w:tab/>
        <w:t xml:space="preserve">The additional charge — </w:t>
      </w:r>
    </w:p>
    <w:p>
      <w:pPr>
        <w:pStyle w:val="Indenta"/>
      </w:pPr>
      <w:r>
        <w:tab/>
        <w:t>(a)</w:t>
      </w:r>
      <w:r>
        <w:tab/>
        <w:t>is payable if the amount in the invoice is paid, in whole or in part, using a credit card; and</w:t>
      </w:r>
    </w:p>
    <w:p>
      <w:pPr>
        <w:pStyle w:val="Indenta"/>
      </w:pPr>
      <w:r>
        <w:tab/>
        <w:t>(b)</w:t>
      </w:r>
      <w:r>
        <w:tab/>
        <w:t>cannot exceed 0.48% of the amount paid.</w:t>
      </w:r>
    </w:p>
    <w:p>
      <w:pPr>
        <w:pStyle w:val="Footnotesection"/>
      </w:pPr>
      <w:r>
        <w:tab/>
        <w:t>[Regulation 20 amended in Gazette 27 Jun 2016 p. 2538.]</w:t>
      </w:r>
    </w:p>
    <w:p>
      <w:pPr>
        <w:pStyle w:val="Heading5"/>
      </w:pPr>
      <w:bookmarkStart w:id="38" w:name="_Toc455404068"/>
      <w:r>
        <w:rPr>
          <w:rStyle w:val="CharSectno"/>
        </w:rPr>
        <w:t>21</w:t>
      </w:r>
      <w:r>
        <w:t>.</w:t>
      </w:r>
      <w:r>
        <w:tab/>
        <w:t>Special payment arrangements</w:t>
      </w:r>
      <w:bookmarkEnd w:id="38"/>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39" w:name="_Toc455404069"/>
      <w:r>
        <w:rPr>
          <w:rStyle w:val="CharSectno"/>
        </w:rPr>
        <w:t>22</w:t>
      </w:r>
      <w:r>
        <w:t>.</w:t>
      </w:r>
      <w:r>
        <w:tab/>
        <w:t>Estimating quantity of water or wastewater supplied, discharged or drained</w:t>
      </w:r>
      <w:bookmarkEnd w:id="39"/>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40" w:name="_Toc455404070"/>
      <w:r>
        <w:rPr>
          <w:rStyle w:val="CharSectno"/>
        </w:rPr>
        <w:t>23</w:t>
      </w:r>
      <w:r>
        <w:t>.</w:t>
      </w:r>
      <w:r>
        <w:tab/>
        <w:t>Determining quality and quantity of trade waste discharged</w:t>
      </w:r>
      <w:bookmarkEnd w:id="40"/>
    </w:p>
    <w:p>
      <w:pPr>
        <w:pStyle w:val="Subsection"/>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41" w:name="_Toc455404071"/>
      <w:r>
        <w:rPr>
          <w:rStyle w:val="CharSectno"/>
        </w:rPr>
        <w:t>24</w:t>
      </w:r>
      <w:r>
        <w:t>.</w:t>
      </w:r>
      <w:r>
        <w:tab/>
        <w:t>Vacant land: minimum charges before revaluation</w:t>
      </w:r>
      <w:bookmarkEnd w:id="41"/>
    </w:p>
    <w:p>
      <w:pPr>
        <w:pStyle w:val="Subsection"/>
      </w:pPr>
      <w:r>
        <w:tab/>
        <w:t>(1)</w:t>
      </w:r>
      <w:r>
        <w:tab/>
        <w:t xml:space="preserve">If — </w:t>
      </w:r>
    </w:p>
    <w:p>
      <w:pPr>
        <w:pStyle w:val="Indenta"/>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42" w:name="_Toc455404072"/>
      <w:r>
        <w:rPr>
          <w:rStyle w:val="CharSectno"/>
        </w:rPr>
        <w:t>25</w:t>
      </w:r>
      <w:r>
        <w:t>.</w:t>
      </w:r>
      <w:r>
        <w:tab/>
        <w:t>Classification of land</w:t>
      </w:r>
      <w:bookmarkEnd w:id="42"/>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3</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43" w:name="_Toc455404073"/>
      <w:r>
        <w:rPr>
          <w:rStyle w:val="CharSectno"/>
        </w:rPr>
        <w:t>26</w:t>
      </w:r>
      <w:r>
        <w:t>.</w:t>
      </w:r>
      <w:r>
        <w:tab/>
        <w:t>Classification of land: holiday accommodation</w:t>
      </w:r>
      <w:bookmarkEnd w:id="43"/>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44" w:name="_Toc455404074"/>
      <w:r>
        <w:rPr>
          <w:rStyle w:val="CharSectno"/>
        </w:rPr>
        <w:t>27</w:t>
      </w:r>
      <w:r>
        <w:t>.</w:t>
      </w:r>
      <w:r>
        <w:tab/>
        <w:t>Commercial caravan parks</w:t>
      </w:r>
      <w:bookmarkEnd w:id="44"/>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2.25pt">
            <v:imagedata r:id="rId22" o:title=""/>
          </v:shape>
        </w:pict>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45" w:name="_Toc455404075"/>
      <w:r>
        <w:rPr>
          <w:rStyle w:val="CharSectno"/>
        </w:rPr>
        <w:t>28</w:t>
      </w:r>
      <w:r>
        <w:t>.</w:t>
      </w:r>
      <w:r>
        <w:tab/>
        <w:t>Maximum increases for various GRV based charges</w:t>
      </w:r>
      <w:bookmarkEnd w:id="45"/>
    </w:p>
    <w:p>
      <w:pPr>
        <w:pStyle w:val="Subsection"/>
      </w:pPr>
      <w:r>
        <w:tab/>
        <w:t>(1)</w:t>
      </w:r>
      <w:r>
        <w:tab/>
        <w:t>If, for a financial year, a water service charge calculated in respect of land under Schedule 4 item 2, 3 or 11 or Schedule 5 item 6 is more than 11.1% greater than the charge payable in respect of the land for the same service under the same circumstances in the previous financial year, the charge payable for the financial year cannot be more than 11.1%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in Gazette 30 Jun 2015 p. 2364; 27 Jun 2016 p. 2538.]</w:t>
      </w:r>
    </w:p>
    <w:p>
      <w:pPr>
        <w:pStyle w:val="Heading5"/>
      </w:pPr>
      <w:bookmarkStart w:id="46" w:name="_Toc455404076"/>
      <w:r>
        <w:rPr>
          <w:rStyle w:val="CharSectno"/>
        </w:rPr>
        <w:t>29</w:t>
      </w:r>
      <w:r>
        <w:t>.</w:t>
      </w:r>
      <w:r>
        <w:tab/>
        <w:t>Interest accruing on overdue amounts</w:t>
      </w:r>
      <w:bookmarkEnd w:id="46"/>
    </w:p>
    <w:p>
      <w:pPr>
        <w:pStyle w:val="Subsection"/>
      </w:pPr>
      <w:r>
        <w:tab/>
      </w:r>
      <w:r>
        <w:tab/>
        <w:t>If an amount payable under this Part is overdue, interest accrues daily on any part of that amount unpaid after the day on which the amount was due, at the rate of 11.88% per annum.</w:t>
      </w:r>
    </w:p>
    <w:p>
      <w:pPr>
        <w:pStyle w:val="Footnotesection"/>
      </w:pPr>
      <w:r>
        <w:tab/>
        <w:t>[Regulation 29 amended in Gazette 27 Jun 2016 p. 2538.]</w:t>
      </w:r>
    </w:p>
    <w:p>
      <w:pPr>
        <w:pStyle w:val="Heading3"/>
      </w:pPr>
      <w:bookmarkStart w:id="47" w:name="_Toc455155186"/>
      <w:bookmarkStart w:id="48" w:name="_Toc455404077"/>
      <w:r>
        <w:rPr>
          <w:rStyle w:val="CharDivNo"/>
        </w:rPr>
        <w:t>Division 3</w:t>
      </w:r>
      <w:r>
        <w:t> — </w:t>
      </w:r>
      <w:r>
        <w:rPr>
          <w:rStyle w:val="CharDivText"/>
        </w:rPr>
        <w:t>Water supply charges</w:t>
      </w:r>
      <w:bookmarkEnd w:id="47"/>
      <w:bookmarkEnd w:id="48"/>
    </w:p>
    <w:p>
      <w:pPr>
        <w:pStyle w:val="Heading5"/>
      </w:pPr>
      <w:bookmarkStart w:id="49" w:name="_Toc455404078"/>
      <w:r>
        <w:rPr>
          <w:rStyle w:val="CharSectno"/>
        </w:rPr>
        <w:t>30</w:t>
      </w:r>
      <w:r>
        <w:t>.</w:t>
      </w:r>
      <w:r>
        <w:tab/>
        <w:t>Land connected to water supply works</w:t>
      </w:r>
      <w:bookmarkEnd w:id="49"/>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pPr>
      <w:bookmarkStart w:id="50" w:name="_Toc455404079"/>
      <w:r>
        <w:rPr>
          <w:rStyle w:val="CharSectno"/>
        </w:rPr>
        <w:t>31</w:t>
      </w:r>
      <w:r>
        <w:t>.</w:t>
      </w:r>
      <w:r>
        <w:tab/>
        <w:t>Water supply charges</w:t>
      </w:r>
      <w:bookmarkEnd w:id="50"/>
    </w:p>
    <w:p>
      <w:pPr>
        <w:pStyle w:val="Subsection"/>
        <w:keepNext/>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51" w:name="_Toc455404080"/>
      <w:r>
        <w:rPr>
          <w:rStyle w:val="CharSectno"/>
        </w:rPr>
        <w:t>32</w:t>
      </w:r>
      <w:r>
        <w:t>.</w:t>
      </w:r>
      <w:r>
        <w:tab/>
        <w:t>Classification of land</w:t>
      </w:r>
      <w:bookmarkEnd w:id="51"/>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pPr>
      <w:r>
        <w:tab/>
        <w:t>(e)</w:t>
      </w:r>
      <w:r>
        <w:tab/>
        <w:t>farmland — if the Water Corporation is satisfied that the land is farmland and is within 2.5 km of a conduit from which the Water Corporation is prepared to supply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Heading5"/>
        <w:keepNext w:val="0"/>
        <w:keepLines w:val="0"/>
        <w:widowControl w:val="0"/>
      </w:pPr>
      <w:bookmarkStart w:id="52" w:name="_Toc455404081"/>
      <w:r>
        <w:rPr>
          <w:rStyle w:val="CharSectno"/>
        </w:rPr>
        <w:t>33</w:t>
      </w:r>
      <w:r>
        <w:t>.</w:t>
      </w:r>
      <w:r>
        <w:tab/>
        <w:t>Change of occupancy during year</w:t>
      </w:r>
      <w:bookmarkEnd w:id="52"/>
    </w:p>
    <w:p>
      <w:pPr>
        <w:pStyle w:val="Subsection"/>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pPr>
      <w:r>
        <w:tab/>
      </w:r>
      <w:r>
        <w:tab/>
      </w:r>
      <w:r>
        <w:rPr>
          <w:position w:val="-24"/>
        </w:rPr>
        <w:pict>
          <v:shape id="_x0000_i1026" type="#_x0000_t75" style="width:17.25pt;height:32.25pt">
            <v:imagedata r:id="rId23" o:title=""/>
          </v:shape>
        </w:pict>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in Gazette 27 Jun 2016 p. 2539.]</w:t>
      </w:r>
    </w:p>
    <w:p>
      <w:pPr>
        <w:pStyle w:val="Heading5"/>
        <w:keepNext w:val="0"/>
        <w:keepLines w:val="0"/>
        <w:pageBreakBefore/>
        <w:spacing w:before="160"/>
      </w:pPr>
      <w:bookmarkStart w:id="53" w:name="_Toc455404082"/>
      <w:r>
        <w:rPr>
          <w:rStyle w:val="CharSectno"/>
        </w:rPr>
        <w:t>34</w:t>
      </w:r>
      <w:r>
        <w:t>.</w:t>
      </w:r>
      <w:r>
        <w:tab/>
        <w:t>Concessions: consumption charges</w:t>
      </w:r>
      <w:bookmarkEnd w:id="53"/>
    </w:p>
    <w:p>
      <w:pPr>
        <w:pStyle w:val="Subsection"/>
      </w:pPr>
      <w:r>
        <w:tab/>
        <w:t>(1)</w:t>
      </w:r>
      <w:r>
        <w:tab/>
        <w:t xml:space="preserve">A person who is liable to pay a water supply charge set out in Schedule 3 item 26, 30 or 33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Heading5"/>
        <w:spacing w:before="180"/>
      </w:pPr>
      <w:bookmarkStart w:id="54" w:name="_Toc455404083"/>
      <w:r>
        <w:rPr>
          <w:rStyle w:val="CharSectno"/>
        </w:rPr>
        <w:t>35</w:t>
      </w:r>
      <w:r>
        <w:t>.</w:t>
      </w:r>
      <w:r>
        <w:tab/>
        <w:t>Concessions: certain occupiers of multi</w:t>
      </w:r>
      <w:r>
        <w:noBreakHyphen/>
        <w:t>unit developments</w:t>
      </w:r>
      <w:bookmarkEnd w:id="54"/>
    </w:p>
    <w:p>
      <w:pPr>
        <w:pStyle w:val="Subsection"/>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55" w:name="_Toc455404084"/>
      <w:r>
        <w:rPr>
          <w:rStyle w:val="CharSectno"/>
        </w:rPr>
        <w:t>36</w:t>
      </w:r>
      <w:r>
        <w:t>.</w:t>
      </w:r>
      <w:r>
        <w:tab/>
        <w:t>Concessions: certain retirement village residents</w:t>
      </w:r>
      <w:bookmarkEnd w:id="55"/>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$113.65.</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in Gazette 30 Jun 2015 p. 2364; 27 Jun 2016 p. 2539.]</w:t>
      </w:r>
    </w:p>
    <w:p>
      <w:pPr>
        <w:pStyle w:val="Heading3"/>
        <w:keepNext w:val="0"/>
        <w:pageBreakBefore/>
        <w:widowControl w:val="0"/>
      </w:pPr>
      <w:bookmarkStart w:id="56" w:name="_Toc455155194"/>
      <w:bookmarkStart w:id="57" w:name="_Toc455404085"/>
      <w:r>
        <w:rPr>
          <w:rStyle w:val="CharDivNo"/>
        </w:rPr>
        <w:t>Division 4</w:t>
      </w:r>
      <w:r>
        <w:t> — </w:t>
      </w:r>
      <w:r>
        <w:rPr>
          <w:rStyle w:val="CharDivText"/>
        </w:rPr>
        <w:t>Sewerage charges</w:t>
      </w:r>
      <w:bookmarkEnd w:id="56"/>
      <w:bookmarkEnd w:id="57"/>
    </w:p>
    <w:p>
      <w:pPr>
        <w:pStyle w:val="Heading5"/>
      </w:pPr>
      <w:bookmarkStart w:id="58" w:name="_Toc455404086"/>
      <w:r>
        <w:rPr>
          <w:rStyle w:val="CharSectno"/>
        </w:rPr>
        <w:t>37</w:t>
      </w:r>
      <w:r>
        <w:t>.</w:t>
      </w:r>
      <w:r>
        <w:tab/>
        <w:t>Land connected to sewerage works</w:t>
      </w:r>
      <w:bookmarkEnd w:id="58"/>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59" w:name="_Toc455404087"/>
      <w:r>
        <w:rPr>
          <w:rStyle w:val="CharSectno"/>
        </w:rPr>
        <w:t>38</w:t>
      </w:r>
      <w:r>
        <w:t>.</w:t>
      </w:r>
      <w:r>
        <w:tab/>
        <w:t>Sewerage areas</w:t>
      </w:r>
      <w:bookmarkEnd w:id="59"/>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4</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4</w:t>
      </w:r>
      <w:r>
        <w:t xml:space="preserve"> section 4.</w:t>
      </w:r>
    </w:p>
    <w:p>
      <w:pPr>
        <w:pStyle w:val="Heading5"/>
        <w:spacing w:before="180"/>
      </w:pPr>
      <w:bookmarkStart w:id="60" w:name="_Toc455404088"/>
      <w:r>
        <w:rPr>
          <w:rStyle w:val="CharSectno"/>
        </w:rPr>
        <w:t>39</w:t>
      </w:r>
      <w:r>
        <w:t>.</w:t>
      </w:r>
      <w:r>
        <w:tab/>
        <w:t>Sewerage charges</w:t>
      </w:r>
      <w:bookmarkEnd w:id="60"/>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61" w:name="_Toc455404089"/>
      <w:r>
        <w:rPr>
          <w:rStyle w:val="CharSectno"/>
        </w:rPr>
        <w:t>40</w:t>
      </w:r>
      <w:r>
        <w:t>.</w:t>
      </w:r>
      <w:r>
        <w:tab/>
        <w:t>Classification of land</w:t>
      </w:r>
      <w:bookmarkEnd w:id="61"/>
    </w:p>
    <w:p>
      <w:pPr>
        <w:pStyle w:val="Subsection"/>
      </w:pPr>
      <w:r>
        <w:tab/>
        <w:t>(1)</w:t>
      </w:r>
      <w:r>
        <w:tab/>
        <w:t xml:space="preserve">For the purposes of this Division, land that is not concessional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62" w:name="_Toc455404090"/>
      <w:r>
        <w:rPr>
          <w:rStyle w:val="CharSectno"/>
        </w:rPr>
        <w:t>41</w:t>
      </w:r>
      <w:r>
        <w:t>.</w:t>
      </w:r>
      <w:r>
        <w:tab/>
        <w:t>Minimum charges: Schedule 4 Division 2</w:t>
      </w:r>
      <w:bookmarkEnd w:id="62"/>
    </w:p>
    <w:p>
      <w:pPr>
        <w:pStyle w:val="Subsection"/>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pPr>
      <w:bookmarkStart w:id="63" w:name="_Toc455404091"/>
      <w:r>
        <w:rPr>
          <w:rStyle w:val="CharSectno"/>
        </w:rPr>
        <w:t>42</w:t>
      </w:r>
      <w:r>
        <w:t>.</w:t>
      </w:r>
      <w:r>
        <w:tab/>
        <w:t>Estimating charge, or volume discharged, for previous year: Schedule 4 Division 2</w:t>
      </w:r>
      <w:bookmarkEnd w:id="63"/>
    </w:p>
    <w:p>
      <w:pPr>
        <w:pStyle w:val="Subsection"/>
        <w:keepNext/>
        <w:keepLines/>
      </w:pPr>
      <w:r>
        <w:tab/>
        <w:t>(1)</w:t>
      </w:r>
      <w:r>
        <w:tab/>
        <w:t xml:space="preserve">In this regulation — </w:t>
      </w:r>
    </w:p>
    <w:p>
      <w:pPr>
        <w:pStyle w:val="Defstart"/>
        <w:keepNext/>
        <w:keepLines/>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64" w:name="_Toc455404092"/>
      <w:r>
        <w:rPr>
          <w:rStyle w:val="CharSectno"/>
        </w:rPr>
        <w:t>43</w:t>
      </w:r>
      <w:r>
        <w:t>.</w:t>
      </w:r>
      <w:r>
        <w:tab/>
        <w:t>Determining number of major fixtures: Schedule 4 Division 2</w:t>
      </w:r>
      <w:bookmarkEnd w:id="64"/>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65" w:name="_Toc455404093"/>
      <w:r>
        <w:rPr>
          <w:rStyle w:val="CharSectno"/>
        </w:rPr>
        <w:t>44</w:t>
      </w:r>
      <w:r>
        <w:t>.</w:t>
      </w:r>
      <w:r>
        <w:tab/>
        <w:t>Concessions: certain retirement village residents</w:t>
      </w:r>
      <w:bookmarkEnd w:id="65"/>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$232.44.</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in Gazette 30 Jun 2015 p. 2364; 27 Jun 2016 p. 2539.]</w:t>
      </w:r>
    </w:p>
    <w:p>
      <w:pPr>
        <w:pStyle w:val="Heading3"/>
        <w:keepNext w:val="0"/>
        <w:spacing w:before="180"/>
      </w:pPr>
      <w:bookmarkStart w:id="66" w:name="_Toc455155203"/>
      <w:bookmarkStart w:id="67" w:name="_Toc455404094"/>
      <w:r>
        <w:rPr>
          <w:rStyle w:val="CharDivNo"/>
        </w:rPr>
        <w:t>Division 5</w:t>
      </w:r>
      <w:r>
        <w:t> — </w:t>
      </w:r>
      <w:r>
        <w:rPr>
          <w:rStyle w:val="CharDivText"/>
        </w:rPr>
        <w:t>Drainage charges</w:t>
      </w:r>
      <w:bookmarkEnd w:id="66"/>
      <w:bookmarkEnd w:id="67"/>
    </w:p>
    <w:p>
      <w:pPr>
        <w:pStyle w:val="Heading5"/>
        <w:spacing w:before="180"/>
      </w:pPr>
      <w:bookmarkStart w:id="68" w:name="_Toc455404095"/>
      <w:r>
        <w:rPr>
          <w:rStyle w:val="CharSectno"/>
        </w:rPr>
        <w:t>45</w:t>
      </w:r>
      <w:r>
        <w:t>.</w:t>
      </w:r>
      <w:r>
        <w:tab/>
        <w:t>Drainage areas</w:t>
      </w:r>
      <w:bookmarkEnd w:id="68"/>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5</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5</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69" w:name="_Toc455404096"/>
      <w:r>
        <w:rPr>
          <w:rStyle w:val="CharSectno"/>
        </w:rPr>
        <w:t>46</w:t>
      </w:r>
      <w:r>
        <w:t>.</w:t>
      </w:r>
      <w:r>
        <w:tab/>
        <w:t>Drainage areas: notice of and objections to proposed designation</w:t>
      </w:r>
      <w:bookmarkEnd w:id="69"/>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(as defined in the </w:t>
      </w:r>
      <w:r>
        <w:rPr>
          <w:i/>
        </w:rPr>
        <w:t>Water Services Regulations 2013</w:t>
      </w:r>
      <w:r>
        <w:t xml:space="preserve"> regulation 3(1)); and</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Heading5"/>
      </w:pPr>
      <w:bookmarkStart w:id="70" w:name="_Toc455404097"/>
      <w:r>
        <w:rPr>
          <w:rStyle w:val="CharSectno"/>
        </w:rPr>
        <w:t>47</w:t>
      </w:r>
      <w:r>
        <w:t>.</w:t>
      </w:r>
      <w:r>
        <w:tab/>
        <w:t>Drainage charges</w:t>
      </w:r>
      <w:bookmarkEnd w:id="70"/>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71" w:name="_Toc455404098"/>
      <w:r>
        <w:rPr>
          <w:rStyle w:val="CharSectno"/>
        </w:rPr>
        <w:t>48</w:t>
      </w:r>
      <w:r>
        <w:t>.</w:t>
      </w:r>
      <w:r>
        <w:tab/>
        <w:t>Classification of land</w:t>
      </w:r>
      <w:bookmarkEnd w:id="71"/>
    </w:p>
    <w:p>
      <w:pPr>
        <w:pStyle w:val="Subsection"/>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72" w:name="_Toc455404099"/>
      <w:r>
        <w:rPr>
          <w:rStyle w:val="CharSectno"/>
        </w:rPr>
        <w:t>49</w:t>
      </w:r>
      <w:r>
        <w:t>.</w:t>
      </w:r>
      <w:r>
        <w:tab/>
        <w:t>Concessions: certain retirement village residents</w:t>
      </w:r>
      <w:bookmarkEnd w:id="72"/>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$29.37.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in Gazette 30 Jun 2015 p. 2365; 27 Jun 2016 p. 2539.]</w:t>
      </w:r>
    </w:p>
    <w:p>
      <w:pPr>
        <w:pStyle w:val="Heading3"/>
        <w:spacing w:before="200"/>
      </w:pPr>
      <w:bookmarkStart w:id="73" w:name="_Toc455155209"/>
      <w:bookmarkStart w:id="74" w:name="_Toc455404100"/>
      <w:r>
        <w:rPr>
          <w:rStyle w:val="CharDivNo"/>
        </w:rPr>
        <w:t>Division 6</w:t>
      </w:r>
      <w:r>
        <w:t> — </w:t>
      </w:r>
      <w:r>
        <w:rPr>
          <w:rStyle w:val="CharDivText"/>
        </w:rPr>
        <w:t>Irrigation charges</w:t>
      </w:r>
      <w:bookmarkEnd w:id="73"/>
      <w:bookmarkEnd w:id="74"/>
    </w:p>
    <w:p>
      <w:pPr>
        <w:pStyle w:val="Heading5"/>
      </w:pPr>
      <w:bookmarkStart w:id="75" w:name="_Toc455404101"/>
      <w:r>
        <w:rPr>
          <w:rStyle w:val="CharSectno"/>
        </w:rPr>
        <w:t>50</w:t>
      </w:r>
      <w:r>
        <w:t>.</w:t>
      </w:r>
      <w:r>
        <w:tab/>
        <w:t>Charges for water supplied from certain irrigation works</w:t>
      </w:r>
      <w:bookmarkEnd w:id="75"/>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keepNext w:val="0"/>
        <w:spacing w:before="200"/>
      </w:pPr>
      <w:bookmarkStart w:id="76" w:name="_Toc455155211"/>
      <w:bookmarkStart w:id="77" w:name="_Toc455404102"/>
      <w:r>
        <w:rPr>
          <w:rStyle w:val="CharDivNo"/>
        </w:rPr>
        <w:t>Division 7</w:t>
      </w:r>
      <w:r>
        <w:t> — </w:t>
      </w:r>
      <w:r>
        <w:rPr>
          <w:rStyle w:val="CharDivText"/>
        </w:rPr>
        <w:t>Miscellaneous charges</w:t>
      </w:r>
      <w:bookmarkEnd w:id="76"/>
      <w:bookmarkEnd w:id="77"/>
    </w:p>
    <w:p>
      <w:pPr>
        <w:pStyle w:val="Heading5"/>
        <w:keepNext w:val="0"/>
        <w:keepLines w:val="0"/>
        <w:spacing w:before="180"/>
      </w:pPr>
      <w:bookmarkStart w:id="78" w:name="_Toc455404103"/>
      <w:r>
        <w:rPr>
          <w:rStyle w:val="CharSectno"/>
        </w:rPr>
        <w:t>51</w:t>
      </w:r>
      <w:r>
        <w:t>.</w:t>
      </w:r>
      <w:r>
        <w:tab/>
        <w:t>Miscellaneous charges</w:t>
      </w:r>
      <w:bookmarkEnd w:id="78"/>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79" w:name="_Toc455155213"/>
      <w:bookmarkStart w:id="80" w:name="_Toc455404104"/>
      <w:r>
        <w:rPr>
          <w:rStyle w:val="CharPartNo"/>
        </w:rPr>
        <w:t>Part 6</w:t>
      </w:r>
      <w:r>
        <w:t> — </w:t>
      </w:r>
      <w:r>
        <w:rPr>
          <w:rStyle w:val="CharPartText"/>
        </w:rPr>
        <w:t>Repeal of regulations and transitional provisions</w:t>
      </w:r>
      <w:bookmarkEnd w:id="79"/>
      <w:bookmarkEnd w:id="80"/>
    </w:p>
    <w:p>
      <w:pPr>
        <w:pStyle w:val="Heading3"/>
      </w:pPr>
      <w:bookmarkStart w:id="81" w:name="_Toc455155214"/>
      <w:bookmarkStart w:id="82" w:name="_Toc455404105"/>
      <w:r>
        <w:rPr>
          <w:rStyle w:val="CharDivNo"/>
        </w:rPr>
        <w:t>Division 1</w:t>
      </w:r>
      <w:r>
        <w:t> — </w:t>
      </w:r>
      <w:r>
        <w:rPr>
          <w:rStyle w:val="CharDivText"/>
          <w:i/>
        </w:rPr>
        <w:t>Water Services (Water Corporations Charges) Regulations 2013</w:t>
      </w:r>
      <w:r>
        <w:rPr>
          <w:rStyle w:val="CharDivText"/>
        </w:rPr>
        <w:t xml:space="preserve"> repealed</w:t>
      </w:r>
      <w:bookmarkEnd w:id="81"/>
      <w:bookmarkEnd w:id="82"/>
    </w:p>
    <w:p>
      <w:pPr>
        <w:pStyle w:val="Heading5"/>
        <w:rPr>
          <w:b w:val="0"/>
        </w:rPr>
      </w:pPr>
      <w:bookmarkStart w:id="83" w:name="_Toc455404106"/>
      <w:r>
        <w:rPr>
          <w:rStyle w:val="CharSectno"/>
        </w:rPr>
        <w:t>52</w:t>
      </w:r>
      <w:r>
        <w:t>.</w:t>
      </w:r>
      <w:r>
        <w:tab/>
      </w:r>
      <w:r>
        <w:rPr>
          <w:i/>
        </w:rPr>
        <w:t>Water Services (Water Corporations Charges) Regulations 2013</w:t>
      </w:r>
      <w:r>
        <w:t xml:space="preserve"> repealed</w:t>
      </w:r>
      <w:bookmarkEnd w:id="83"/>
    </w:p>
    <w:p>
      <w:pPr>
        <w:pStyle w:val="Subsection"/>
      </w:pPr>
      <w:r>
        <w:tab/>
      </w:r>
      <w:r>
        <w:tab/>
        <w:t xml:space="preserve">The </w:t>
      </w:r>
      <w:r>
        <w:rPr>
          <w:i/>
        </w:rPr>
        <w:t>Water Services (Water Corporations Charges) Regulations 2013</w:t>
      </w:r>
      <w:r>
        <w:t xml:space="preserve"> are repealed.</w:t>
      </w:r>
    </w:p>
    <w:p>
      <w:pPr>
        <w:pStyle w:val="Heading3"/>
        <w:rPr>
          <w:rStyle w:val="CharDivText"/>
        </w:rPr>
      </w:pPr>
      <w:bookmarkStart w:id="84" w:name="_Toc455155216"/>
      <w:bookmarkStart w:id="85" w:name="_Toc455404107"/>
      <w:r>
        <w:rPr>
          <w:rStyle w:val="CharDivNo"/>
        </w:rPr>
        <w:t>Division 2</w:t>
      </w:r>
      <w:r>
        <w:t> — </w:t>
      </w:r>
      <w:r>
        <w:rPr>
          <w:rStyle w:val="CharDivText"/>
        </w:rPr>
        <w:t xml:space="preserve">Transitional provisions: </w:t>
      </w:r>
      <w:r>
        <w:rPr>
          <w:rStyle w:val="CharDivText"/>
          <w:i/>
        </w:rPr>
        <w:t>Water Services (Water Corporations Charges) Regulations 2014</w:t>
      </w:r>
      <w:bookmarkEnd w:id="84"/>
      <w:bookmarkEnd w:id="85"/>
    </w:p>
    <w:p>
      <w:pPr>
        <w:pStyle w:val="Footnoteheading"/>
      </w:pPr>
      <w:r>
        <w:tab/>
        <w:t>[Heading amended in Gazette 15 Oct 2014 p. 3943.]</w:t>
      </w:r>
    </w:p>
    <w:p>
      <w:pPr>
        <w:pStyle w:val="Heading4"/>
      </w:pPr>
      <w:bookmarkStart w:id="86" w:name="_Toc455155217"/>
      <w:bookmarkStart w:id="87" w:name="_Toc455404108"/>
      <w:r>
        <w:t>Subdivision 1 — General provisions</w:t>
      </w:r>
      <w:bookmarkEnd w:id="86"/>
      <w:bookmarkEnd w:id="87"/>
    </w:p>
    <w:p>
      <w:pPr>
        <w:pStyle w:val="Heading5"/>
        <w:rPr>
          <w:b w:val="0"/>
        </w:rPr>
      </w:pPr>
      <w:bookmarkStart w:id="88" w:name="_Toc455404109"/>
      <w:r>
        <w:rPr>
          <w:rStyle w:val="CharSectno"/>
        </w:rPr>
        <w:t>53</w:t>
      </w:r>
      <w:r>
        <w:t>.</w:t>
      </w:r>
      <w:r>
        <w:tab/>
        <w:t xml:space="preserve">Application of the </w:t>
      </w:r>
      <w:r>
        <w:rPr>
          <w:i/>
        </w:rPr>
        <w:t>Interpretation Act 1984</w:t>
      </w:r>
      <w:bookmarkEnd w:id="88"/>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89" w:name="_Toc455404110"/>
      <w:r>
        <w:rPr>
          <w:rStyle w:val="CharSectno"/>
        </w:rPr>
        <w:t>54</w:t>
      </w:r>
      <w:r>
        <w:t>.</w:t>
      </w:r>
      <w:r>
        <w:tab/>
        <w:t>Liability to water service charges</w:t>
      </w:r>
      <w:bookmarkEnd w:id="89"/>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3</w:t>
      </w:r>
      <w:r>
        <w:t xml:space="preserve"> had instead been amended to provide for water service charges in the terms in which they are provided for by these regulations.</w:t>
      </w:r>
    </w:p>
    <w:p>
      <w:pPr>
        <w:pStyle w:val="Heading5"/>
      </w:pPr>
      <w:bookmarkStart w:id="90" w:name="_Toc455404111"/>
      <w:r>
        <w:rPr>
          <w:rStyle w:val="CharSectno"/>
        </w:rPr>
        <w:t>55</w:t>
      </w:r>
      <w:r>
        <w:t>.</w:t>
      </w:r>
      <w:r>
        <w:tab/>
        <w:t>Continuing effect of things done before 1 July 2014</w:t>
      </w:r>
      <w:bookmarkEnd w:id="90"/>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3</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91" w:name="_Toc455404112"/>
      <w:r>
        <w:rPr>
          <w:rStyle w:val="CharSectno"/>
        </w:rPr>
        <w:t>56</w:t>
      </w:r>
      <w:r>
        <w:t>.</w:t>
      </w:r>
      <w:r>
        <w:tab/>
        <w:t>Relationship between Subdivision 1 and Subdivision 2</w:t>
      </w:r>
      <w:bookmarkEnd w:id="91"/>
    </w:p>
    <w:p>
      <w:pPr>
        <w:pStyle w:val="Subsection"/>
      </w:pPr>
      <w:r>
        <w:tab/>
      </w:r>
      <w:r>
        <w:tab/>
        <w:t>The generality of the provisions in this Subdivision is not limited by the specificity of the provisions in Subdivision 2.</w:t>
      </w:r>
    </w:p>
    <w:p>
      <w:pPr>
        <w:pStyle w:val="Heading4"/>
      </w:pPr>
      <w:bookmarkStart w:id="92" w:name="_Toc455155222"/>
      <w:bookmarkStart w:id="93" w:name="_Toc455404113"/>
      <w:r>
        <w:t>Subdivision 2 — Specific provisions</w:t>
      </w:r>
      <w:bookmarkEnd w:id="92"/>
      <w:bookmarkEnd w:id="93"/>
    </w:p>
    <w:p>
      <w:pPr>
        <w:pStyle w:val="Heading5"/>
      </w:pPr>
      <w:bookmarkStart w:id="94" w:name="_Toc455404114"/>
      <w:r>
        <w:rPr>
          <w:rStyle w:val="CharSectno"/>
        </w:rPr>
        <w:t>57</w:t>
      </w:r>
      <w:r>
        <w:t>.</w:t>
      </w:r>
      <w:r>
        <w:tab/>
        <w:t>Commencement of these regulations during charge period</w:t>
      </w:r>
      <w:bookmarkEnd w:id="94"/>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3 </w:t>
      </w:r>
      <w:r>
        <w:t>as in effect immediately before 1 July 2014.</w:t>
      </w:r>
    </w:p>
    <w:p>
      <w:pPr>
        <w:pStyle w:val="Heading5"/>
      </w:pPr>
      <w:bookmarkStart w:id="95" w:name="_Toc455404115"/>
      <w:r>
        <w:rPr>
          <w:rStyle w:val="CharSectno"/>
        </w:rPr>
        <w:t>58</w:t>
      </w:r>
      <w:r>
        <w:t>.</w:t>
      </w:r>
      <w:r>
        <w:tab/>
        <w:t>Special payment arrangements</w:t>
      </w:r>
      <w:bookmarkEnd w:id="95"/>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3</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96" w:name="_Toc455404116"/>
      <w:r>
        <w:rPr>
          <w:rStyle w:val="CharSectno"/>
        </w:rPr>
        <w:t>59</w:t>
      </w:r>
      <w:r>
        <w:t>.</w:t>
      </w:r>
      <w:r>
        <w:tab/>
        <w:t>Commercial caravan parks</w:t>
      </w:r>
      <w:bookmarkEnd w:id="96"/>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3</w:t>
      </w:r>
      <w:r>
        <w:t xml:space="preserve"> by</w:t>
      </w:r>
      <w:r>
        <w:noBreakHyphen/>
        <w:t>law 17A, has effect for the purposes of these regulations as if made under regulation 27.</w:t>
      </w:r>
    </w:p>
    <w:p>
      <w:pPr>
        <w:pStyle w:val="Heading5"/>
      </w:pPr>
      <w:bookmarkStart w:id="97" w:name="_Toc455404117"/>
      <w:r>
        <w:rPr>
          <w:rStyle w:val="CharSectno"/>
        </w:rPr>
        <w:t>60</w:t>
      </w:r>
      <w:r>
        <w:t>.</w:t>
      </w:r>
      <w:r>
        <w:tab/>
        <w:t>Certain charges and discharge volumes before 1 July 2014</w:t>
      </w:r>
      <w:bookmarkEnd w:id="97"/>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3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3</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3</w:t>
      </w:r>
      <w:r>
        <w:t>, as in effect at the relevant time, are to be used.</w:t>
      </w:r>
    </w:p>
    <w:p>
      <w:pPr>
        <w:pStyle w:val="Heading5"/>
      </w:pPr>
      <w:bookmarkStart w:id="98" w:name="_Toc455404118"/>
      <w:r>
        <w:rPr>
          <w:rStyle w:val="CharSectno"/>
        </w:rPr>
        <w:t>61</w:t>
      </w:r>
      <w:r>
        <w:t>.</w:t>
      </w:r>
      <w:r>
        <w:tab/>
        <w:t>Concessions: r. 34 and 35</w:t>
      </w:r>
      <w:bookmarkEnd w:id="98"/>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3</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3</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3</w:t>
      </w:r>
      <w:r>
        <w:t xml:space="preserve"> by</w:t>
      </w:r>
      <w:r>
        <w:noBreakHyphen/>
        <w:t>law 18B becomes, on 1 July 2014, a person registered with the Water Corporation for the purposes of regulation 35.</w:t>
      </w:r>
    </w:p>
    <w:p>
      <w:pPr>
        <w:pStyle w:val="Heading3"/>
      </w:pPr>
      <w:bookmarkStart w:id="99" w:name="_Toc455155228"/>
      <w:bookmarkStart w:id="100" w:name="_Toc455404119"/>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99"/>
      <w:bookmarkEnd w:id="100"/>
    </w:p>
    <w:p>
      <w:pPr>
        <w:pStyle w:val="Footnoteheading"/>
      </w:pPr>
      <w:r>
        <w:tab/>
        <w:t>[Heading inserted in Gazette 15 Oct 2014 p. 3944.]</w:t>
      </w:r>
    </w:p>
    <w:p>
      <w:pPr>
        <w:pStyle w:val="Heading5"/>
      </w:pPr>
      <w:bookmarkStart w:id="101" w:name="_Toc455404120"/>
      <w:r>
        <w:rPr>
          <w:rStyle w:val="CharSectno"/>
        </w:rPr>
        <w:t>62</w:t>
      </w:r>
      <w:r>
        <w:t>.</w:t>
      </w:r>
      <w:r>
        <w:tab/>
        <w:t>Application of r. 5</w:t>
      </w:r>
      <w:bookmarkEnd w:id="101"/>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in Gazette 15 Oct 2014 p. 3944.]</w:t>
      </w:r>
    </w:p>
    <w:p>
      <w:pPr>
        <w:pStyle w:val="Heading5"/>
      </w:pPr>
      <w:bookmarkStart w:id="102" w:name="_Toc455404121"/>
      <w:r>
        <w:rPr>
          <w:rStyle w:val="CharSectno"/>
        </w:rPr>
        <w:t>63</w:t>
      </w:r>
      <w:r>
        <w:t>.</w:t>
      </w:r>
      <w:r>
        <w:tab/>
        <w:t>Reduction, waiver or refund of certain charges</w:t>
      </w:r>
      <w:bookmarkEnd w:id="102"/>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in Gazette 15 Oct 2014 p. 3944.]</w:t>
      </w:r>
    </w:p>
    <w:p>
      <w:pPr>
        <w:sectPr>
          <w:headerReference w:type="even" r:id="rId24"/>
          <w:headerReference w:type="default" r:id="rId25"/>
          <w:headerReference w:type="first" r:id="rId26"/>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03" w:name="_Toc455155231"/>
      <w:bookmarkStart w:id="104" w:name="_Toc455404122"/>
      <w:r>
        <w:rPr>
          <w:rStyle w:val="CharSchNo"/>
        </w:rPr>
        <w:t>Schedule 1</w:t>
      </w:r>
      <w:r>
        <w:t> — </w:t>
      </w:r>
      <w:r>
        <w:rPr>
          <w:rStyle w:val="CharSchText"/>
        </w:rPr>
        <w:t>Charges for Bunbury Water Corporation</w:t>
      </w:r>
      <w:bookmarkEnd w:id="103"/>
      <w:bookmarkEnd w:id="104"/>
    </w:p>
    <w:p>
      <w:pPr>
        <w:pStyle w:val="yShoulderClause"/>
      </w:pPr>
      <w:r>
        <w:t>[r. 7 and 8]</w:t>
      </w:r>
    </w:p>
    <w:p>
      <w:pPr>
        <w:pStyle w:val="yFootnoteheading"/>
      </w:pPr>
      <w:r>
        <w:tab/>
        <w:t>[Heading inserted in Gazette 27 Jun 2016 p. 2540.]</w:t>
      </w:r>
    </w:p>
    <w:p>
      <w:pPr>
        <w:pStyle w:val="yHeading3"/>
      </w:pPr>
      <w:bookmarkStart w:id="105" w:name="_Toc453239504"/>
      <w:bookmarkStart w:id="106" w:name="_Toc453239675"/>
      <w:bookmarkStart w:id="107" w:name="_Toc453239852"/>
      <w:bookmarkStart w:id="108" w:name="_Toc453240065"/>
      <w:bookmarkStart w:id="109" w:name="_Toc453243558"/>
      <w:bookmarkStart w:id="110" w:name="_Toc455155232"/>
      <w:bookmarkStart w:id="111" w:name="_Toc455404123"/>
      <w:r>
        <w:rPr>
          <w:rStyle w:val="CharSDivNo"/>
        </w:rPr>
        <w:t>Division 1</w:t>
      </w:r>
      <w:r>
        <w:rPr>
          <w:b w:val="0"/>
        </w:rPr>
        <w:t> — </w:t>
      </w:r>
      <w:r>
        <w:rPr>
          <w:rStyle w:val="CharSDivText"/>
        </w:rPr>
        <w:t>Service charges</w:t>
      </w:r>
      <w:bookmarkEnd w:id="105"/>
      <w:bookmarkEnd w:id="106"/>
      <w:bookmarkEnd w:id="107"/>
      <w:bookmarkEnd w:id="108"/>
      <w:bookmarkEnd w:id="109"/>
      <w:bookmarkEnd w:id="110"/>
      <w:bookmarkEnd w:id="111"/>
    </w:p>
    <w:p>
      <w:pPr>
        <w:pStyle w:val="yFootnoteheading"/>
      </w:pPr>
      <w:r>
        <w:tab/>
        <w:t>[Heading inserted in Gazette 27 Jun 2016 p. 2540.]</w:t>
      </w:r>
    </w:p>
    <w:p>
      <w:pPr>
        <w:pStyle w:val="yHeading5"/>
        <w:tabs>
          <w:tab w:val="clear" w:pos="879"/>
        </w:tabs>
        <w:ind w:left="851" w:hanging="851"/>
      </w:pPr>
      <w:bookmarkStart w:id="112" w:name="_Toc453243559"/>
      <w:bookmarkStart w:id="113" w:name="_Toc455404124"/>
      <w:r>
        <w:rPr>
          <w:rStyle w:val="CharSClsNo"/>
        </w:rPr>
        <w:t>1</w:t>
      </w:r>
      <w:r>
        <w:t>.</w:t>
      </w:r>
      <w:r>
        <w:tab/>
        <w:t>Service charges for 2016/17 year and subsequent years</w:t>
      </w:r>
      <w:bookmarkEnd w:id="112"/>
      <w:bookmarkEnd w:id="113"/>
    </w:p>
    <w:p>
      <w:pPr>
        <w:pStyle w:val="yMiscellaneousBody"/>
        <w:ind w:left="851" w:hanging="851"/>
      </w:pPr>
      <w:r>
        <w:tab/>
        <w:t xml:space="preserve">The charges set out in this Division apply for water supply services provided in the </w:t>
      </w:r>
      <w:r>
        <w:rPr>
          <w:szCs w:val="22"/>
        </w:rPr>
        <w:t>2016/17</w:t>
      </w:r>
      <w:r>
        <w:t> financial year and each subsequent year.</w:t>
      </w:r>
    </w:p>
    <w:p>
      <w:pPr>
        <w:pStyle w:val="yHeading5"/>
        <w:tabs>
          <w:tab w:val="clear" w:pos="879"/>
        </w:tabs>
        <w:ind w:left="851" w:hanging="851"/>
      </w:pPr>
      <w:bookmarkStart w:id="114" w:name="_Toc453243560"/>
      <w:bookmarkStart w:id="115" w:name="_Toc455404125"/>
      <w:r>
        <w:rPr>
          <w:rStyle w:val="CharSClsNo"/>
        </w:rPr>
        <w:t>2</w:t>
      </w:r>
      <w:r>
        <w:t>.</w:t>
      </w:r>
      <w:r>
        <w:tab/>
        <w:t>Residential lots</w:t>
      </w:r>
      <w:bookmarkEnd w:id="114"/>
      <w:bookmarkEnd w:id="115"/>
    </w:p>
    <w:p>
      <w:pPr>
        <w:pStyle w:val="yMiscellaneousBody"/>
        <w:tabs>
          <w:tab w:val="right" w:leader="dot" w:pos="6804"/>
        </w:tabs>
        <w:ind w:left="851" w:hanging="851"/>
      </w:pPr>
      <w:r>
        <w:tab/>
        <w:t xml:space="preserve">In respect of a residential lot, the charge is </w:t>
      </w:r>
      <w:r>
        <w:tab/>
      </w:r>
      <w:r>
        <w:rPr>
          <w:szCs w:val="22"/>
        </w:rPr>
        <w:t>$226.20</w:t>
      </w:r>
    </w:p>
    <w:p>
      <w:pPr>
        <w:pStyle w:val="yHeading5"/>
      </w:pPr>
      <w:bookmarkStart w:id="116" w:name="_Toc453243561"/>
      <w:bookmarkStart w:id="117" w:name="_Toc455404126"/>
      <w:r>
        <w:rPr>
          <w:rStyle w:val="CharSClsNo"/>
        </w:rPr>
        <w:t>3</w:t>
      </w:r>
      <w:r>
        <w:t>.</w:t>
      </w:r>
      <w:r>
        <w:tab/>
        <w:t>Non</w:t>
      </w:r>
      <w:r>
        <w:noBreakHyphen/>
        <w:t>residential lots</w:t>
      </w:r>
      <w:bookmarkEnd w:id="116"/>
      <w:bookmarkEnd w:id="117"/>
    </w:p>
    <w:p>
      <w:pPr>
        <w:pStyle w:val="yMiscellaneousBody"/>
        <w:ind w:left="851" w:hanging="851"/>
      </w:pPr>
      <w:r>
        <w:tab/>
        <w:t>In respect of a non</w:t>
      </w:r>
      <w:r>
        <w:noBreakHyphen/>
        <w:t xml:space="preserve">residential lot, the charge, </w:t>
      </w:r>
      <w:r>
        <w:br/>
        <w:t>according to the size of the meter, is —</w:t>
      </w:r>
    </w:p>
    <w:p>
      <w:pPr>
        <w:pStyle w:val="yMiscellaneousBody"/>
        <w:tabs>
          <w:tab w:val="left" w:pos="1134"/>
          <w:tab w:val="right" w:leader="dot" w:pos="6804"/>
        </w:tabs>
      </w:pPr>
      <w:r>
        <w:tab/>
        <w:t xml:space="preserve">20 mm </w:t>
      </w:r>
      <w:r>
        <w:tab/>
        <w:t xml:space="preserve"> </w:t>
      </w:r>
      <w:r>
        <w:rPr>
          <w:szCs w:val="22"/>
        </w:rPr>
        <w:t>$226.20</w:t>
      </w:r>
    </w:p>
    <w:p>
      <w:pPr>
        <w:pStyle w:val="yMiscellaneousBody"/>
        <w:tabs>
          <w:tab w:val="left" w:pos="1134"/>
          <w:tab w:val="right" w:leader="dot" w:pos="6804"/>
        </w:tabs>
      </w:pPr>
      <w:r>
        <w:tab/>
        <w:t xml:space="preserve">25 mm </w:t>
      </w:r>
      <w:r>
        <w:tab/>
        <w:t xml:space="preserve"> </w:t>
      </w:r>
      <w:r>
        <w:rPr>
          <w:szCs w:val="22"/>
        </w:rPr>
        <w:t>$352.87</w:t>
      </w:r>
    </w:p>
    <w:p>
      <w:pPr>
        <w:pStyle w:val="yMiscellaneousBody"/>
        <w:tabs>
          <w:tab w:val="left" w:pos="1134"/>
          <w:tab w:val="right" w:leader="dot" w:pos="6804"/>
        </w:tabs>
      </w:pPr>
      <w:r>
        <w:tab/>
        <w:t xml:space="preserve">40 mm </w:t>
      </w:r>
      <w:r>
        <w:tab/>
      </w:r>
      <w:r>
        <w:rPr>
          <w:szCs w:val="22"/>
        </w:rPr>
        <w:t>$904.80</w:t>
      </w:r>
    </w:p>
    <w:p>
      <w:pPr>
        <w:pStyle w:val="yMiscellaneousBody"/>
        <w:tabs>
          <w:tab w:val="left" w:pos="1134"/>
          <w:tab w:val="right" w:leader="dot" w:pos="6804"/>
        </w:tabs>
      </w:pPr>
      <w:r>
        <w:tab/>
        <w:t xml:space="preserve">50 mm </w:t>
      </w:r>
      <w:r>
        <w:tab/>
      </w:r>
      <w:r>
        <w:rPr>
          <w:szCs w:val="22"/>
        </w:rPr>
        <w:t>$1 413.75</w:t>
      </w:r>
    </w:p>
    <w:p>
      <w:pPr>
        <w:pStyle w:val="yMiscellaneousBody"/>
        <w:tabs>
          <w:tab w:val="left" w:pos="1134"/>
          <w:tab w:val="right" w:leader="dot" w:pos="6804"/>
        </w:tabs>
      </w:pPr>
      <w:r>
        <w:tab/>
        <w:t xml:space="preserve">80 mm </w:t>
      </w:r>
      <w:r>
        <w:tab/>
      </w:r>
      <w:r>
        <w:rPr>
          <w:szCs w:val="22"/>
        </w:rPr>
        <w:t>$3 619.20</w:t>
      </w:r>
    </w:p>
    <w:p>
      <w:pPr>
        <w:pStyle w:val="yMiscellaneousBody"/>
        <w:tabs>
          <w:tab w:val="left" w:pos="1134"/>
          <w:tab w:val="right" w:leader="dot" w:pos="6804"/>
        </w:tabs>
      </w:pPr>
      <w:r>
        <w:tab/>
        <w:t xml:space="preserve">100 mm </w:t>
      </w:r>
      <w:r>
        <w:tab/>
      </w:r>
      <w:r>
        <w:rPr>
          <w:szCs w:val="22"/>
        </w:rPr>
        <w:t>$5 665.00</w:t>
      </w:r>
    </w:p>
    <w:p>
      <w:pPr>
        <w:pStyle w:val="yMiscellaneousBody"/>
        <w:tabs>
          <w:tab w:val="left" w:pos="1134"/>
          <w:tab w:val="right" w:leader="dot" w:pos="6804"/>
        </w:tabs>
        <w:rPr>
          <w:szCs w:val="22"/>
        </w:rPr>
      </w:pPr>
      <w:r>
        <w:tab/>
        <w:t xml:space="preserve">150 mm </w:t>
      </w:r>
      <w:r>
        <w:tab/>
      </w:r>
      <w:r>
        <w:rPr>
          <w:szCs w:val="22"/>
        </w:rPr>
        <w:t>$12 723.75</w:t>
      </w:r>
    </w:p>
    <w:p>
      <w:pPr>
        <w:pStyle w:val="yFootnotesection"/>
      </w:pPr>
      <w:r>
        <w:tab/>
        <w:t>[Division 1 inserted in Gazette 27 Jun 2016 p. 2540.]</w:t>
      </w:r>
    </w:p>
    <w:p>
      <w:pPr>
        <w:pStyle w:val="yHeading3"/>
      </w:pPr>
      <w:bookmarkStart w:id="118" w:name="_Toc453239508"/>
      <w:bookmarkStart w:id="119" w:name="_Toc453239679"/>
      <w:bookmarkStart w:id="120" w:name="_Toc453239856"/>
      <w:bookmarkStart w:id="121" w:name="_Toc453240069"/>
      <w:bookmarkStart w:id="122" w:name="_Toc453243562"/>
      <w:bookmarkStart w:id="123" w:name="_Toc455155236"/>
      <w:bookmarkStart w:id="124" w:name="_Toc455404127"/>
      <w:r>
        <w:rPr>
          <w:rStyle w:val="CharSDivNo"/>
        </w:rPr>
        <w:t>Division 2</w:t>
      </w:r>
      <w:r>
        <w:t> — </w:t>
      </w:r>
      <w:r>
        <w:rPr>
          <w:rStyle w:val="CharSDivText"/>
        </w:rPr>
        <w:t>Consumption charges</w:t>
      </w:r>
      <w:bookmarkEnd w:id="118"/>
      <w:bookmarkEnd w:id="119"/>
      <w:bookmarkEnd w:id="120"/>
      <w:bookmarkEnd w:id="121"/>
      <w:bookmarkEnd w:id="122"/>
      <w:bookmarkEnd w:id="123"/>
      <w:bookmarkEnd w:id="124"/>
    </w:p>
    <w:p>
      <w:pPr>
        <w:pStyle w:val="yFootnoteheading"/>
      </w:pPr>
      <w:r>
        <w:tab/>
        <w:t>[Heading inserted in Gazette 27 Jun 2016 p. 2540.]</w:t>
      </w:r>
    </w:p>
    <w:p>
      <w:pPr>
        <w:pStyle w:val="yHeading5"/>
        <w:tabs>
          <w:tab w:val="clear" w:pos="879"/>
        </w:tabs>
        <w:ind w:left="851" w:hanging="851"/>
      </w:pPr>
      <w:bookmarkStart w:id="125" w:name="_Toc453243563"/>
      <w:bookmarkStart w:id="126" w:name="_Toc455404128"/>
      <w:r>
        <w:rPr>
          <w:rStyle w:val="CharSClsNo"/>
        </w:rPr>
        <w:t>4</w:t>
      </w:r>
      <w:r>
        <w:t>.</w:t>
      </w:r>
      <w:r>
        <w:tab/>
        <w:t>Consumption charges for 2016/17 year and subsequent years</w:t>
      </w:r>
      <w:bookmarkEnd w:id="125"/>
      <w:bookmarkEnd w:id="126"/>
    </w:p>
    <w:p>
      <w:pPr>
        <w:pStyle w:val="yMiscellaneousBody"/>
        <w:ind w:left="851" w:hanging="851"/>
      </w:pPr>
      <w:r>
        <w:tab/>
        <w:t xml:space="preserve">The charges set out in this Division apply for water supplied in the </w:t>
      </w:r>
      <w:r>
        <w:rPr>
          <w:szCs w:val="22"/>
        </w:rPr>
        <w:t>2016/17</w:t>
      </w:r>
      <w:r>
        <w:t> financial year and each subsequent year.</w:t>
      </w:r>
    </w:p>
    <w:p>
      <w:pPr>
        <w:pStyle w:val="yHeading5"/>
        <w:tabs>
          <w:tab w:val="clear" w:pos="879"/>
        </w:tabs>
        <w:ind w:left="851" w:hanging="851"/>
      </w:pPr>
      <w:bookmarkStart w:id="127" w:name="_Toc453243564"/>
      <w:bookmarkStart w:id="128" w:name="_Toc455404129"/>
      <w:r>
        <w:rPr>
          <w:rStyle w:val="CharSClsNo"/>
        </w:rPr>
        <w:t>5</w:t>
      </w:r>
      <w:r>
        <w:t>.</w:t>
      </w:r>
      <w:r>
        <w:tab/>
        <w:t>Residential lots</w:t>
      </w:r>
      <w:bookmarkEnd w:id="127"/>
      <w:bookmarkEnd w:id="128"/>
    </w:p>
    <w:p>
      <w:pPr>
        <w:pStyle w:val="yMiscellaneousBody"/>
        <w:tabs>
          <w:tab w:val="left" w:pos="284"/>
        </w:tabs>
        <w:ind w:left="851" w:hanging="851"/>
      </w:pPr>
      <w:r>
        <w:tab/>
        <w:t>(1)</w:t>
      </w:r>
      <w:r>
        <w:tab/>
        <w:t xml:space="preserve">For each kilolitre of water supplied to a </w:t>
      </w:r>
      <w:r>
        <w:br/>
        <w:t>residential lot, the charge is —</w:t>
      </w:r>
    </w:p>
    <w:p>
      <w:pPr>
        <w:pStyle w:val="yMiscellaneousBody"/>
        <w:tabs>
          <w:tab w:val="left" w:pos="1134"/>
          <w:tab w:val="right" w:leader="dot" w:pos="6804"/>
        </w:tabs>
      </w:pPr>
      <w:r>
        <w:tab/>
        <w:t xml:space="preserve">up to 150 kL </w:t>
      </w:r>
      <w:r>
        <w:tab/>
        <w:t xml:space="preserve"> </w:t>
      </w:r>
      <w:r>
        <w:rPr>
          <w:szCs w:val="22"/>
        </w:rPr>
        <w:t>$0.94</w:t>
      </w:r>
    </w:p>
    <w:p>
      <w:pPr>
        <w:pStyle w:val="yMiscellaneousBody"/>
        <w:tabs>
          <w:tab w:val="left" w:pos="1134"/>
          <w:tab w:val="right" w:leader="dot" w:pos="6804"/>
        </w:tabs>
      </w:pPr>
      <w:r>
        <w:tab/>
        <w:t xml:space="preserve">over 150 but not over 350 kL </w:t>
      </w:r>
      <w:r>
        <w:tab/>
        <w:t xml:space="preserve"> </w:t>
      </w:r>
      <w:r>
        <w:rPr>
          <w:szCs w:val="22"/>
        </w:rPr>
        <w:t>$1.74</w:t>
      </w:r>
    </w:p>
    <w:p>
      <w:pPr>
        <w:pStyle w:val="yMiscellaneousBody"/>
        <w:tabs>
          <w:tab w:val="left" w:pos="1134"/>
          <w:tab w:val="right" w:leader="dot" w:pos="6804"/>
        </w:tabs>
      </w:pPr>
      <w:r>
        <w:tab/>
        <w:t xml:space="preserve">over 350 but not over 500 kL </w:t>
      </w:r>
      <w:r>
        <w:tab/>
        <w:t xml:space="preserve"> </w:t>
      </w:r>
      <w:r>
        <w:rPr>
          <w:szCs w:val="22"/>
        </w:rPr>
        <w:t>$2.49</w:t>
      </w:r>
    </w:p>
    <w:p>
      <w:pPr>
        <w:pStyle w:val="yMiscellaneousBody"/>
        <w:tabs>
          <w:tab w:val="left" w:pos="1134"/>
          <w:tab w:val="right" w:leader="dot" w:pos="6804"/>
        </w:tabs>
      </w:pPr>
      <w:r>
        <w:tab/>
        <w:t xml:space="preserve">over 500 but not over 700 kL </w:t>
      </w:r>
      <w:r>
        <w:tab/>
        <w:t xml:space="preserve"> </w:t>
      </w:r>
      <w:r>
        <w:rPr>
          <w:szCs w:val="22"/>
        </w:rPr>
        <w:t>$3.09</w:t>
      </w:r>
    </w:p>
    <w:p>
      <w:pPr>
        <w:pStyle w:val="yMiscellaneousBody"/>
        <w:tabs>
          <w:tab w:val="left" w:pos="1134"/>
          <w:tab w:val="right" w:leader="dot" w:pos="6804"/>
        </w:tabs>
        <w:rPr>
          <w:szCs w:val="22"/>
        </w:rPr>
      </w:pPr>
      <w:r>
        <w:rPr>
          <w:szCs w:val="22"/>
        </w:rPr>
        <w:tab/>
        <w:t xml:space="preserve">over 700 kL </w:t>
      </w:r>
      <w:r>
        <w:rPr>
          <w:szCs w:val="22"/>
        </w:rPr>
        <w:tab/>
        <w:t xml:space="preserve"> $3.09</w:t>
      </w:r>
    </w:p>
    <w:p>
      <w:pPr>
        <w:pStyle w:val="yMiscellaneousBody"/>
        <w:tabs>
          <w:tab w:val="left" w:pos="284"/>
        </w:tabs>
        <w:ind w:left="851" w:hanging="851"/>
      </w:pPr>
      <w:r>
        <w:tab/>
        <w:t>(2)</w:t>
      </w:r>
      <w:r>
        <w:tab/>
        <w:t xml:space="preserve">The volumetric ranges in this item have effect </w:t>
      </w:r>
      <w:r>
        <w:br/>
        <w:t xml:space="preserve">by reference to the volume of water supplied in </w:t>
      </w:r>
      <w:r>
        <w:br/>
        <w:t>the current consumption year.</w:t>
      </w:r>
    </w:p>
    <w:p>
      <w:pPr>
        <w:pStyle w:val="yHeading5"/>
        <w:tabs>
          <w:tab w:val="clear" w:pos="879"/>
        </w:tabs>
        <w:ind w:left="851" w:hanging="851"/>
      </w:pPr>
      <w:bookmarkStart w:id="129" w:name="_Toc453243565"/>
      <w:bookmarkStart w:id="130" w:name="_Toc455404130"/>
      <w:r>
        <w:rPr>
          <w:rStyle w:val="CharSClsNo"/>
        </w:rPr>
        <w:t>6</w:t>
      </w:r>
      <w:r>
        <w:t>.</w:t>
      </w:r>
      <w:r>
        <w:tab/>
        <w:t>Non</w:t>
      </w:r>
      <w:r>
        <w:noBreakHyphen/>
        <w:t>residential lots</w:t>
      </w:r>
      <w:bookmarkEnd w:id="129"/>
      <w:bookmarkEnd w:id="130"/>
    </w:p>
    <w:p>
      <w:pPr>
        <w:pStyle w:val="yMiscellaneousBody"/>
        <w:tabs>
          <w:tab w:val="right" w:leader="dot" w:pos="6804"/>
        </w:tabs>
        <w:ind w:left="851" w:hanging="851"/>
        <w:rPr>
          <w:szCs w:val="22"/>
        </w:rPr>
      </w:pPr>
      <w:r>
        <w:tab/>
        <w:t xml:space="preserve">For each kilolitre of water supplied to a </w:t>
      </w:r>
      <w:r>
        <w:br/>
        <w:t>non</w:t>
      </w:r>
      <w:r>
        <w:noBreakHyphen/>
        <w:t xml:space="preserve">residential lot, the charge is </w:t>
      </w:r>
      <w:r>
        <w:tab/>
        <w:t xml:space="preserve"> </w:t>
      </w:r>
      <w:r>
        <w:rPr>
          <w:szCs w:val="22"/>
        </w:rPr>
        <w:t>$2.49</w:t>
      </w:r>
    </w:p>
    <w:p>
      <w:pPr>
        <w:pStyle w:val="yFootnotesection"/>
      </w:pPr>
      <w:r>
        <w:tab/>
        <w:t>[Division 2 inserted in Gazette 27 Jun 2016 p. 2540</w:t>
      </w:r>
      <w:r>
        <w:noBreakHyphen/>
        <w:t>1.]</w:t>
      </w:r>
    </w:p>
    <w:p>
      <w:pPr>
        <w:pStyle w:val="yHeading3"/>
      </w:pPr>
      <w:bookmarkStart w:id="131" w:name="_Toc453239512"/>
      <w:bookmarkStart w:id="132" w:name="_Toc453239683"/>
      <w:bookmarkStart w:id="133" w:name="_Toc453239860"/>
      <w:bookmarkStart w:id="134" w:name="_Toc453240073"/>
      <w:bookmarkStart w:id="135" w:name="_Toc453243566"/>
      <w:bookmarkStart w:id="136" w:name="_Toc455155240"/>
      <w:bookmarkStart w:id="137" w:name="_Toc455404131"/>
      <w:r>
        <w:rPr>
          <w:rStyle w:val="CharSDivNo"/>
        </w:rPr>
        <w:t>Division 3</w:t>
      </w:r>
      <w:r>
        <w:t> — </w:t>
      </w:r>
      <w:r>
        <w:rPr>
          <w:rStyle w:val="CharSDivText"/>
        </w:rPr>
        <w:t>Miscellaneous charges</w:t>
      </w:r>
      <w:bookmarkEnd w:id="131"/>
      <w:bookmarkEnd w:id="132"/>
      <w:bookmarkEnd w:id="133"/>
      <w:bookmarkEnd w:id="134"/>
      <w:bookmarkEnd w:id="135"/>
      <w:bookmarkEnd w:id="136"/>
      <w:bookmarkEnd w:id="137"/>
    </w:p>
    <w:p>
      <w:pPr>
        <w:pStyle w:val="yFootnoteheading"/>
      </w:pPr>
      <w:r>
        <w:tab/>
        <w:t>[Heading inserted in Gazette 27 Jun 2016 p. 2541.]</w:t>
      </w:r>
    </w:p>
    <w:p>
      <w:pPr>
        <w:pStyle w:val="yHeading5"/>
        <w:tabs>
          <w:tab w:val="clear" w:pos="879"/>
        </w:tabs>
        <w:ind w:left="851" w:hanging="851"/>
      </w:pPr>
      <w:bookmarkStart w:id="138" w:name="_Toc453243567"/>
      <w:bookmarkStart w:id="139" w:name="_Toc455404132"/>
      <w:r>
        <w:rPr>
          <w:rStyle w:val="CharSClsNo"/>
        </w:rPr>
        <w:t>7</w:t>
      </w:r>
      <w:r>
        <w:t>.</w:t>
      </w:r>
      <w:r>
        <w:tab/>
        <w:t>Meters: multi</w:t>
      </w:r>
      <w:r>
        <w:noBreakHyphen/>
        <w:t>unit developments</w:t>
      </w:r>
      <w:bookmarkEnd w:id="138"/>
      <w:bookmarkEnd w:id="139"/>
    </w:p>
    <w:p>
      <w:pPr>
        <w:pStyle w:val="yMiscellaneousBody"/>
        <w:tabs>
          <w:tab w:val="right" w:leader="dot" w:pos="6804"/>
        </w:tabs>
        <w:ind w:left="851" w:hanging="851"/>
      </w:pPr>
      <w:r>
        <w:tab/>
        <w:t xml:space="preserve">For supplying a meter for connection to a pipe </w:t>
      </w:r>
      <w:r>
        <w:br/>
        <w:t>supplying water to a unit in a multi</w:t>
      </w:r>
      <w:r>
        <w:noBreakHyphen/>
        <w:t xml:space="preserve">unit </w:t>
      </w:r>
      <w:r>
        <w:br/>
        <w:t xml:space="preserve">development, the charge is </w:t>
      </w:r>
      <w:r>
        <w:tab/>
        <w:t xml:space="preserve"> </w:t>
      </w:r>
      <w:r>
        <w:rPr>
          <w:szCs w:val="22"/>
        </w:rPr>
        <w:t>$71.00</w:t>
      </w:r>
    </w:p>
    <w:p>
      <w:pPr>
        <w:pStyle w:val="yHeading5"/>
        <w:tabs>
          <w:tab w:val="clear" w:pos="879"/>
        </w:tabs>
        <w:ind w:left="851" w:hanging="851"/>
      </w:pPr>
      <w:bookmarkStart w:id="140" w:name="_Toc453243568"/>
      <w:bookmarkStart w:id="141" w:name="_Toc455404133"/>
      <w:r>
        <w:rPr>
          <w:rStyle w:val="CharSClsNo"/>
        </w:rPr>
        <w:t>8</w:t>
      </w:r>
      <w:r>
        <w:t>.</w:t>
      </w:r>
      <w:r>
        <w:tab/>
        <w:t>Assessing meters: multi</w:t>
      </w:r>
      <w:r>
        <w:noBreakHyphen/>
        <w:t>unit developments</w:t>
      </w:r>
      <w:bookmarkEnd w:id="140"/>
      <w:bookmarkEnd w:id="141"/>
    </w:p>
    <w:p>
      <w:pPr>
        <w:pStyle w:val="yMiscellaneousBody"/>
        <w:tabs>
          <w:tab w:val="right" w:leader="dot" w:pos="6804"/>
        </w:tabs>
        <w:ind w:left="851" w:hanging="851"/>
      </w:pPr>
      <w:r>
        <w:tab/>
        <w:t xml:space="preserve">For assessing a meter that is, or is to be, </w:t>
      </w:r>
      <w:r>
        <w:br/>
        <w:t xml:space="preserve">connected to a pipe supplying water to a unit </w:t>
      </w:r>
      <w:r>
        <w:br/>
        <w:t>in a multi</w:t>
      </w:r>
      <w:r>
        <w:noBreakHyphen/>
        <w:t xml:space="preserve">unit development under the </w:t>
      </w:r>
      <w:r>
        <w:rPr>
          <w:i/>
        </w:rPr>
        <w:t xml:space="preserve">Water </w:t>
      </w:r>
      <w:r>
        <w:rPr>
          <w:i/>
        </w:rPr>
        <w:br/>
        <w:t>Services Regulations 2013</w:t>
      </w:r>
      <w:r>
        <w:t xml:space="preserve"> regulation 23(3), </w:t>
      </w:r>
      <w:r>
        <w:br/>
        <w:t xml:space="preserve">the charge is </w:t>
      </w:r>
      <w:r>
        <w:tab/>
        <w:t xml:space="preserve"> </w:t>
      </w:r>
      <w:r>
        <w:rPr>
          <w:szCs w:val="22"/>
        </w:rPr>
        <w:t>$107.00</w:t>
      </w:r>
    </w:p>
    <w:p>
      <w:pPr>
        <w:pStyle w:val="yHeading5"/>
        <w:tabs>
          <w:tab w:val="clear" w:pos="879"/>
        </w:tabs>
        <w:ind w:left="851" w:hanging="851"/>
      </w:pPr>
      <w:bookmarkStart w:id="142" w:name="_Toc453243569"/>
      <w:bookmarkStart w:id="143" w:name="_Toc455404134"/>
      <w:r>
        <w:rPr>
          <w:rStyle w:val="CharSClsNo"/>
        </w:rPr>
        <w:t>9</w:t>
      </w:r>
      <w:r>
        <w:t>.</w:t>
      </w:r>
      <w:r>
        <w:tab/>
        <w:t>Testing meters</w:t>
      </w:r>
      <w:bookmarkEnd w:id="142"/>
      <w:bookmarkEnd w:id="143"/>
    </w:p>
    <w:p>
      <w:pPr>
        <w:pStyle w:val="yMiscellaneousBody"/>
        <w:ind w:left="851" w:hanging="851"/>
      </w:pPr>
      <w:r>
        <w:tab/>
        <w:t xml:space="preserve">For testing a meter under the </w:t>
      </w:r>
      <w:r>
        <w:rPr>
          <w:i/>
        </w:rPr>
        <w:t xml:space="preserve">Water Services </w:t>
      </w:r>
      <w:r>
        <w:rPr>
          <w:i/>
        </w:rPr>
        <w:br/>
        <w:t>Regulations 2013</w:t>
      </w:r>
      <w:r>
        <w:t xml:space="preserve"> regulation 26(3), </w:t>
      </w:r>
      <w:r>
        <w:br/>
        <w:t>the charge, according to the size of the meter, is —</w:t>
      </w:r>
    </w:p>
    <w:p>
      <w:pPr>
        <w:pStyle w:val="yMiscellaneousBody"/>
        <w:tabs>
          <w:tab w:val="left" w:pos="1134"/>
          <w:tab w:val="right" w:leader="dot" w:pos="6804"/>
        </w:tabs>
        <w:ind w:left="851" w:hanging="851"/>
      </w:pPr>
      <w:r>
        <w:tab/>
      </w:r>
      <w:r>
        <w:tab/>
        <w:t xml:space="preserve">20 mm (no calibration) </w:t>
      </w:r>
      <w:r>
        <w:tab/>
        <w:t xml:space="preserve"> </w:t>
      </w:r>
      <w:r>
        <w:rPr>
          <w:szCs w:val="22"/>
        </w:rPr>
        <w:t>$48.00</w:t>
      </w:r>
    </w:p>
    <w:p>
      <w:pPr>
        <w:pStyle w:val="yMiscellaneousBody"/>
        <w:tabs>
          <w:tab w:val="left" w:pos="1134"/>
          <w:tab w:val="right" w:leader="dot" w:pos="6350"/>
        </w:tabs>
        <w:ind w:left="851" w:hanging="851"/>
      </w:pPr>
      <w:r>
        <w:tab/>
      </w:r>
      <w:r>
        <w:tab/>
        <w:t xml:space="preserve">20 mm (with calibration) </w:t>
      </w:r>
      <w:r>
        <w:tab/>
        <w:t>an</w:t>
      </w:r>
    </w:p>
    <w:p>
      <w:pPr>
        <w:pStyle w:val="yMiscellaneousBody"/>
        <w:tabs>
          <w:tab w:val="left" w:pos="1134"/>
          <w:tab w:val="left" w:pos="6145"/>
        </w:tabs>
        <w:spacing w:before="0"/>
        <w:ind w:left="851" w:hanging="851"/>
      </w:pPr>
      <w:r>
        <w:tab/>
      </w:r>
      <w:r>
        <w:tab/>
      </w:r>
      <w:r>
        <w:tab/>
        <w:t xml:space="preserve">amount </w:t>
      </w:r>
      <w:r>
        <w:br/>
      </w:r>
      <w:r>
        <w:tab/>
      </w:r>
      <w:r>
        <w:tab/>
        <w:t xml:space="preserve">equal </w:t>
      </w:r>
      <w:r>
        <w:br/>
      </w:r>
      <w:r>
        <w:tab/>
      </w:r>
      <w:r>
        <w:tab/>
        <w:t xml:space="preserve">to the </w:t>
      </w:r>
      <w:r>
        <w:br/>
      </w:r>
      <w:r>
        <w:tab/>
      </w:r>
      <w:r>
        <w:tab/>
        <w:t xml:space="preserve">actual </w:t>
      </w:r>
      <w:r>
        <w:br/>
      </w:r>
      <w:r>
        <w:tab/>
      </w:r>
      <w:r>
        <w:tab/>
        <w:t xml:space="preserve">cost of </w:t>
      </w:r>
      <w:r>
        <w:br/>
      </w:r>
      <w:r>
        <w:tab/>
      </w:r>
      <w:r>
        <w:tab/>
        <w:t>testing</w:t>
      </w:r>
    </w:p>
    <w:p>
      <w:pPr>
        <w:pStyle w:val="yMiscellaneousBody"/>
        <w:tabs>
          <w:tab w:val="left" w:pos="1134"/>
          <w:tab w:val="right" w:leader="dot" w:pos="6350"/>
        </w:tabs>
        <w:ind w:left="851" w:hanging="851"/>
      </w:pPr>
      <w:r>
        <w:tab/>
      </w:r>
      <w:r>
        <w:tab/>
        <w:t xml:space="preserve">more than 20 mm </w:t>
      </w:r>
      <w:r>
        <w:tab/>
        <w:t>an</w:t>
      </w:r>
    </w:p>
    <w:p>
      <w:pPr>
        <w:pStyle w:val="yMiscellaneousBody"/>
        <w:tabs>
          <w:tab w:val="left" w:pos="6096"/>
        </w:tabs>
        <w:spacing w:before="0"/>
      </w:pPr>
      <w:r>
        <w:tab/>
        <w:t xml:space="preserve">amount </w:t>
      </w:r>
      <w:r>
        <w:br/>
      </w:r>
      <w:r>
        <w:tab/>
        <w:t xml:space="preserve">equal </w:t>
      </w:r>
      <w:r>
        <w:br/>
      </w:r>
      <w:r>
        <w:tab/>
        <w:t xml:space="preserve">to the </w:t>
      </w:r>
      <w:r>
        <w:br/>
      </w:r>
      <w:r>
        <w:tab/>
        <w:t xml:space="preserve">actual </w:t>
      </w:r>
      <w:r>
        <w:br/>
      </w:r>
      <w:r>
        <w:tab/>
        <w:t xml:space="preserve">cost of </w:t>
      </w:r>
      <w:r>
        <w:br/>
      </w:r>
      <w:r>
        <w:tab/>
        <w:t>testing</w:t>
      </w:r>
    </w:p>
    <w:p>
      <w:pPr>
        <w:pStyle w:val="yHeading5"/>
        <w:tabs>
          <w:tab w:val="clear" w:pos="879"/>
        </w:tabs>
        <w:ind w:left="851" w:hanging="851"/>
      </w:pPr>
      <w:bookmarkStart w:id="144" w:name="_Toc453243570"/>
      <w:bookmarkStart w:id="145" w:name="_Toc455404135"/>
      <w:r>
        <w:rPr>
          <w:rStyle w:val="CharSClsNo"/>
        </w:rPr>
        <w:t>10</w:t>
      </w:r>
      <w:r>
        <w:t>.</w:t>
      </w:r>
      <w:r>
        <w:tab/>
        <w:t>Copies of records</w:t>
      </w:r>
      <w:bookmarkEnd w:id="144"/>
      <w:bookmarkEnd w:id="145"/>
    </w:p>
    <w:p>
      <w:pPr>
        <w:pStyle w:val="yMiscellaneousBody"/>
        <w:tabs>
          <w:tab w:val="left" w:pos="1134"/>
          <w:tab w:val="right" w:leader="dot" w:pos="6804"/>
        </w:tabs>
        <w:ind w:left="851" w:hanging="851"/>
        <w:rPr>
          <w:szCs w:val="22"/>
        </w:rPr>
      </w:pPr>
      <w:r>
        <w:tab/>
        <w:t xml:space="preserve">For a copy of records under the </w:t>
      </w:r>
      <w:r>
        <w:rPr>
          <w:i/>
        </w:rPr>
        <w:t xml:space="preserve">Water Services </w:t>
      </w:r>
      <w:r>
        <w:rPr>
          <w:i/>
        </w:rPr>
        <w:br/>
        <w:t>Regulations 2013</w:t>
      </w:r>
      <w:r>
        <w:t xml:space="preserve"> regulation 65(4)(b), </w:t>
      </w:r>
      <w:r>
        <w:br/>
        <w:t xml:space="preserve">the charge is </w:t>
      </w:r>
      <w:r>
        <w:tab/>
        <w:t xml:space="preserve"> </w:t>
      </w:r>
      <w:r>
        <w:rPr>
          <w:szCs w:val="22"/>
        </w:rPr>
        <w:t>$11.00</w:t>
      </w:r>
    </w:p>
    <w:p>
      <w:pPr>
        <w:pStyle w:val="yFootnotesection"/>
      </w:pPr>
      <w:r>
        <w:tab/>
        <w:t>[Division 3 inserted in Gazette 27 Jun 2016 p. 2541</w:t>
      </w:r>
      <w:r>
        <w:noBreakHyphen/>
        <w:t>2.]</w:t>
      </w:r>
    </w:p>
    <w:p>
      <w:pPr>
        <w:pStyle w:val="yScheduleHeading"/>
      </w:pPr>
      <w:bookmarkStart w:id="146" w:name="_Toc453239517"/>
      <w:bookmarkStart w:id="147" w:name="_Toc453239688"/>
      <w:bookmarkStart w:id="148" w:name="_Toc453239865"/>
      <w:bookmarkStart w:id="149" w:name="_Toc453240078"/>
      <w:bookmarkStart w:id="150" w:name="_Toc453243571"/>
      <w:bookmarkStart w:id="151" w:name="_Toc455155245"/>
      <w:bookmarkStart w:id="152" w:name="_Toc455404136"/>
      <w:r>
        <w:rPr>
          <w:rStyle w:val="CharSchNo"/>
        </w:rPr>
        <w:t>Schedule 2</w:t>
      </w:r>
      <w:r>
        <w:t> — </w:t>
      </w:r>
      <w:r>
        <w:rPr>
          <w:rStyle w:val="CharSchText"/>
        </w:rPr>
        <w:t>Charges for Busselton Water Corporation</w:t>
      </w:r>
      <w:bookmarkEnd w:id="146"/>
      <w:bookmarkEnd w:id="147"/>
      <w:bookmarkEnd w:id="148"/>
      <w:bookmarkEnd w:id="149"/>
      <w:bookmarkEnd w:id="150"/>
      <w:bookmarkEnd w:id="151"/>
      <w:bookmarkEnd w:id="152"/>
    </w:p>
    <w:p>
      <w:pPr>
        <w:pStyle w:val="yShoulderClause"/>
      </w:pPr>
      <w:r>
        <w:t>[r. 12]</w:t>
      </w:r>
    </w:p>
    <w:p>
      <w:pPr>
        <w:pStyle w:val="yFootnoteheading"/>
      </w:pPr>
      <w:r>
        <w:tab/>
        <w:t>[Heading inserted in Gazette 27 Jun 2016 p. 2542.]</w:t>
      </w:r>
    </w:p>
    <w:p>
      <w:pPr>
        <w:pStyle w:val="yHeading3"/>
      </w:pPr>
      <w:bookmarkStart w:id="153" w:name="_Toc453239518"/>
      <w:bookmarkStart w:id="154" w:name="_Toc453239689"/>
      <w:bookmarkStart w:id="155" w:name="_Toc453239866"/>
      <w:bookmarkStart w:id="156" w:name="_Toc453240079"/>
      <w:bookmarkStart w:id="157" w:name="_Toc453243572"/>
      <w:bookmarkStart w:id="158" w:name="_Toc455155246"/>
      <w:bookmarkStart w:id="159" w:name="_Toc455404137"/>
      <w:r>
        <w:rPr>
          <w:rStyle w:val="CharSDivNo"/>
        </w:rPr>
        <w:t>Division 1</w:t>
      </w:r>
      <w:r>
        <w:t> — </w:t>
      </w:r>
      <w:r>
        <w:rPr>
          <w:rStyle w:val="CharSDivText"/>
        </w:rPr>
        <w:t>Service charges</w:t>
      </w:r>
      <w:bookmarkEnd w:id="153"/>
      <w:bookmarkEnd w:id="154"/>
      <w:bookmarkEnd w:id="155"/>
      <w:bookmarkEnd w:id="156"/>
      <w:bookmarkEnd w:id="157"/>
      <w:bookmarkEnd w:id="158"/>
      <w:bookmarkEnd w:id="159"/>
    </w:p>
    <w:p>
      <w:pPr>
        <w:pStyle w:val="yFootnoteheading"/>
      </w:pPr>
      <w:r>
        <w:tab/>
        <w:t>[Heading inserted in Gazette 27 Jun 2016 p. 2542.]</w:t>
      </w:r>
    </w:p>
    <w:p>
      <w:pPr>
        <w:pStyle w:val="yHeading5"/>
        <w:tabs>
          <w:tab w:val="clear" w:pos="879"/>
        </w:tabs>
        <w:ind w:left="851" w:hanging="851"/>
      </w:pPr>
      <w:bookmarkStart w:id="160" w:name="_Toc453243573"/>
      <w:bookmarkStart w:id="161" w:name="_Toc455404138"/>
      <w:r>
        <w:rPr>
          <w:rStyle w:val="CharSClsNo"/>
        </w:rPr>
        <w:t>1</w:t>
      </w:r>
      <w:r>
        <w:t>.</w:t>
      </w:r>
      <w:r>
        <w:tab/>
        <w:t>Service charges for 2016/17 year and subsequent years</w:t>
      </w:r>
      <w:bookmarkEnd w:id="160"/>
      <w:bookmarkEnd w:id="161"/>
    </w:p>
    <w:p>
      <w:pPr>
        <w:pStyle w:val="yMiscellaneousBody"/>
        <w:ind w:left="851" w:hanging="851"/>
      </w:pPr>
      <w:r>
        <w:tab/>
        <w:t xml:space="preserve">The charges set out in this Division apply for water supply services provided in the </w:t>
      </w:r>
      <w:r>
        <w:rPr>
          <w:szCs w:val="22"/>
        </w:rPr>
        <w:t>2016/17</w:t>
      </w:r>
      <w:r>
        <w:t> financial year and each subsequent year.</w:t>
      </w:r>
    </w:p>
    <w:p>
      <w:pPr>
        <w:pStyle w:val="yHeading5"/>
        <w:tabs>
          <w:tab w:val="clear" w:pos="879"/>
        </w:tabs>
        <w:ind w:left="851" w:hanging="851"/>
      </w:pPr>
      <w:bookmarkStart w:id="162" w:name="_Toc453243574"/>
      <w:bookmarkStart w:id="163" w:name="_Toc455404139"/>
      <w:r>
        <w:rPr>
          <w:rStyle w:val="CharSClsNo"/>
        </w:rPr>
        <w:t>2</w:t>
      </w:r>
      <w:r>
        <w:t>.</w:t>
      </w:r>
      <w:r>
        <w:tab/>
        <w:t>Residential lots</w:t>
      </w:r>
      <w:bookmarkEnd w:id="162"/>
      <w:bookmarkEnd w:id="163"/>
    </w:p>
    <w:p>
      <w:pPr>
        <w:pStyle w:val="yMiscellaneousBody"/>
        <w:tabs>
          <w:tab w:val="right" w:leader="dot" w:pos="6804"/>
        </w:tabs>
        <w:ind w:left="851" w:hanging="851"/>
      </w:pPr>
      <w:r>
        <w:tab/>
        <w:t xml:space="preserve">In respect of a residential lot, the charge is </w:t>
      </w:r>
      <w:r>
        <w:tab/>
      </w:r>
      <w:r>
        <w:rPr>
          <w:szCs w:val="22"/>
        </w:rPr>
        <w:t>$198.42</w:t>
      </w:r>
    </w:p>
    <w:p>
      <w:pPr>
        <w:pStyle w:val="yHeading5"/>
        <w:tabs>
          <w:tab w:val="clear" w:pos="879"/>
        </w:tabs>
        <w:ind w:left="851" w:hanging="851"/>
      </w:pPr>
      <w:bookmarkStart w:id="164" w:name="_Toc453243575"/>
      <w:bookmarkStart w:id="165" w:name="_Toc455404140"/>
      <w:r>
        <w:rPr>
          <w:rStyle w:val="CharSClsNo"/>
        </w:rPr>
        <w:t>3</w:t>
      </w:r>
      <w:r>
        <w:t>.</w:t>
      </w:r>
      <w:r>
        <w:tab/>
        <w:t>Non</w:t>
      </w:r>
      <w:r>
        <w:noBreakHyphen/>
        <w:t>residential lots</w:t>
      </w:r>
      <w:bookmarkEnd w:id="164"/>
      <w:bookmarkEnd w:id="165"/>
    </w:p>
    <w:p>
      <w:pPr>
        <w:pStyle w:val="yMiscellaneousBody"/>
        <w:ind w:left="851" w:hanging="851"/>
      </w:pPr>
      <w:r>
        <w:tab/>
        <w:t>In respect of a non</w:t>
      </w:r>
      <w:r>
        <w:noBreakHyphen/>
        <w:t>residential lot, the charge, according to the size of the meter, is —</w:t>
      </w:r>
    </w:p>
    <w:p>
      <w:pPr>
        <w:pStyle w:val="yMiscellaneousBody"/>
        <w:tabs>
          <w:tab w:val="right" w:leader="dot" w:pos="6804"/>
        </w:tabs>
        <w:ind w:left="1134" w:hanging="1134"/>
      </w:pPr>
      <w:r>
        <w:tab/>
        <w:t xml:space="preserve">20 mm </w:t>
      </w:r>
      <w:r>
        <w:tab/>
        <w:t xml:space="preserve"> </w:t>
      </w:r>
      <w:r>
        <w:rPr>
          <w:szCs w:val="22"/>
        </w:rPr>
        <w:t>$198.42</w:t>
      </w:r>
    </w:p>
    <w:p>
      <w:pPr>
        <w:pStyle w:val="yMiscellaneousBody"/>
        <w:tabs>
          <w:tab w:val="right" w:leader="dot" w:pos="6804"/>
        </w:tabs>
        <w:ind w:left="1134" w:hanging="1134"/>
      </w:pPr>
      <w:r>
        <w:tab/>
        <w:t xml:space="preserve">25 mm </w:t>
      </w:r>
      <w:r>
        <w:tab/>
        <w:t xml:space="preserve"> </w:t>
      </w:r>
      <w:r>
        <w:rPr>
          <w:szCs w:val="22"/>
        </w:rPr>
        <w:t>$310.02</w:t>
      </w:r>
    </w:p>
    <w:p>
      <w:pPr>
        <w:pStyle w:val="yMiscellaneousBody"/>
        <w:tabs>
          <w:tab w:val="right" w:leader="dot" w:pos="6804"/>
        </w:tabs>
        <w:ind w:left="1134" w:hanging="1134"/>
      </w:pPr>
      <w:r>
        <w:tab/>
        <w:t xml:space="preserve">40 mm </w:t>
      </w:r>
      <w:r>
        <w:tab/>
        <w:t xml:space="preserve"> </w:t>
      </w:r>
      <w:r>
        <w:rPr>
          <w:szCs w:val="22"/>
        </w:rPr>
        <w:t>$793.66</w:t>
      </w:r>
    </w:p>
    <w:p>
      <w:pPr>
        <w:pStyle w:val="yMiscellaneousBody"/>
        <w:tabs>
          <w:tab w:val="right" w:leader="dot" w:pos="6804"/>
        </w:tabs>
        <w:ind w:left="1134" w:hanging="1134"/>
      </w:pPr>
      <w:r>
        <w:tab/>
        <w:t xml:space="preserve">50 mm </w:t>
      </w:r>
      <w:r>
        <w:tab/>
        <w:t xml:space="preserve"> </w:t>
      </w:r>
      <w:r>
        <w:rPr>
          <w:szCs w:val="22"/>
        </w:rPr>
        <w:t>$1 240.09</w:t>
      </w:r>
    </w:p>
    <w:p>
      <w:pPr>
        <w:pStyle w:val="yMiscellaneousBody"/>
        <w:tabs>
          <w:tab w:val="right" w:leader="dot" w:pos="6804"/>
        </w:tabs>
        <w:ind w:left="1134" w:hanging="1134"/>
      </w:pPr>
      <w:r>
        <w:tab/>
        <w:t xml:space="preserve">80 mm </w:t>
      </w:r>
      <w:r>
        <w:tab/>
        <w:t xml:space="preserve"> </w:t>
      </w:r>
      <w:r>
        <w:rPr>
          <w:szCs w:val="22"/>
        </w:rPr>
        <w:t>$3 174.63</w:t>
      </w:r>
    </w:p>
    <w:p>
      <w:pPr>
        <w:pStyle w:val="yMiscellaneousBody"/>
        <w:tabs>
          <w:tab w:val="right" w:leader="dot" w:pos="6804"/>
        </w:tabs>
        <w:ind w:left="1134" w:hanging="1134"/>
      </w:pPr>
      <w:r>
        <w:tab/>
        <w:t xml:space="preserve">100 mm </w:t>
      </w:r>
      <w:r>
        <w:tab/>
        <w:t xml:space="preserve"> </w:t>
      </w:r>
      <w:r>
        <w:rPr>
          <w:szCs w:val="22"/>
        </w:rPr>
        <w:t>$4 960.35</w:t>
      </w:r>
    </w:p>
    <w:p>
      <w:pPr>
        <w:pStyle w:val="yMiscellaneousBody"/>
        <w:tabs>
          <w:tab w:val="right" w:leader="dot" w:pos="6804"/>
        </w:tabs>
        <w:ind w:left="1134" w:hanging="1134"/>
      </w:pPr>
      <w:r>
        <w:tab/>
        <w:t xml:space="preserve">150 mm </w:t>
      </w:r>
      <w:r>
        <w:tab/>
        <w:t xml:space="preserve"> </w:t>
      </w:r>
      <w:r>
        <w:rPr>
          <w:szCs w:val="22"/>
        </w:rPr>
        <w:t>$11 160.80</w:t>
      </w:r>
    </w:p>
    <w:p>
      <w:pPr>
        <w:pStyle w:val="yHeading5"/>
        <w:tabs>
          <w:tab w:val="clear" w:pos="879"/>
        </w:tabs>
        <w:ind w:left="851" w:hanging="851"/>
      </w:pPr>
      <w:bookmarkStart w:id="166" w:name="_Toc453243576"/>
      <w:bookmarkStart w:id="167" w:name="_Toc455404141"/>
      <w:r>
        <w:rPr>
          <w:rStyle w:val="CharSClsNo"/>
        </w:rPr>
        <w:t>4</w:t>
      </w:r>
      <w:r>
        <w:t>.</w:t>
      </w:r>
      <w:r>
        <w:tab/>
        <w:t>Vacant land</w:t>
      </w:r>
      <w:bookmarkEnd w:id="166"/>
      <w:bookmarkEnd w:id="167"/>
    </w:p>
    <w:p>
      <w:pPr>
        <w:pStyle w:val="yMiscellaneousBody"/>
        <w:tabs>
          <w:tab w:val="right" w:leader="dot" w:pos="6804"/>
        </w:tabs>
        <w:ind w:left="851" w:hanging="851"/>
      </w:pPr>
      <w:r>
        <w:tab/>
        <w:t xml:space="preserve">In respect of vacant land, the charge is </w:t>
      </w:r>
      <w:r>
        <w:tab/>
        <w:t xml:space="preserve"> </w:t>
      </w:r>
      <w:r>
        <w:rPr>
          <w:szCs w:val="22"/>
        </w:rPr>
        <w:t>$198.42</w:t>
      </w:r>
    </w:p>
    <w:p>
      <w:pPr>
        <w:pStyle w:val="yHeading5"/>
        <w:tabs>
          <w:tab w:val="clear" w:pos="879"/>
        </w:tabs>
        <w:ind w:left="851" w:hanging="851"/>
      </w:pPr>
      <w:bookmarkStart w:id="168" w:name="_Toc453243577"/>
      <w:bookmarkStart w:id="169" w:name="_Toc455404142"/>
      <w:r>
        <w:rPr>
          <w:rStyle w:val="CharSClsNo"/>
        </w:rPr>
        <w:t>5</w:t>
      </w:r>
      <w:r>
        <w:t>.</w:t>
      </w:r>
      <w:r>
        <w:tab/>
        <w:t>Fire services</w:t>
      </w:r>
      <w:bookmarkEnd w:id="168"/>
      <w:bookmarkEnd w:id="169"/>
    </w:p>
    <w:p>
      <w:pPr>
        <w:pStyle w:val="yMiscellaneousBody"/>
        <w:tabs>
          <w:tab w:val="right" w:leader="dot" w:pos="6804"/>
        </w:tabs>
        <w:ind w:left="851" w:hanging="851"/>
        <w:rPr>
          <w:szCs w:val="22"/>
        </w:rPr>
      </w:pPr>
      <w:r>
        <w:tab/>
        <w:t xml:space="preserve">In respect of a fire service connection, the charge is </w:t>
      </w:r>
      <w:r>
        <w:tab/>
        <w:t xml:space="preserve"> </w:t>
      </w:r>
      <w:r>
        <w:rPr>
          <w:szCs w:val="22"/>
        </w:rPr>
        <w:t>$198.42</w:t>
      </w:r>
    </w:p>
    <w:p>
      <w:pPr>
        <w:pStyle w:val="yFootnotesection"/>
      </w:pPr>
      <w:r>
        <w:tab/>
        <w:t>[Division 1 inserted in Gazette 27 Jun 2016 p. 2542</w:t>
      </w:r>
      <w:r>
        <w:noBreakHyphen/>
        <w:t>3.]</w:t>
      </w:r>
    </w:p>
    <w:p>
      <w:pPr>
        <w:pStyle w:val="yHeading3"/>
      </w:pPr>
      <w:bookmarkStart w:id="170" w:name="_Toc453239524"/>
      <w:bookmarkStart w:id="171" w:name="_Toc453239695"/>
      <w:bookmarkStart w:id="172" w:name="_Toc453239872"/>
      <w:bookmarkStart w:id="173" w:name="_Toc453240085"/>
      <w:bookmarkStart w:id="174" w:name="_Toc453243578"/>
      <w:bookmarkStart w:id="175" w:name="_Toc455155252"/>
      <w:bookmarkStart w:id="176" w:name="_Toc455404143"/>
      <w:r>
        <w:rPr>
          <w:rStyle w:val="CharSDivNo"/>
        </w:rPr>
        <w:t>Division 2</w:t>
      </w:r>
      <w:r>
        <w:t> — </w:t>
      </w:r>
      <w:r>
        <w:rPr>
          <w:rStyle w:val="CharSDivText"/>
        </w:rPr>
        <w:t>Consumption charges</w:t>
      </w:r>
      <w:bookmarkEnd w:id="170"/>
      <w:bookmarkEnd w:id="171"/>
      <w:bookmarkEnd w:id="172"/>
      <w:bookmarkEnd w:id="173"/>
      <w:bookmarkEnd w:id="174"/>
      <w:bookmarkEnd w:id="175"/>
      <w:bookmarkEnd w:id="176"/>
    </w:p>
    <w:p>
      <w:pPr>
        <w:pStyle w:val="yFootnoteheading"/>
      </w:pPr>
      <w:r>
        <w:tab/>
        <w:t>[Heading inserted in Gazette 27 Jun 2016 p. 2543.]</w:t>
      </w:r>
    </w:p>
    <w:p>
      <w:pPr>
        <w:pStyle w:val="yHeading5"/>
      </w:pPr>
      <w:bookmarkStart w:id="177" w:name="_Toc453243579"/>
      <w:bookmarkStart w:id="178" w:name="_Toc455404144"/>
      <w:r>
        <w:rPr>
          <w:rStyle w:val="CharSClsNo"/>
        </w:rPr>
        <w:t>6</w:t>
      </w:r>
      <w:r>
        <w:t>.</w:t>
      </w:r>
      <w:r>
        <w:tab/>
        <w:t>Consumption charges for 2016/17 year and subsequent years</w:t>
      </w:r>
      <w:bookmarkEnd w:id="177"/>
      <w:bookmarkEnd w:id="178"/>
    </w:p>
    <w:p>
      <w:pPr>
        <w:pStyle w:val="yMiscellaneousBody"/>
        <w:ind w:left="851" w:hanging="851"/>
      </w:pPr>
      <w:r>
        <w:tab/>
        <w:t xml:space="preserve">The charges set out in this Division apply for water supplied in the </w:t>
      </w:r>
      <w:r>
        <w:rPr>
          <w:szCs w:val="22"/>
        </w:rPr>
        <w:t>2016/17</w:t>
      </w:r>
      <w:r>
        <w:t> financial year and each subsequent year.</w:t>
      </w:r>
    </w:p>
    <w:p>
      <w:pPr>
        <w:pStyle w:val="yHeading5"/>
      </w:pPr>
      <w:bookmarkStart w:id="179" w:name="_Toc453243580"/>
      <w:bookmarkStart w:id="180" w:name="_Toc455404145"/>
      <w:r>
        <w:rPr>
          <w:rStyle w:val="CharSClsNo"/>
        </w:rPr>
        <w:t>7</w:t>
      </w:r>
      <w:r>
        <w:t>.</w:t>
      </w:r>
      <w:r>
        <w:tab/>
        <w:t>Residential lots</w:t>
      </w:r>
      <w:bookmarkEnd w:id="179"/>
      <w:bookmarkEnd w:id="180"/>
    </w:p>
    <w:p>
      <w:pPr>
        <w:pStyle w:val="yMiscellaneousBody"/>
        <w:tabs>
          <w:tab w:val="left" w:pos="284"/>
        </w:tabs>
        <w:ind w:left="851" w:hanging="851"/>
      </w:pPr>
      <w:r>
        <w:tab/>
        <w:t>(1)</w:t>
      </w:r>
      <w:r>
        <w:tab/>
        <w:t xml:space="preserve">For each kilolitre of water supplied to a </w:t>
      </w:r>
      <w:r>
        <w:br/>
        <w:t>residential lot, the charge is —</w:t>
      </w:r>
    </w:p>
    <w:p>
      <w:pPr>
        <w:pStyle w:val="yMiscellaneousBody"/>
        <w:tabs>
          <w:tab w:val="right" w:leader="dot" w:pos="6804"/>
        </w:tabs>
        <w:ind w:left="1134" w:hanging="1134"/>
      </w:pPr>
      <w:r>
        <w:tab/>
        <w:t xml:space="preserve">up to 150 kL </w:t>
      </w:r>
      <w:r>
        <w:tab/>
        <w:t xml:space="preserve"> </w:t>
      </w:r>
      <w:r>
        <w:rPr>
          <w:szCs w:val="22"/>
        </w:rPr>
        <w:t>$0.99</w:t>
      </w:r>
    </w:p>
    <w:p>
      <w:pPr>
        <w:pStyle w:val="yMiscellaneousBody"/>
        <w:tabs>
          <w:tab w:val="right" w:leader="dot" w:pos="6804"/>
        </w:tabs>
        <w:ind w:left="1134" w:hanging="1134"/>
      </w:pPr>
      <w:r>
        <w:tab/>
        <w:t xml:space="preserve">over 150 but not over 350 kL </w:t>
      </w:r>
      <w:r>
        <w:tab/>
        <w:t xml:space="preserve"> </w:t>
      </w:r>
      <w:r>
        <w:rPr>
          <w:szCs w:val="22"/>
        </w:rPr>
        <w:t>$1.39</w:t>
      </w:r>
    </w:p>
    <w:p>
      <w:pPr>
        <w:pStyle w:val="yMiscellaneousBody"/>
        <w:tabs>
          <w:tab w:val="right" w:leader="dot" w:pos="6804"/>
        </w:tabs>
        <w:ind w:left="1134" w:hanging="1134"/>
      </w:pPr>
      <w:r>
        <w:tab/>
        <w:t xml:space="preserve">over 350 but not over 500 kL </w:t>
      </w:r>
      <w:r>
        <w:tab/>
        <w:t xml:space="preserve"> </w:t>
      </w:r>
      <w:r>
        <w:rPr>
          <w:szCs w:val="22"/>
        </w:rPr>
        <w:t>$1.57</w:t>
      </w:r>
    </w:p>
    <w:p>
      <w:pPr>
        <w:pStyle w:val="yMiscellaneousBody"/>
        <w:tabs>
          <w:tab w:val="right" w:leader="dot" w:pos="6804"/>
        </w:tabs>
        <w:ind w:left="1134" w:hanging="1134"/>
      </w:pPr>
      <w:r>
        <w:tab/>
        <w:t xml:space="preserve">over 500 but not over 700 kL </w:t>
      </w:r>
      <w:r>
        <w:tab/>
        <w:t xml:space="preserve"> </w:t>
      </w:r>
      <w:r>
        <w:rPr>
          <w:szCs w:val="22"/>
        </w:rPr>
        <w:t>$2.08</w:t>
      </w:r>
    </w:p>
    <w:p>
      <w:pPr>
        <w:pStyle w:val="yMiscellaneousBody"/>
        <w:tabs>
          <w:tab w:val="right" w:leader="dot" w:pos="6804"/>
        </w:tabs>
        <w:ind w:left="1134" w:hanging="1134"/>
      </w:pPr>
      <w:r>
        <w:tab/>
        <w:t xml:space="preserve">over 700 but not over 1 000 kL </w:t>
      </w:r>
      <w:r>
        <w:tab/>
        <w:t xml:space="preserve"> </w:t>
      </w:r>
      <w:r>
        <w:rPr>
          <w:szCs w:val="22"/>
        </w:rPr>
        <w:t>$2.92</w:t>
      </w:r>
    </w:p>
    <w:p>
      <w:pPr>
        <w:pStyle w:val="yMiscellaneousBody"/>
        <w:tabs>
          <w:tab w:val="right" w:leader="dot" w:pos="6804"/>
        </w:tabs>
        <w:ind w:left="1134" w:hanging="1134"/>
      </w:pPr>
      <w:r>
        <w:tab/>
        <w:t xml:space="preserve">over 1 000 kL </w:t>
      </w:r>
      <w:r>
        <w:tab/>
        <w:t xml:space="preserve"> </w:t>
      </w:r>
      <w:r>
        <w:rPr>
          <w:szCs w:val="22"/>
        </w:rPr>
        <w:t>$2.99</w:t>
      </w:r>
    </w:p>
    <w:p>
      <w:pPr>
        <w:pStyle w:val="yMiscellaneousBody"/>
        <w:tabs>
          <w:tab w:val="left" w:pos="284"/>
        </w:tabs>
        <w:ind w:left="851" w:hanging="851"/>
      </w:pPr>
      <w:r>
        <w:tab/>
        <w:t>(2)</w:t>
      </w:r>
      <w:r>
        <w:tab/>
        <w:t>The volumetric ranges in this item have effect by reference to the volume of water supplied in the current consumption year.</w:t>
      </w:r>
    </w:p>
    <w:p>
      <w:pPr>
        <w:pStyle w:val="yHeading5"/>
        <w:tabs>
          <w:tab w:val="clear" w:pos="879"/>
        </w:tabs>
        <w:ind w:left="851" w:hanging="851"/>
      </w:pPr>
      <w:bookmarkStart w:id="181" w:name="_Toc453243581"/>
      <w:bookmarkStart w:id="182" w:name="_Toc455404146"/>
      <w:r>
        <w:rPr>
          <w:rStyle w:val="CharSClsNo"/>
        </w:rPr>
        <w:t>8</w:t>
      </w:r>
      <w:r>
        <w:t>.</w:t>
      </w:r>
      <w:r>
        <w:tab/>
        <w:t>Non</w:t>
      </w:r>
      <w:r>
        <w:noBreakHyphen/>
        <w:t>residential lots</w:t>
      </w:r>
      <w:bookmarkEnd w:id="181"/>
      <w:bookmarkEnd w:id="182"/>
    </w:p>
    <w:p>
      <w:pPr>
        <w:pStyle w:val="yMiscellaneousBody"/>
        <w:tabs>
          <w:tab w:val="right" w:leader="dot" w:pos="6804"/>
        </w:tabs>
        <w:ind w:left="851" w:hanging="851"/>
      </w:pPr>
      <w:r>
        <w:tab/>
        <w:t xml:space="preserve">For each kilolitre of water supplied to a </w:t>
      </w:r>
      <w:r>
        <w:br/>
        <w:t>non</w:t>
      </w:r>
      <w:r>
        <w:noBreakHyphen/>
        <w:t xml:space="preserve">residential lot, the charge is </w:t>
      </w:r>
      <w:r>
        <w:tab/>
        <w:t xml:space="preserve"> </w:t>
      </w:r>
      <w:r>
        <w:rPr>
          <w:szCs w:val="22"/>
        </w:rPr>
        <w:t>$1.57</w:t>
      </w:r>
    </w:p>
    <w:p>
      <w:pPr>
        <w:pStyle w:val="yHeading5"/>
      </w:pPr>
      <w:bookmarkStart w:id="183" w:name="_Toc453243582"/>
      <w:bookmarkStart w:id="184" w:name="_Toc455404147"/>
      <w:r>
        <w:rPr>
          <w:rStyle w:val="CharSClsNo"/>
        </w:rPr>
        <w:t>9</w:t>
      </w:r>
      <w:r>
        <w:t>.</w:t>
      </w:r>
      <w:r>
        <w:tab/>
        <w:t>Fire services</w:t>
      </w:r>
      <w:bookmarkEnd w:id="183"/>
      <w:bookmarkEnd w:id="184"/>
    </w:p>
    <w:p>
      <w:pPr>
        <w:pStyle w:val="yMiscellaneousBody"/>
        <w:tabs>
          <w:tab w:val="right" w:leader="dot" w:pos="6804"/>
        </w:tabs>
        <w:ind w:left="1134" w:hanging="1134"/>
        <w:rPr>
          <w:szCs w:val="22"/>
        </w:rPr>
      </w:pPr>
      <w:r>
        <w:tab/>
        <w:t xml:space="preserve">For each kilolitre of water supplied through a </w:t>
      </w:r>
      <w:r>
        <w:br/>
        <w:t xml:space="preserve">fire service connection, the charge is </w:t>
      </w:r>
      <w:r>
        <w:tab/>
        <w:t xml:space="preserve"> </w:t>
      </w:r>
      <w:r>
        <w:rPr>
          <w:szCs w:val="22"/>
        </w:rPr>
        <w:t>$2.04</w:t>
      </w:r>
    </w:p>
    <w:p>
      <w:pPr>
        <w:pStyle w:val="yFootnotesection"/>
      </w:pPr>
      <w:r>
        <w:tab/>
        <w:t>[Division 2 inserted in Gazette 27 Jun 2016 p. 2543</w:t>
      </w:r>
      <w:r>
        <w:noBreakHyphen/>
        <w:t>4.]</w:t>
      </w:r>
    </w:p>
    <w:p>
      <w:pPr>
        <w:pStyle w:val="yScheduleHeading"/>
      </w:pPr>
      <w:bookmarkStart w:id="185" w:name="_Toc453239529"/>
      <w:bookmarkStart w:id="186" w:name="_Toc453239700"/>
      <w:bookmarkStart w:id="187" w:name="_Toc453239877"/>
      <w:bookmarkStart w:id="188" w:name="_Toc453240090"/>
      <w:bookmarkStart w:id="189" w:name="_Toc453243583"/>
      <w:bookmarkStart w:id="190" w:name="_Toc455155257"/>
      <w:bookmarkStart w:id="191" w:name="_Toc455404148"/>
      <w:r>
        <w:rPr>
          <w:rStyle w:val="CharSchNo"/>
        </w:rPr>
        <w:t>Schedule 3</w:t>
      </w:r>
      <w:r>
        <w:t> — </w:t>
      </w:r>
      <w:r>
        <w:rPr>
          <w:rStyle w:val="CharSchText"/>
        </w:rPr>
        <w:t>Water supply charges for the Water Corporation</w:t>
      </w:r>
      <w:bookmarkEnd w:id="185"/>
      <w:bookmarkEnd w:id="186"/>
      <w:bookmarkEnd w:id="187"/>
      <w:bookmarkEnd w:id="188"/>
      <w:bookmarkEnd w:id="189"/>
      <w:bookmarkEnd w:id="190"/>
      <w:bookmarkEnd w:id="191"/>
    </w:p>
    <w:p>
      <w:pPr>
        <w:pStyle w:val="yShoulderClause"/>
      </w:pPr>
      <w:r>
        <w:t>[r. 31]</w:t>
      </w:r>
    </w:p>
    <w:p>
      <w:pPr>
        <w:pStyle w:val="yFootnoteheading"/>
      </w:pPr>
      <w:r>
        <w:tab/>
        <w:t>[Heading inserted in Gazette 27 Jun 2016 p. 2544.]</w:t>
      </w:r>
    </w:p>
    <w:p>
      <w:pPr>
        <w:pStyle w:val="yHeading3"/>
        <w:rPr>
          <w:b w:val="0"/>
        </w:rPr>
      </w:pPr>
      <w:bookmarkStart w:id="192" w:name="_Toc453239530"/>
      <w:bookmarkStart w:id="193" w:name="_Toc453239701"/>
      <w:bookmarkStart w:id="194" w:name="_Toc453239878"/>
      <w:bookmarkStart w:id="195" w:name="_Toc453240091"/>
      <w:bookmarkStart w:id="196" w:name="_Toc453243584"/>
      <w:bookmarkStart w:id="197" w:name="_Toc455155258"/>
      <w:bookmarkStart w:id="198" w:name="_Toc455404149"/>
      <w:r>
        <w:rPr>
          <w:rStyle w:val="CharSDivNo"/>
        </w:rPr>
        <w:t>Division 1</w:t>
      </w:r>
      <w:r>
        <w:rPr>
          <w:b w:val="0"/>
        </w:rPr>
        <w:t> — </w:t>
      </w:r>
      <w:r>
        <w:rPr>
          <w:rStyle w:val="CharSDivText"/>
        </w:rPr>
        <w:t>Service charges</w:t>
      </w:r>
      <w:bookmarkEnd w:id="192"/>
      <w:bookmarkEnd w:id="193"/>
      <w:bookmarkEnd w:id="194"/>
      <w:bookmarkEnd w:id="195"/>
      <w:bookmarkEnd w:id="196"/>
      <w:bookmarkEnd w:id="197"/>
      <w:bookmarkEnd w:id="198"/>
    </w:p>
    <w:p>
      <w:pPr>
        <w:pStyle w:val="yFootnoteheading"/>
      </w:pPr>
      <w:r>
        <w:tab/>
        <w:t>[Heading inserted in Gazette 27 Jun 2016 p. 2544.]</w:t>
      </w:r>
    </w:p>
    <w:p>
      <w:pPr>
        <w:pStyle w:val="yHeading4"/>
      </w:pPr>
      <w:bookmarkStart w:id="199" w:name="_Toc453239531"/>
      <w:bookmarkStart w:id="200" w:name="_Toc453239702"/>
      <w:bookmarkStart w:id="201" w:name="_Toc453239879"/>
      <w:bookmarkStart w:id="202" w:name="_Toc453240092"/>
      <w:bookmarkStart w:id="203" w:name="_Toc453243585"/>
      <w:bookmarkStart w:id="204" w:name="_Toc455155259"/>
      <w:bookmarkStart w:id="205" w:name="_Toc455404150"/>
      <w:r>
        <w:t>Subdivision 1</w:t>
      </w:r>
      <w:r>
        <w:rPr>
          <w:b w:val="0"/>
        </w:rPr>
        <w:t> — </w:t>
      </w:r>
      <w:r>
        <w:t>Preliminary</w:t>
      </w:r>
      <w:bookmarkEnd w:id="199"/>
      <w:bookmarkEnd w:id="200"/>
      <w:bookmarkEnd w:id="201"/>
      <w:bookmarkEnd w:id="202"/>
      <w:bookmarkEnd w:id="203"/>
      <w:bookmarkEnd w:id="204"/>
      <w:bookmarkEnd w:id="205"/>
    </w:p>
    <w:p>
      <w:pPr>
        <w:pStyle w:val="yFootnoteheading"/>
      </w:pPr>
      <w:r>
        <w:tab/>
        <w:t>[Heading inserted in Gazette 27 Jun 2016 p. 2544.]</w:t>
      </w:r>
    </w:p>
    <w:p>
      <w:pPr>
        <w:pStyle w:val="yHeading5"/>
        <w:tabs>
          <w:tab w:val="clear" w:pos="879"/>
        </w:tabs>
        <w:ind w:left="851" w:hanging="851"/>
      </w:pPr>
      <w:bookmarkStart w:id="206" w:name="_Toc453243586"/>
      <w:bookmarkStart w:id="207" w:name="_Toc455404151"/>
      <w:r>
        <w:rPr>
          <w:rStyle w:val="CharSClsNo"/>
        </w:rPr>
        <w:t>1</w:t>
      </w:r>
      <w:r>
        <w:t>.</w:t>
      </w:r>
      <w:r>
        <w:tab/>
        <w:t>Service charges for 2016/17 year and subsequent years</w:t>
      </w:r>
      <w:bookmarkEnd w:id="206"/>
      <w:bookmarkEnd w:id="207"/>
    </w:p>
    <w:p>
      <w:pPr>
        <w:pStyle w:val="yMiscellaneousBody"/>
        <w:ind w:left="851" w:hanging="851"/>
      </w:pPr>
      <w:r>
        <w:tab/>
        <w:t xml:space="preserve">The charges set out in this Division apply for </w:t>
      </w:r>
      <w:r>
        <w:br/>
        <w:t xml:space="preserve">water supply services provided in the </w:t>
      </w:r>
      <w:r>
        <w:br/>
      </w:r>
      <w:r>
        <w:rPr>
          <w:szCs w:val="22"/>
        </w:rPr>
        <w:t>2016/17</w:t>
      </w:r>
      <w:r>
        <w:t xml:space="preserve"> financial year and each </w:t>
      </w:r>
      <w:r>
        <w:br/>
        <w:t>subsequent year.</w:t>
      </w:r>
    </w:p>
    <w:p>
      <w:pPr>
        <w:pStyle w:val="yHeading5"/>
        <w:tabs>
          <w:tab w:val="clear" w:pos="879"/>
        </w:tabs>
        <w:ind w:left="851" w:hanging="851"/>
      </w:pPr>
      <w:bookmarkStart w:id="208" w:name="_Toc453243587"/>
      <w:bookmarkStart w:id="209" w:name="_Toc455404152"/>
      <w:r>
        <w:rPr>
          <w:rStyle w:val="CharSClsNo"/>
        </w:rPr>
        <w:t>2</w:t>
      </w:r>
      <w:r>
        <w:t>.</w:t>
      </w:r>
      <w:r>
        <w:tab/>
        <w:t>Table of meter</w:t>
      </w:r>
      <w:r>
        <w:noBreakHyphen/>
        <w:t>based charges</w:t>
      </w:r>
      <w:bookmarkEnd w:id="208"/>
      <w:bookmarkEnd w:id="209"/>
    </w:p>
    <w:p>
      <w:pPr>
        <w:pStyle w:val="yMiscellaneousBody"/>
        <w:ind w:left="851" w:hanging="851"/>
      </w:pPr>
      <w:r>
        <w:tab/>
        <w:t>For the purposes of this Division, meter</w:t>
      </w:r>
      <w:r>
        <w:noBreakHyphen/>
        <w:t xml:space="preserve">based </w:t>
      </w:r>
      <w:r>
        <w:br/>
        <w:t>charges are set out in the Table.</w:t>
      </w:r>
    </w:p>
    <w:p>
      <w:pPr>
        <w:pStyle w:val="yTHeadingNAm"/>
      </w:pPr>
      <w:r>
        <w:t>Table of meter</w:t>
      </w:r>
      <w:r>
        <w:noBreakHyphen/>
        <w:t>based charges</w:t>
      </w:r>
    </w:p>
    <w:tbl>
      <w:tblPr>
        <w:tblW w:w="0" w:type="auto"/>
        <w:jc w:val="center"/>
        <w:tblInd w:w="1065" w:type="dxa"/>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tcPr>
          <w:p>
            <w:pPr>
              <w:pStyle w:val="yTableNAm"/>
              <w:jc w:val="center"/>
            </w:pPr>
            <w:r>
              <w:rPr>
                <w:b/>
                <w:bCs/>
              </w:rPr>
              <w:t>Meter size</w:t>
            </w:r>
            <w:r>
              <w:rPr>
                <w:b/>
                <w:bCs/>
              </w:rPr>
              <w:br/>
              <w:t>mm</w:t>
            </w:r>
          </w:p>
        </w:tc>
        <w:tc>
          <w:tcPr>
            <w:tcW w:w="2292" w:type="dxa"/>
            <w:tcBorders>
              <w:top w:val="single" w:sz="4" w:space="0" w:color="auto"/>
              <w:bottom w:val="single" w:sz="4" w:space="0" w:color="auto"/>
            </w:tcBorders>
          </w:tcPr>
          <w:p>
            <w:pPr>
              <w:pStyle w:val="yTableNAm"/>
              <w:jc w:val="center"/>
            </w:pPr>
            <w:r>
              <w:rPr>
                <w:b/>
                <w:bCs/>
              </w:rPr>
              <w:t>Charge</w:t>
            </w:r>
            <w:r>
              <w:rPr>
                <w:b/>
                <w:bCs/>
              </w:rPr>
              <w:br/>
              <w:t>$</w:t>
            </w:r>
          </w:p>
        </w:tc>
      </w:tr>
      <w:tr>
        <w:trPr>
          <w:cantSplit/>
          <w:jc w:val="center"/>
        </w:trPr>
        <w:tc>
          <w:tcPr>
            <w:tcW w:w="2292" w:type="dxa"/>
          </w:tcPr>
          <w:p>
            <w:pPr>
              <w:pStyle w:val="yTableNAm"/>
              <w:jc w:val="center"/>
            </w:pPr>
            <w:r>
              <w:t>15, 20</w:t>
            </w:r>
          </w:p>
        </w:tc>
        <w:tc>
          <w:tcPr>
            <w:tcW w:w="2292" w:type="dxa"/>
            <w:vAlign w:val="bottom"/>
          </w:tcPr>
          <w:p>
            <w:pPr>
              <w:pStyle w:val="yTableNAm"/>
              <w:jc w:val="center"/>
            </w:pPr>
            <w:r>
              <w:rPr>
                <w:szCs w:val="22"/>
              </w:rPr>
              <w:t>236.22</w:t>
            </w:r>
          </w:p>
        </w:tc>
      </w:tr>
      <w:tr>
        <w:trPr>
          <w:cantSplit/>
          <w:jc w:val="center"/>
        </w:trPr>
        <w:tc>
          <w:tcPr>
            <w:tcW w:w="2292" w:type="dxa"/>
          </w:tcPr>
          <w:p>
            <w:pPr>
              <w:pStyle w:val="yTableNAm"/>
              <w:jc w:val="center"/>
            </w:pPr>
            <w:r>
              <w:t>25</w:t>
            </w:r>
          </w:p>
        </w:tc>
        <w:tc>
          <w:tcPr>
            <w:tcW w:w="2292" w:type="dxa"/>
            <w:vAlign w:val="bottom"/>
          </w:tcPr>
          <w:p>
            <w:pPr>
              <w:pStyle w:val="yTableNAm"/>
              <w:jc w:val="center"/>
            </w:pPr>
            <w:r>
              <w:rPr>
                <w:szCs w:val="22"/>
              </w:rPr>
              <w:t>369.11</w:t>
            </w:r>
          </w:p>
        </w:tc>
      </w:tr>
      <w:tr>
        <w:trPr>
          <w:cantSplit/>
          <w:jc w:val="center"/>
        </w:trPr>
        <w:tc>
          <w:tcPr>
            <w:tcW w:w="2292" w:type="dxa"/>
          </w:tcPr>
          <w:p>
            <w:pPr>
              <w:pStyle w:val="yTableNAm"/>
              <w:jc w:val="center"/>
            </w:pPr>
            <w:r>
              <w:t>30</w:t>
            </w:r>
          </w:p>
        </w:tc>
        <w:tc>
          <w:tcPr>
            <w:tcW w:w="2292" w:type="dxa"/>
            <w:vAlign w:val="bottom"/>
          </w:tcPr>
          <w:p>
            <w:pPr>
              <w:pStyle w:val="yTableNAm"/>
              <w:jc w:val="center"/>
            </w:pPr>
            <w:r>
              <w:rPr>
                <w:szCs w:val="22"/>
              </w:rPr>
              <w:t>531.49</w:t>
            </w:r>
          </w:p>
        </w:tc>
      </w:tr>
      <w:tr>
        <w:trPr>
          <w:cantSplit/>
          <w:jc w:val="center"/>
        </w:trPr>
        <w:tc>
          <w:tcPr>
            <w:tcW w:w="2292" w:type="dxa"/>
          </w:tcPr>
          <w:p>
            <w:pPr>
              <w:pStyle w:val="yTableNAm"/>
              <w:jc w:val="center"/>
            </w:pPr>
            <w:r>
              <w:t>35, 38, 40</w:t>
            </w:r>
          </w:p>
        </w:tc>
        <w:tc>
          <w:tcPr>
            <w:tcW w:w="2292" w:type="dxa"/>
            <w:vAlign w:val="bottom"/>
          </w:tcPr>
          <w:p>
            <w:pPr>
              <w:pStyle w:val="yTableNAm"/>
              <w:jc w:val="center"/>
            </w:pPr>
            <w:r>
              <w:rPr>
                <w:szCs w:val="22"/>
              </w:rPr>
              <w:t>944.93</w:t>
            </w:r>
          </w:p>
        </w:tc>
      </w:tr>
      <w:tr>
        <w:trPr>
          <w:cantSplit/>
          <w:jc w:val="center"/>
        </w:trPr>
        <w:tc>
          <w:tcPr>
            <w:tcW w:w="2292" w:type="dxa"/>
          </w:tcPr>
          <w:p>
            <w:pPr>
              <w:pStyle w:val="yTableNAm"/>
              <w:jc w:val="center"/>
            </w:pPr>
            <w:r>
              <w:t>50</w:t>
            </w:r>
          </w:p>
        </w:tc>
        <w:tc>
          <w:tcPr>
            <w:tcW w:w="2292" w:type="dxa"/>
            <w:vAlign w:val="bottom"/>
          </w:tcPr>
          <w:p>
            <w:pPr>
              <w:pStyle w:val="yTableNAm"/>
              <w:jc w:val="center"/>
            </w:pPr>
            <w:r>
              <w:rPr>
                <w:szCs w:val="22"/>
              </w:rPr>
              <w:t>1 476.44</w:t>
            </w:r>
          </w:p>
        </w:tc>
      </w:tr>
      <w:tr>
        <w:trPr>
          <w:cantSplit/>
          <w:jc w:val="center"/>
        </w:trPr>
        <w:tc>
          <w:tcPr>
            <w:tcW w:w="2292" w:type="dxa"/>
          </w:tcPr>
          <w:p>
            <w:pPr>
              <w:pStyle w:val="yTableNAm"/>
              <w:jc w:val="center"/>
            </w:pPr>
            <w:r>
              <w:t>70, 75, 80</w:t>
            </w:r>
          </w:p>
        </w:tc>
        <w:tc>
          <w:tcPr>
            <w:tcW w:w="2292" w:type="dxa"/>
            <w:vAlign w:val="bottom"/>
          </w:tcPr>
          <w:p>
            <w:pPr>
              <w:pStyle w:val="yTableNAm"/>
              <w:jc w:val="center"/>
            </w:pPr>
            <w:r>
              <w:rPr>
                <w:szCs w:val="22"/>
              </w:rPr>
              <w:t>3 779.68</w:t>
            </w:r>
          </w:p>
        </w:tc>
      </w:tr>
      <w:tr>
        <w:trPr>
          <w:cantSplit/>
          <w:jc w:val="center"/>
        </w:trPr>
        <w:tc>
          <w:tcPr>
            <w:tcW w:w="2292" w:type="dxa"/>
          </w:tcPr>
          <w:p>
            <w:pPr>
              <w:pStyle w:val="yTableNAm"/>
              <w:jc w:val="center"/>
            </w:pPr>
            <w:r>
              <w:t>100</w:t>
            </w:r>
          </w:p>
        </w:tc>
        <w:tc>
          <w:tcPr>
            <w:tcW w:w="2292" w:type="dxa"/>
            <w:vAlign w:val="bottom"/>
          </w:tcPr>
          <w:p>
            <w:pPr>
              <w:pStyle w:val="yTableNAm"/>
              <w:jc w:val="center"/>
            </w:pPr>
            <w:r>
              <w:rPr>
                <w:szCs w:val="22"/>
              </w:rPr>
              <w:t>5 905.75</w:t>
            </w:r>
          </w:p>
        </w:tc>
      </w:tr>
      <w:tr>
        <w:trPr>
          <w:cantSplit/>
          <w:jc w:val="center"/>
        </w:trPr>
        <w:tc>
          <w:tcPr>
            <w:tcW w:w="2292" w:type="dxa"/>
          </w:tcPr>
          <w:p>
            <w:pPr>
              <w:pStyle w:val="yTableNAm"/>
              <w:jc w:val="center"/>
            </w:pPr>
            <w:r>
              <w:t>140, 150</w:t>
            </w:r>
          </w:p>
        </w:tc>
        <w:tc>
          <w:tcPr>
            <w:tcW w:w="2292" w:type="dxa"/>
            <w:vAlign w:val="bottom"/>
          </w:tcPr>
          <w:p>
            <w:pPr>
              <w:pStyle w:val="yTableNAm"/>
              <w:jc w:val="center"/>
            </w:pPr>
            <w:r>
              <w:rPr>
                <w:szCs w:val="22"/>
              </w:rPr>
              <w:t>13 287.95</w:t>
            </w:r>
          </w:p>
        </w:tc>
      </w:tr>
      <w:tr>
        <w:trPr>
          <w:cantSplit/>
          <w:jc w:val="center"/>
        </w:trPr>
        <w:tc>
          <w:tcPr>
            <w:tcW w:w="2292" w:type="dxa"/>
          </w:tcPr>
          <w:p>
            <w:pPr>
              <w:pStyle w:val="yTableNAm"/>
              <w:jc w:val="center"/>
            </w:pPr>
            <w:r>
              <w:t>200</w:t>
            </w:r>
          </w:p>
        </w:tc>
        <w:tc>
          <w:tcPr>
            <w:tcW w:w="2292" w:type="dxa"/>
            <w:vAlign w:val="bottom"/>
          </w:tcPr>
          <w:p>
            <w:pPr>
              <w:pStyle w:val="yTableNAm"/>
              <w:jc w:val="center"/>
            </w:pPr>
            <w:r>
              <w:rPr>
                <w:szCs w:val="22"/>
              </w:rPr>
              <w:t>23 623.02</w:t>
            </w:r>
          </w:p>
        </w:tc>
      </w:tr>
      <w:tr>
        <w:trPr>
          <w:cantSplit/>
          <w:jc w:val="center"/>
        </w:trPr>
        <w:tc>
          <w:tcPr>
            <w:tcW w:w="2292" w:type="dxa"/>
          </w:tcPr>
          <w:p>
            <w:pPr>
              <w:pStyle w:val="yTableNAm"/>
              <w:jc w:val="center"/>
            </w:pPr>
            <w:r>
              <w:t>250</w:t>
            </w:r>
          </w:p>
        </w:tc>
        <w:tc>
          <w:tcPr>
            <w:tcW w:w="2292" w:type="dxa"/>
            <w:vAlign w:val="bottom"/>
          </w:tcPr>
          <w:p>
            <w:pPr>
              <w:pStyle w:val="yTableNAm"/>
              <w:jc w:val="center"/>
            </w:pPr>
            <w:r>
              <w:rPr>
                <w:szCs w:val="22"/>
              </w:rPr>
              <w:t>36 910.95</w:t>
            </w:r>
          </w:p>
        </w:tc>
      </w:tr>
      <w:tr>
        <w:trPr>
          <w:cantSplit/>
          <w:jc w:val="center"/>
        </w:trPr>
        <w:tc>
          <w:tcPr>
            <w:tcW w:w="2292" w:type="dxa"/>
          </w:tcPr>
          <w:p>
            <w:pPr>
              <w:pStyle w:val="yTableNAm"/>
              <w:jc w:val="center"/>
            </w:pPr>
            <w:r>
              <w:t>300</w:t>
            </w:r>
          </w:p>
        </w:tc>
        <w:tc>
          <w:tcPr>
            <w:tcW w:w="2292" w:type="dxa"/>
            <w:vAlign w:val="bottom"/>
          </w:tcPr>
          <w:p>
            <w:pPr>
              <w:pStyle w:val="yTableNAm"/>
              <w:jc w:val="center"/>
            </w:pPr>
            <w:r>
              <w:rPr>
                <w:szCs w:val="22"/>
              </w:rPr>
              <w:t>53 151.80</w:t>
            </w:r>
          </w:p>
        </w:tc>
      </w:tr>
      <w:tr>
        <w:trPr>
          <w:cantSplit/>
          <w:jc w:val="center"/>
        </w:trPr>
        <w:tc>
          <w:tcPr>
            <w:tcW w:w="2292" w:type="dxa"/>
            <w:tcBorders>
              <w:bottom w:val="single" w:sz="4" w:space="0" w:color="auto"/>
            </w:tcBorders>
          </w:tcPr>
          <w:p>
            <w:pPr>
              <w:pStyle w:val="yTableNAm"/>
              <w:jc w:val="center"/>
            </w:pPr>
            <w:r>
              <w:t>350</w:t>
            </w:r>
          </w:p>
        </w:tc>
        <w:tc>
          <w:tcPr>
            <w:tcW w:w="2292" w:type="dxa"/>
            <w:tcBorders>
              <w:bottom w:val="single" w:sz="4" w:space="0" w:color="auto"/>
            </w:tcBorders>
            <w:vAlign w:val="bottom"/>
          </w:tcPr>
          <w:p>
            <w:pPr>
              <w:pStyle w:val="yTableNAm"/>
              <w:jc w:val="center"/>
            </w:pPr>
            <w:r>
              <w:rPr>
                <w:szCs w:val="22"/>
              </w:rPr>
              <w:t>72 345.52</w:t>
            </w:r>
          </w:p>
        </w:tc>
      </w:tr>
    </w:tbl>
    <w:p>
      <w:pPr>
        <w:pStyle w:val="yHeading4"/>
      </w:pPr>
      <w:bookmarkStart w:id="210" w:name="_Toc453239534"/>
      <w:bookmarkStart w:id="211" w:name="_Toc453239705"/>
      <w:bookmarkStart w:id="212" w:name="_Toc453239882"/>
      <w:bookmarkStart w:id="213" w:name="_Toc453240095"/>
      <w:bookmarkStart w:id="214" w:name="_Toc453243588"/>
      <w:bookmarkStart w:id="215" w:name="_Toc455155262"/>
      <w:bookmarkStart w:id="216" w:name="_Toc455404153"/>
      <w:r>
        <w:t>Subdivision 2</w:t>
      </w:r>
      <w:r>
        <w:rPr>
          <w:b w:val="0"/>
        </w:rPr>
        <w:t> — </w:t>
      </w:r>
      <w:r>
        <w:t>Service charges that apply in respect of land</w:t>
      </w:r>
      <w:bookmarkEnd w:id="210"/>
      <w:bookmarkEnd w:id="211"/>
      <w:bookmarkEnd w:id="212"/>
      <w:bookmarkEnd w:id="213"/>
      <w:bookmarkEnd w:id="214"/>
      <w:bookmarkEnd w:id="215"/>
      <w:bookmarkEnd w:id="216"/>
    </w:p>
    <w:p>
      <w:pPr>
        <w:pStyle w:val="yFootnoteheading"/>
      </w:pPr>
      <w:r>
        <w:tab/>
        <w:t>[Heading inserted in Gazette 27 Jun 2016 p. 2545.]</w:t>
      </w:r>
    </w:p>
    <w:p>
      <w:pPr>
        <w:pStyle w:val="yHeading5"/>
        <w:tabs>
          <w:tab w:val="clear" w:pos="879"/>
        </w:tabs>
        <w:ind w:left="851" w:hanging="851"/>
      </w:pPr>
      <w:bookmarkStart w:id="217" w:name="_Toc453243589"/>
      <w:bookmarkStart w:id="218" w:name="_Toc455404154"/>
      <w:r>
        <w:rPr>
          <w:rStyle w:val="CharSClsNo"/>
        </w:rPr>
        <w:t>3</w:t>
      </w:r>
      <w:r>
        <w:t>.</w:t>
      </w:r>
      <w:r>
        <w:tab/>
        <w:t>Residential</w:t>
      </w:r>
      <w:bookmarkEnd w:id="217"/>
      <w:bookmarkEnd w:id="218"/>
    </w:p>
    <w:p>
      <w:pPr>
        <w:pStyle w:val="yMiscellaneousBody"/>
        <w:tabs>
          <w:tab w:val="right" w:leader="dot" w:pos="6804"/>
        </w:tabs>
        <w:ind w:left="851" w:hanging="851"/>
      </w:pPr>
      <w:r>
        <w:tab/>
        <w:t xml:space="preserve">In respect of a residential property not covered </w:t>
      </w:r>
      <w:r>
        <w:br/>
        <w:t xml:space="preserve">by item 4, 5, 8, 9 or 10, the charge is </w:t>
      </w:r>
      <w:r>
        <w:tab/>
        <w:t xml:space="preserve"> </w:t>
      </w:r>
      <w:r>
        <w:rPr>
          <w:szCs w:val="22"/>
        </w:rPr>
        <w:t>$236.22</w:t>
      </w:r>
    </w:p>
    <w:p>
      <w:pPr>
        <w:pStyle w:val="yHeading5"/>
        <w:tabs>
          <w:tab w:val="clear" w:pos="879"/>
        </w:tabs>
        <w:ind w:left="851" w:hanging="851"/>
      </w:pPr>
      <w:bookmarkStart w:id="219" w:name="_Toc453243590"/>
      <w:bookmarkStart w:id="220" w:name="_Toc455404155"/>
      <w:r>
        <w:rPr>
          <w:rStyle w:val="CharSClsNo"/>
        </w:rPr>
        <w:t>4</w:t>
      </w:r>
      <w:r>
        <w:t>.</w:t>
      </w:r>
      <w:r>
        <w:tab/>
        <w:t>Metropolitan concessional</w:t>
      </w:r>
      <w:bookmarkEnd w:id="219"/>
      <w:bookmarkEnd w:id="220"/>
    </w:p>
    <w:p>
      <w:pPr>
        <w:pStyle w:val="yMiscellaneousBody"/>
        <w:tabs>
          <w:tab w:val="left" w:pos="284"/>
        </w:tabs>
        <w:ind w:left="851" w:hanging="851"/>
      </w:pPr>
      <w:r>
        <w:tab/>
        <w:t>(1)</w:t>
      </w:r>
      <w:r>
        <w:tab/>
        <w:t xml:space="preserve">In respect of land in the metropolitan area that </w:t>
      </w:r>
      <w:r>
        <w:br/>
        <w:t xml:space="preserve">is classified as aged home, community purpose </w:t>
      </w:r>
      <w:r>
        <w:br/>
        <w:t xml:space="preserve">or charitable purposes, the charge, per water </w:t>
      </w:r>
      <w:r>
        <w:br/>
        <w:t xml:space="preserve">supply connection, is the charge set out in the </w:t>
      </w:r>
      <w:r>
        <w:br/>
        <w:t xml:space="preserve">Table in item 2, according to the relevant meter </w:t>
      </w:r>
      <w:r>
        <w:br/>
        <w:t>size, less a discount of 100%.</w:t>
      </w:r>
    </w:p>
    <w:p>
      <w:pPr>
        <w:pStyle w:val="yMiscellaneousBody"/>
        <w:tabs>
          <w:tab w:val="left" w:pos="284"/>
        </w:tabs>
        <w:ind w:left="851" w:hanging="851"/>
      </w:pPr>
      <w:r>
        <w:tab/>
        <w:t>(2)</w:t>
      </w:r>
      <w:r>
        <w:tab/>
        <w:t>Sub</w:t>
      </w:r>
      <w:r>
        <w:noBreakHyphen/>
        <w:t xml:space="preserve">item (1) does not apply to a connection </w:t>
      </w:r>
      <w:r>
        <w:br/>
        <w:t>covered by item 22.</w:t>
      </w:r>
    </w:p>
    <w:p>
      <w:pPr>
        <w:pStyle w:val="yHeading5"/>
        <w:tabs>
          <w:tab w:val="clear" w:pos="879"/>
        </w:tabs>
        <w:ind w:left="851" w:hanging="851"/>
      </w:pPr>
      <w:bookmarkStart w:id="221" w:name="_Toc453243591"/>
      <w:bookmarkStart w:id="222" w:name="_Toc455404156"/>
      <w:r>
        <w:rPr>
          <w:rStyle w:val="CharSClsNo"/>
        </w:rPr>
        <w:t>5</w:t>
      </w:r>
      <w:r>
        <w:t>.</w:t>
      </w:r>
      <w:r>
        <w:tab/>
        <w:t>Strata</w:t>
      </w:r>
      <w:r>
        <w:noBreakHyphen/>
        <w:t>titled or long</w:t>
      </w:r>
      <w:r>
        <w:noBreakHyphen/>
        <w:t>term residential caravan bays</w:t>
      </w:r>
      <w:bookmarkEnd w:id="221"/>
      <w:bookmarkEnd w:id="222"/>
    </w:p>
    <w:p>
      <w:pPr>
        <w:pStyle w:val="yMiscellaneousBody"/>
        <w:tabs>
          <w:tab w:val="right" w:leader="dot" w:pos="6804"/>
        </w:tabs>
        <w:ind w:left="851" w:hanging="851"/>
      </w:pPr>
      <w:r>
        <w:tab/>
        <w:t>In respect of a strata</w:t>
      </w:r>
      <w:r>
        <w:noBreakHyphen/>
        <w:t xml:space="preserve">titled caravan bay or a </w:t>
      </w:r>
      <w:r>
        <w:br/>
        <w:t>long</w:t>
      </w:r>
      <w:r>
        <w:noBreakHyphen/>
        <w:t xml:space="preserve">term residential caravan bay, the charge is </w:t>
      </w:r>
      <w:r>
        <w:tab/>
        <w:t xml:space="preserve"> $166.02</w:t>
      </w:r>
    </w:p>
    <w:p>
      <w:pPr>
        <w:pStyle w:val="yHeading5"/>
        <w:tabs>
          <w:tab w:val="clear" w:pos="879"/>
        </w:tabs>
        <w:ind w:left="851" w:hanging="851"/>
      </w:pPr>
      <w:bookmarkStart w:id="223" w:name="_Toc453243592"/>
      <w:bookmarkStart w:id="224" w:name="_Toc455404157"/>
      <w:r>
        <w:rPr>
          <w:rStyle w:val="CharSClsNo"/>
        </w:rPr>
        <w:t>6</w:t>
      </w:r>
      <w:r>
        <w:t>.</w:t>
      </w:r>
      <w:r>
        <w:tab/>
        <w:t>Strata</w:t>
      </w:r>
      <w:r>
        <w:noBreakHyphen/>
        <w:t>titled storage units or parking bays</w:t>
      </w:r>
      <w:bookmarkEnd w:id="223"/>
      <w:bookmarkEnd w:id="224"/>
    </w:p>
    <w:p>
      <w:pPr>
        <w:pStyle w:val="yMiscellaneousBody"/>
        <w:tabs>
          <w:tab w:val="right" w:leader="dot" w:pos="6804"/>
        </w:tabs>
        <w:ind w:left="851" w:hanging="851"/>
      </w:pPr>
      <w:r>
        <w:rPr>
          <w:szCs w:val="22"/>
        </w:rPr>
        <w:tab/>
        <w:t xml:space="preserve">In respect of a lot that is used for storage </w:t>
      </w:r>
      <w:r>
        <w:rPr>
          <w:szCs w:val="22"/>
        </w:rPr>
        <w:br/>
        <w:t xml:space="preserve">purposes or as a parking bay, the charge is </w:t>
      </w:r>
      <w:r>
        <w:rPr>
          <w:szCs w:val="22"/>
        </w:rPr>
        <w:tab/>
        <w:t xml:space="preserve"> $83.14</w:t>
      </w:r>
    </w:p>
    <w:p>
      <w:pPr>
        <w:pStyle w:val="yHeading5"/>
        <w:tabs>
          <w:tab w:val="clear" w:pos="879"/>
        </w:tabs>
        <w:ind w:left="851" w:hanging="851"/>
      </w:pPr>
      <w:bookmarkStart w:id="225" w:name="_Toc453243593"/>
      <w:bookmarkStart w:id="226" w:name="_Toc455404158"/>
      <w:r>
        <w:rPr>
          <w:rStyle w:val="CharSClsNo"/>
        </w:rPr>
        <w:t>7</w:t>
      </w:r>
      <w:r>
        <w:t>.</w:t>
      </w:r>
      <w:r>
        <w:tab/>
        <w:t>Non</w:t>
      </w:r>
      <w:r>
        <w:noBreakHyphen/>
        <w:t>residential strata</w:t>
      </w:r>
      <w:r>
        <w:noBreakHyphen/>
        <w:t>titled units that share a service</w:t>
      </w:r>
      <w:bookmarkEnd w:id="225"/>
      <w:bookmarkEnd w:id="226"/>
    </w:p>
    <w:p>
      <w:pPr>
        <w:pStyle w:val="yMiscellaneousBody"/>
        <w:ind w:left="851" w:hanging="851"/>
      </w:pPr>
      <w:r>
        <w:tab/>
        <w:t>In respect of land that —</w:t>
      </w:r>
    </w:p>
    <w:p>
      <w:pPr>
        <w:pStyle w:val="yMiscellaneousBody"/>
        <w:tabs>
          <w:tab w:val="left" w:pos="1418"/>
          <w:tab w:val="left" w:pos="1843"/>
        </w:tabs>
        <w:rPr>
          <w:szCs w:val="22"/>
        </w:rPr>
      </w:pPr>
      <w:r>
        <w:rPr>
          <w:szCs w:val="22"/>
        </w:rPr>
        <w:tab/>
        <w:t>(a)</w:t>
      </w:r>
      <w:r>
        <w:rPr>
          <w:szCs w:val="22"/>
        </w:rPr>
        <w:tab/>
        <w:t>is contained in a lot; and</w:t>
      </w:r>
    </w:p>
    <w:p>
      <w:pPr>
        <w:pStyle w:val="yMiscellaneousBody"/>
        <w:tabs>
          <w:tab w:val="left" w:pos="1418"/>
          <w:tab w:val="left" w:pos="1843"/>
        </w:tabs>
        <w:rPr>
          <w:szCs w:val="22"/>
        </w:rPr>
      </w:pPr>
      <w:r>
        <w:rPr>
          <w:szCs w:val="22"/>
        </w:rPr>
        <w:tab/>
        <w:t>(b)</w:t>
      </w:r>
      <w:r>
        <w:rPr>
          <w:szCs w:val="22"/>
        </w:rPr>
        <w:tab/>
        <w:t>is classified as non</w:t>
      </w:r>
      <w:r>
        <w:rPr>
          <w:szCs w:val="22"/>
        </w:rPr>
        <w:noBreakHyphen/>
        <w:t>residential; and</w:t>
      </w:r>
    </w:p>
    <w:p>
      <w:pPr>
        <w:pStyle w:val="yMiscellaneousBody"/>
        <w:tabs>
          <w:tab w:val="left" w:pos="1418"/>
          <w:tab w:val="left" w:pos="1843"/>
        </w:tabs>
        <w:rPr>
          <w:szCs w:val="22"/>
        </w:rPr>
      </w:pPr>
      <w:r>
        <w:rPr>
          <w:szCs w:val="22"/>
        </w:rPr>
        <w:tab/>
        <w:t>(c)</w:t>
      </w:r>
      <w:r>
        <w:rPr>
          <w:szCs w:val="22"/>
        </w:rPr>
        <w:tab/>
        <w:t>is not covered by item 5 or 6; and</w:t>
      </w:r>
    </w:p>
    <w:p>
      <w:pPr>
        <w:pStyle w:val="yMiscellaneousBody"/>
        <w:tabs>
          <w:tab w:val="left" w:pos="1418"/>
          <w:tab w:val="left" w:pos="1843"/>
        </w:tabs>
        <w:rPr>
          <w:szCs w:val="22"/>
        </w:rPr>
      </w:pPr>
      <w:r>
        <w:rPr>
          <w:szCs w:val="22"/>
        </w:rPr>
        <w:tab/>
        <w:t>(d)</w:t>
      </w:r>
      <w:r>
        <w:rPr>
          <w:szCs w:val="22"/>
        </w:rPr>
        <w:tab/>
        <w:t xml:space="preserve">shares a water supply connection with </w:t>
      </w:r>
      <w:r>
        <w:rPr>
          <w:szCs w:val="22"/>
        </w:rPr>
        <w:br/>
      </w:r>
      <w:r>
        <w:rPr>
          <w:szCs w:val="22"/>
        </w:rPr>
        <w:tab/>
      </w:r>
      <w:r>
        <w:rPr>
          <w:szCs w:val="22"/>
        </w:rPr>
        <w:tab/>
        <w:t>other such land,</w:t>
      </w:r>
    </w:p>
    <w:p>
      <w:pPr>
        <w:pStyle w:val="yMiscellaneousBody"/>
        <w:tabs>
          <w:tab w:val="right" w:leader="dot" w:pos="6804"/>
        </w:tabs>
        <w:ind w:left="851" w:hanging="851"/>
      </w:pPr>
      <w:r>
        <w:tab/>
        <w:t xml:space="preserve">the charge is </w:t>
      </w:r>
      <w:r>
        <w:tab/>
        <w:t xml:space="preserve"> </w:t>
      </w:r>
      <w:r>
        <w:rPr>
          <w:szCs w:val="22"/>
        </w:rPr>
        <w:t>$236.22</w:t>
      </w:r>
    </w:p>
    <w:p>
      <w:pPr>
        <w:pStyle w:val="yHeading5"/>
        <w:tabs>
          <w:tab w:val="clear" w:pos="879"/>
        </w:tabs>
        <w:ind w:left="851" w:hanging="851"/>
      </w:pPr>
      <w:bookmarkStart w:id="227" w:name="_Toc453243594"/>
      <w:bookmarkStart w:id="228" w:name="_Toc455404159"/>
      <w:r>
        <w:rPr>
          <w:rStyle w:val="CharSClsNo"/>
        </w:rPr>
        <w:t>8</w:t>
      </w:r>
      <w:r>
        <w:t>.</w:t>
      </w:r>
      <w:r>
        <w:tab/>
        <w:t>Community residential</w:t>
      </w:r>
      <w:bookmarkEnd w:id="227"/>
      <w:bookmarkEnd w:id="228"/>
    </w:p>
    <w:p>
      <w:pPr>
        <w:pStyle w:val="yMiscellaneousBody"/>
        <w:tabs>
          <w:tab w:val="left" w:pos="284"/>
          <w:tab w:val="right" w:leader="dot" w:pos="6804"/>
        </w:tabs>
        <w:ind w:left="851" w:hanging="851"/>
      </w:pPr>
      <w:r>
        <w:tab/>
        <w:t>(1)</w:t>
      </w:r>
      <w:r>
        <w:tab/>
        <w:t xml:space="preserve">In respect of land that is classified as </w:t>
      </w:r>
      <w:r>
        <w:br/>
        <w:t xml:space="preserve">community residential, the charge is, for each </w:t>
      </w:r>
      <w:r>
        <w:br/>
        <w:t xml:space="preserve">residential unit equivalent </w:t>
      </w:r>
      <w:r>
        <w:rPr>
          <w:szCs w:val="22"/>
        </w:rPr>
        <w:tab/>
        <w:t xml:space="preserve"> $127.36</w:t>
      </w:r>
    </w:p>
    <w:p>
      <w:pPr>
        <w:pStyle w:val="yMiscellaneousBody"/>
        <w:tabs>
          <w:tab w:val="left" w:pos="284"/>
        </w:tabs>
        <w:ind w:left="851" w:hanging="851"/>
      </w:pPr>
      <w:r>
        <w:tab/>
        <w:t>(2)</w:t>
      </w:r>
      <w:r>
        <w:tab/>
        <w:t xml:space="preserve">The Water Corporation must determine, by </w:t>
      </w:r>
      <w:r>
        <w:br/>
        <w:t xml:space="preserve">reference to the anticipated water supply </w:t>
      </w:r>
      <w:r>
        <w:br/>
        <w:t xml:space="preserve">requirements of the communal property, the </w:t>
      </w:r>
      <w:r>
        <w:br/>
        <w:t xml:space="preserve">number of residential unit equivalents to which </w:t>
      </w:r>
      <w:r>
        <w:br/>
        <w:t>the communal property equates.</w:t>
      </w:r>
    </w:p>
    <w:p>
      <w:pPr>
        <w:pStyle w:val="yHeading5"/>
        <w:tabs>
          <w:tab w:val="clear" w:pos="879"/>
        </w:tabs>
        <w:ind w:left="851" w:hanging="851"/>
      </w:pPr>
      <w:bookmarkStart w:id="229" w:name="_Toc453243595"/>
      <w:bookmarkStart w:id="230" w:name="_Toc455404160"/>
      <w:r>
        <w:rPr>
          <w:rStyle w:val="CharSClsNo"/>
        </w:rPr>
        <w:t>9</w:t>
      </w:r>
      <w:r>
        <w:t>.</w:t>
      </w:r>
      <w:r>
        <w:tab/>
        <w:t>Semi</w:t>
      </w:r>
      <w:r>
        <w:noBreakHyphen/>
        <w:t>rural residential</w:t>
      </w:r>
      <w:bookmarkEnd w:id="229"/>
      <w:bookmarkEnd w:id="230"/>
    </w:p>
    <w:p>
      <w:pPr>
        <w:pStyle w:val="yMiscellaneousBody"/>
        <w:tabs>
          <w:tab w:val="right" w:leader="dot" w:pos="6804"/>
        </w:tabs>
        <w:ind w:left="851" w:hanging="851"/>
      </w:pPr>
      <w:r>
        <w:tab/>
      </w:r>
      <w:r>
        <w:rPr>
          <w:szCs w:val="22"/>
        </w:rPr>
        <w:t>In respect of a semi</w:t>
      </w:r>
      <w:r>
        <w:rPr>
          <w:szCs w:val="22"/>
        </w:rPr>
        <w:noBreakHyphen/>
        <w:t xml:space="preserve">rural residential property </w:t>
      </w:r>
      <w:r>
        <w:rPr>
          <w:szCs w:val="22"/>
        </w:rPr>
        <w:br/>
        <w:t>not covered by item </w:t>
      </w:r>
      <w:r>
        <w:t>4</w:t>
      </w:r>
      <w:r>
        <w:rPr>
          <w:szCs w:val="22"/>
        </w:rPr>
        <w:t xml:space="preserve">, the charge is </w:t>
      </w:r>
      <w:r>
        <w:rPr>
          <w:szCs w:val="22"/>
        </w:rPr>
        <w:tab/>
        <w:t xml:space="preserve"> $236.22</w:t>
      </w:r>
    </w:p>
    <w:p>
      <w:pPr>
        <w:pStyle w:val="yHeading5"/>
        <w:tabs>
          <w:tab w:val="clear" w:pos="879"/>
        </w:tabs>
        <w:ind w:left="851" w:hanging="851"/>
      </w:pPr>
      <w:bookmarkStart w:id="231" w:name="_Toc453243596"/>
      <w:bookmarkStart w:id="232" w:name="_Toc455404161"/>
      <w:r>
        <w:rPr>
          <w:rStyle w:val="CharSClsNo"/>
        </w:rPr>
        <w:t>10</w:t>
      </w:r>
      <w:r>
        <w:t>.</w:t>
      </w:r>
      <w:r>
        <w:tab/>
        <w:t>Non</w:t>
      </w:r>
      <w:r>
        <w:noBreakHyphen/>
        <w:t>metropolitan concessional</w:t>
      </w:r>
      <w:bookmarkEnd w:id="231"/>
      <w:bookmarkEnd w:id="232"/>
    </w:p>
    <w:p>
      <w:pPr>
        <w:pStyle w:val="yMiscellaneousBody"/>
        <w:tabs>
          <w:tab w:val="left" w:pos="284"/>
        </w:tabs>
        <w:ind w:left="851" w:hanging="851"/>
      </w:pPr>
      <w:r>
        <w:tab/>
        <w:t>(1)</w:t>
      </w:r>
      <w:r>
        <w:tab/>
        <w:t>In respect of land in the non</w:t>
      </w:r>
      <w:r>
        <w:noBreakHyphen/>
        <w:t xml:space="preserve">metropolitan area </w:t>
      </w:r>
      <w:r>
        <w:br/>
        <w:t>that —</w:t>
      </w:r>
    </w:p>
    <w:p>
      <w:pPr>
        <w:pStyle w:val="yMiscellaneousBody"/>
        <w:tabs>
          <w:tab w:val="left" w:pos="993"/>
        </w:tabs>
        <w:ind w:left="1560" w:hanging="1560"/>
        <w:rPr>
          <w:szCs w:val="22"/>
        </w:rPr>
      </w:pPr>
      <w:r>
        <w:rPr>
          <w:szCs w:val="22"/>
        </w:rPr>
        <w:tab/>
        <w:t>(a)</w:t>
      </w:r>
      <w:r>
        <w:rPr>
          <w:szCs w:val="22"/>
        </w:rPr>
        <w:tab/>
        <w:t xml:space="preserve">is concessional land contained in a </w:t>
      </w:r>
      <w:r>
        <w:rPr>
          <w:szCs w:val="22"/>
        </w:rPr>
        <w:br/>
        <w:t>residential property; or</w:t>
      </w:r>
    </w:p>
    <w:p>
      <w:pPr>
        <w:pStyle w:val="yMiscellaneousBody"/>
        <w:tabs>
          <w:tab w:val="left" w:pos="993"/>
        </w:tabs>
        <w:ind w:left="1560" w:hanging="1560"/>
        <w:rPr>
          <w:szCs w:val="22"/>
        </w:rPr>
      </w:pPr>
      <w:r>
        <w:rPr>
          <w:szCs w:val="22"/>
        </w:rPr>
        <w:tab/>
        <w:t>(b)</w:t>
      </w:r>
      <w:r>
        <w:rPr>
          <w:szCs w:val="22"/>
        </w:rPr>
        <w:tab/>
        <w:t xml:space="preserve">is classified as charitable purposes, </w:t>
      </w:r>
      <w:r>
        <w:rPr>
          <w:szCs w:val="22"/>
        </w:rPr>
        <w:br/>
        <w:t xml:space="preserve">institutional public or local government </w:t>
      </w:r>
      <w:r>
        <w:rPr>
          <w:szCs w:val="22"/>
        </w:rPr>
        <w:br/>
        <w:t xml:space="preserve">and not contained in a residential </w:t>
      </w:r>
      <w:r>
        <w:rPr>
          <w:szCs w:val="22"/>
        </w:rPr>
        <w:br/>
        <w:t>property,</w:t>
      </w:r>
    </w:p>
    <w:p>
      <w:pPr>
        <w:pStyle w:val="ySubsection"/>
        <w:tabs>
          <w:tab w:val="clear" w:pos="595"/>
          <w:tab w:val="clear" w:pos="879"/>
        </w:tabs>
        <w:ind w:left="851" w:hanging="851"/>
      </w:pPr>
      <w:r>
        <w:tab/>
        <w:t>the charge, per water supply connection, is the charge set out in the Table in item 2, according to the relevant meter size, less a discount of 100%.</w:t>
      </w:r>
    </w:p>
    <w:p>
      <w:pPr>
        <w:pStyle w:val="yMiscellaneousBody"/>
        <w:tabs>
          <w:tab w:val="left" w:pos="284"/>
        </w:tabs>
        <w:ind w:left="851" w:hanging="851"/>
      </w:pPr>
      <w:r>
        <w:tab/>
        <w:t>(2)</w:t>
      </w:r>
      <w:r>
        <w:tab/>
        <w:t>Sub</w:t>
      </w:r>
      <w:r>
        <w:noBreakHyphen/>
        <w:t xml:space="preserve">item (1) does not apply to a connection </w:t>
      </w:r>
      <w:r>
        <w:br/>
        <w:t>covered by item 22.</w:t>
      </w:r>
    </w:p>
    <w:p>
      <w:pPr>
        <w:pStyle w:val="yHeading5"/>
        <w:tabs>
          <w:tab w:val="clear" w:pos="879"/>
        </w:tabs>
        <w:ind w:left="851" w:hanging="851"/>
      </w:pPr>
      <w:bookmarkStart w:id="233" w:name="_Toc453243597"/>
      <w:bookmarkStart w:id="234" w:name="_Toc455404162"/>
      <w:r>
        <w:rPr>
          <w:rStyle w:val="CharSClsNo"/>
        </w:rPr>
        <w:t>11</w:t>
      </w:r>
      <w:r>
        <w:t>.</w:t>
      </w:r>
      <w:r>
        <w:tab/>
        <w:t>Non</w:t>
      </w:r>
      <w:r>
        <w:noBreakHyphen/>
        <w:t>residential or commercial residential (except certain strata</w:t>
      </w:r>
      <w:r>
        <w:noBreakHyphen/>
        <w:t>titled units)</w:t>
      </w:r>
      <w:bookmarkEnd w:id="233"/>
      <w:bookmarkEnd w:id="234"/>
    </w:p>
    <w:p>
      <w:pPr>
        <w:pStyle w:val="yMiscellaneousBody"/>
        <w:tabs>
          <w:tab w:val="left" w:pos="284"/>
        </w:tabs>
        <w:ind w:left="851" w:hanging="851"/>
      </w:pPr>
      <w:r>
        <w:tab/>
        <w:t>(1)</w:t>
      </w:r>
      <w:r>
        <w:tab/>
        <w:t>In respect of land that —</w:t>
      </w:r>
    </w:p>
    <w:p>
      <w:pPr>
        <w:pStyle w:val="yMiscellaneousBody"/>
        <w:tabs>
          <w:tab w:val="left" w:pos="993"/>
        </w:tabs>
        <w:ind w:left="1560" w:hanging="1560"/>
        <w:rPr>
          <w:szCs w:val="22"/>
        </w:rPr>
      </w:pPr>
      <w:r>
        <w:rPr>
          <w:szCs w:val="22"/>
        </w:rPr>
        <w:tab/>
        <w:t>(a)</w:t>
      </w:r>
      <w:r>
        <w:rPr>
          <w:szCs w:val="22"/>
        </w:rPr>
        <w:tab/>
        <w:t>is classified as non</w:t>
      </w:r>
      <w:r>
        <w:rPr>
          <w:szCs w:val="22"/>
        </w:rPr>
        <w:noBreakHyphen/>
        <w:t xml:space="preserve">residential or </w:t>
      </w:r>
      <w:r>
        <w:rPr>
          <w:szCs w:val="22"/>
        </w:rPr>
        <w:br/>
        <w:t>commercial residential; and</w:t>
      </w:r>
    </w:p>
    <w:p>
      <w:pPr>
        <w:pStyle w:val="yMiscellaneousBody"/>
        <w:tabs>
          <w:tab w:val="left" w:pos="993"/>
        </w:tabs>
        <w:ind w:left="1560" w:hanging="1560"/>
        <w:rPr>
          <w:szCs w:val="22"/>
        </w:rPr>
      </w:pPr>
      <w:r>
        <w:rPr>
          <w:szCs w:val="22"/>
        </w:rPr>
        <w:tab/>
        <w:t>(b)</w:t>
      </w:r>
      <w:r>
        <w:rPr>
          <w:szCs w:val="22"/>
        </w:rPr>
        <w:tab/>
        <w:t xml:space="preserve">is not contained in a residential </w:t>
      </w:r>
      <w:r>
        <w:rPr>
          <w:szCs w:val="22"/>
        </w:rPr>
        <w:br/>
        <w:t>property; and</w:t>
      </w:r>
    </w:p>
    <w:p>
      <w:pPr>
        <w:pStyle w:val="yMiscellaneousBody"/>
        <w:tabs>
          <w:tab w:val="left" w:pos="993"/>
        </w:tabs>
        <w:ind w:left="1560" w:hanging="1560"/>
        <w:rPr>
          <w:szCs w:val="22"/>
        </w:rPr>
      </w:pPr>
      <w:r>
        <w:rPr>
          <w:szCs w:val="22"/>
        </w:rPr>
        <w:tab/>
        <w:t>(c)</w:t>
      </w:r>
      <w:r>
        <w:rPr>
          <w:szCs w:val="22"/>
        </w:rPr>
        <w:tab/>
        <w:t>is not covered by item 5, 6 or 7,</w:t>
      </w:r>
    </w:p>
    <w:p>
      <w:pPr>
        <w:pStyle w:val="ySubsection"/>
        <w:tabs>
          <w:tab w:val="clear" w:pos="595"/>
          <w:tab w:val="clear" w:pos="879"/>
        </w:tabs>
        <w:ind w:left="851" w:hanging="851"/>
      </w:pPr>
      <w:r>
        <w:tab/>
        <w:t xml:space="preserve">the charge is the charge set out in the Table in </w:t>
      </w:r>
      <w:r>
        <w:br/>
        <w:t>item 2, according to the relevant meter size.</w:t>
      </w:r>
    </w:p>
    <w:p>
      <w:pPr>
        <w:pStyle w:val="yMiscellaneousBody"/>
        <w:tabs>
          <w:tab w:val="left" w:pos="284"/>
        </w:tabs>
        <w:ind w:left="851" w:hanging="851"/>
      </w:pPr>
      <w:r>
        <w:tab/>
        <w:t>(2)</w:t>
      </w:r>
      <w:r>
        <w:tab/>
        <w:t>Sub</w:t>
      </w:r>
      <w:r>
        <w:noBreakHyphen/>
        <w:t xml:space="preserve">item (1) does not apply to a connection </w:t>
      </w:r>
      <w:r>
        <w:br/>
        <w:t>covered by item 22.</w:t>
      </w:r>
    </w:p>
    <w:p>
      <w:pPr>
        <w:pStyle w:val="yMiscellaneousBody"/>
        <w:tabs>
          <w:tab w:val="left" w:pos="284"/>
        </w:tabs>
        <w:ind w:left="851" w:hanging="851"/>
      </w:pPr>
      <w:r>
        <w:tab/>
        <w:t>(3)</w:t>
      </w:r>
      <w:r>
        <w:tab/>
        <w:t>If land covered by sub</w:t>
      </w:r>
      <w:r>
        <w:noBreakHyphen/>
        <w:t xml:space="preserve">item (1) is connected to </w:t>
      </w:r>
      <w:r>
        <w:br/>
        <w:t xml:space="preserve">the water supply works of the Water </w:t>
      </w:r>
      <w:r>
        <w:br/>
        <w:t xml:space="preserve">Corporation but not metered, the charge is to be </w:t>
      </w:r>
      <w:r>
        <w:br/>
        <w:t xml:space="preserve">calculated as if the connection were metered </w:t>
      </w:r>
      <w:r>
        <w:br/>
        <w:t xml:space="preserve">through a meter of the same diameter as the </w:t>
      </w:r>
      <w:r>
        <w:br/>
        <w:t>pipe with which the connection is made.</w:t>
      </w:r>
    </w:p>
    <w:p>
      <w:pPr>
        <w:pStyle w:val="yMiscellaneousBody"/>
        <w:tabs>
          <w:tab w:val="left" w:pos="284"/>
        </w:tabs>
        <w:ind w:left="851" w:hanging="851"/>
      </w:pPr>
      <w:r>
        <w:tab/>
        <w:t>(4)</w:t>
      </w:r>
      <w:r>
        <w:tab/>
        <w:t>If land covered by sub</w:t>
      </w:r>
      <w:r>
        <w:noBreakHyphen/>
        <w:t xml:space="preserve">item (1) is not </w:t>
      </w:r>
      <w:r>
        <w:br/>
        <w:t xml:space="preserve">connected to the water supply works of the </w:t>
      </w:r>
      <w:r>
        <w:br/>
        <w:t xml:space="preserve">Water Corporation, the charge is to be </w:t>
      </w:r>
      <w:r>
        <w:br/>
        <w:t xml:space="preserve">calculated as if the land were connected and the </w:t>
      </w:r>
      <w:r>
        <w:br/>
        <w:t>connection metered through a 20 mm meter.</w:t>
      </w:r>
    </w:p>
    <w:p>
      <w:pPr>
        <w:pStyle w:val="yHeading5"/>
        <w:tabs>
          <w:tab w:val="clear" w:pos="879"/>
        </w:tabs>
        <w:ind w:left="851" w:hanging="851"/>
      </w:pPr>
      <w:bookmarkStart w:id="235" w:name="_Toc453243598"/>
      <w:bookmarkStart w:id="236" w:name="_Toc455404163"/>
      <w:r>
        <w:rPr>
          <w:rStyle w:val="CharSClsNo"/>
        </w:rPr>
        <w:t>12</w:t>
      </w:r>
      <w:r>
        <w:t>.</w:t>
      </w:r>
      <w:r>
        <w:tab/>
        <w:t>Additional connections</w:t>
      </w:r>
      <w:bookmarkEnd w:id="235"/>
      <w:bookmarkEnd w:id="236"/>
    </w:p>
    <w:p>
      <w:pPr>
        <w:pStyle w:val="yMiscellaneousBody"/>
        <w:tabs>
          <w:tab w:val="left" w:pos="284"/>
        </w:tabs>
        <w:ind w:left="851" w:hanging="851"/>
      </w:pPr>
      <w:r>
        <w:tab/>
        <w:t>(1)</w:t>
      </w:r>
      <w:r>
        <w:tab/>
        <w:t xml:space="preserve">In respect of land supplied water through more </w:t>
      </w:r>
      <w:r>
        <w:br/>
        <w:t xml:space="preserve">than one water supply connection, the charge, </w:t>
      </w:r>
      <w:r>
        <w:br/>
        <w:t>for each additional connection, is —</w:t>
      </w:r>
    </w:p>
    <w:p>
      <w:pPr>
        <w:pStyle w:val="yMiscellaneousBody"/>
        <w:tabs>
          <w:tab w:val="left" w:pos="993"/>
        </w:tabs>
        <w:ind w:left="1560" w:hanging="1560"/>
        <w:rPr>
          <w:szCs w:val="22"/>
        </w:rPr>
      </w:pPr>
      <w:r>
        <w:rPr>
          <w:szCs w:val="22"/>
        </w:rPr>
        <w:tab/>
        <w:t>(a)</w:t>
      </w:r>
      <w:r>
        <w:rPr>
          <w:szCs w:val="22"/>
        </w:rPr>
        <w:tab/>
        <w:t xml:space="preserve">for land that is classified as </w:t>
      </w:r>
      <w:r>
        <w:rPr>
          <w:szCs w:val="22"/>
        </w:rPr>
        <w:br/>
        <w:t>non</w:t>
      </w:r>
      <w:r>
        <w:rPr>
          <w:szCs w:val="22"/>
        </w:rPr>
        <w:noBreakHyphen/>
        <w:t xml:space="preserve">residential or commercial </w:t>
      </w:r>
      <w:r>
        <w:rPr>
          <w:szCs w:val="22"/>
        </w:rPr>
        <w:br/>
        <w:t xml:space="preserve">residential, the charge set out in the </w:t>
      </w:r>
      <w:r>
        <w:rPr>
          <w:szCs w:val="22"/>
        </w:rPr>
        <w:br/>
        <w:t xml:space="preserve">Table in item 2, according to the </w:t>
      </w:r>
      <w:r>
        <w:rPr>
          <w:szCs w:val="22"/>
        </w:rPr>
        <w:br/>
        <w:t>relevant meter size; and</w:t>
      </w:r>
    </w:p>
    <w:p>
      <w:pPr>
        <w:pStyle w:val="yMiscellaneousBody"/>
        <w:tabs>
          <w:tab w:val="left" w:pos="993"/>
          <w:tab w:val="right" w:leader="dot" w:pos="6804"/>
        </w:tabs>
        <w:ind w:left="1560" w:hanging="1560"/>
        <w:rPr>
          <w:szCs w:val="22"/>
        </w:rPr>
      </w:pPr>
      <w:r>
        <w:rPr>
          <w:szCs w:val="22"/>
        </w:rPr>
        <w:tab/>
        <w:t>(b)</w:t>
      </w:r>
      <w:r>
        <w:rPr>
          <w:szCs w:val="22"/>
        </w:rPr>
        <w:tab/>
        <w:t xml:space="preserve">for land to which paragraph (a) does not </w:t>
      </w:r>
      <w:r>
        <w:rPr>
          <w:szCs w:val="22"/>
        </w:rPr>
        <w:br/>
        <w:t xml:space="preserve">apply </w:t>
      </w:r>
      <w:r>
        <w:rPr>
          <w:szCs w:val="22"/>
        </w:rPr>
        <w:tab/>
        <w:t xml:space="preserve"> $236.22</w:t>
      </w:r>
    </w:p>
    <w:p>
      <w:pPr>
        <w:pStyle w:val="yMiscellaneousBody"/>
        <w:tabs>
          <w:tab w:val="left" w:pos="284"/>
        </w:tabs>
        <w:ind w:left="851" w:hanging="851"/>
      </w:pPr>
      <w:r>
        <w:tab/>
        <w:t>(2)</w:t>
      </w:r>
      <w:r>
        <w:tab/>
        <w:t>Sub</w:t>
      </w:r>
      <w:r>
        <w:noBreakHyphen/>
        <w:t>item (1) does not apply to —</w:t>
      </w:r>
    </w:p>
    <w:p>
      <w:pPr>
        <w:pStyle w:val="yMiscellaneousBody"/>
        <w:tabs>
          <w:tab w:val="left" w:pos="993"/>
        </w:tabs>
        <w:ind w:left="1560" w:hanging="1560"/>
        <w:rPr>
          <w:szCs w:val="22"/>
        </w:rPr>
      </w:pPr>
      <w:r>
        <w:rPr>
          <w:szCs w:val="22"/>
        </w:rPr>
        <w:tab/>
        <w:t>(a)</w:t>
      </w:r>
      <w:r>
        <w:rPr>
          <w:szCs w:val="22"/>
        </w:rPr>
        <w:tab/>
        <w:t>land covered by item 4 or 10; and</w:t>
      </w:r>
    </w:p>
    <w:p>
      <w:pPr>
        <w:pStyle w:val="yMiscellaneousBody"/>
        <w:tabs>
          <w:tab w:val="left" w:pos="993"/>
        </w:tabs>
        <w:ind w:left="1560" w:hanging="1560"/>
        <w:rPr>
          <w:szCs w:val="22"/>
        </w:rPr>
      </w:pPr>
      <w:r>
        <w:rPr>
          <w:szCs w:val="22"/>
        </w:rPr>
        <w:tab/>
        <w:t>(b)</w:t>
      </w:r>
      <w:r>
        <w:rPr>
          <w:szCs w:val="22"/>
        </w:rPr>
        <w:tab/>
        <w:t>a connection for a water supply covered by item 15; and</w:t>
      </w:r>
    </w:p>
    <w:p>
      <w:pPr>
        <w:pStyle w:val="yMiscellaneousBody"/>
        <w:tabs>
          <w:tab w:val="left" w:pos="993"/>
        </w:tabs>
        <w:ind w:left="1560" w:hanging="1560"/>
        <w:rPr>
          <w:szCs w:val="22"/>
        </w:rPr>
      </w:pPr>
      <w:r>
        <w:rPr>
          <w:szCs w:val="22"/>
        </w:rPr>
        <w:tab/>
        <w:t>(c)</w:t>
      </w:r>
      <w:r>
        <w:rPr>
          <w:szCs w:val="22"/>
        </w:rPr>
        <w:tab/>
        <w:t>a connection covered by item 22.</w:t>
      </w:r>
    </w:p>
    <w:p>
      <w:pPr>
        <w:pStyle w:val="yMiscellaneousBody"/>
        <w:tabs>
          <w:tab w:val="left" w:pos="284"/>
        </w:tabs>
        <w:ind w:left="851" w:hanging="851"/>
      </w:pPr>
      <w:r>
        <w:tab/>
        <w:t>(3)</w:t>
      </w:r>
      <w:r>
        <w:tab/>
        <w:t>The charge under sub</w:t>
      </w:r>
      <w:r>
        <w:noBreakHyphen/>
        <w:t xml:space="preserve">item (1) is in addition to </w:t>
      </w:r>
      <w:r>
        <w:br/>
        <w:t xml:space="preserve">any other charge applicable to the land under </w:t>
      </w:r>
      <w:r>
        <w:br/>
        <w:t>this Schedule.</w:t>
      </w:r>
    </w:p>
    <w:p>
      <w:pPr>
        <w:pStyle w:val="yMiscellaneousBody"/>
        <w:tabs>
          <w:tab w:val="left" w:pos="284"/>
        </w:tabs>
        <w:ind w:left="851" w:hanging="851"/>
      </w:pPr>
      <w:r>
        <w:tab/>
        <w:t>(4)</w:t>
      </w:r>
      <w:r>
        <w:tab/>
        <w:t>If a connection to which sub</w:t>
      </w:r>
      <w:r>
        <w:noBreakHyphen/>
        <w:t xml:space="preserve">item (1)(a) applies </w:t>
      </w:r>
      <w:r>
        <w:br/>
        <w:t xml:space="preserve">is not metered, the charge is to be calculated as </w:t>
      </w:r>
      <w:r>
        <w:br/>
        <w:t xml:space="preserve">if the connection were metered through a meter </w:t>
      </w:r>
      <w:r>
        <w:br/>
        <w:t xml:space="preserve">of a size equal to the diameter of the pipe </w:t>
      </w:r>
      <w:r>
        <w:br/>
        <w:t>making the connection.</w:t>
      </w:r>
    </w:p>
    <w:p>
      <w:pPr>
        <w:pStyle w:val="yHeading5"/>
        <w:tabs>
          <w:tab w:val="clear" w:pos="879"/>
        </w:tabs>
        <w:ind w:left="851" w:hanging="851"/>
      </w:pPr>
      <w:bookmarkStart w:id="237" w:name="_Toc453243599"/>
      <w:bookmarkStart w:id="238" w:name="_Toc455404164"/>
      <w:r>
        <w:rPr>
          <w:rStyle w:val="CharSClsNo"/>
        </w:rPr>
        <w:t>13</w:t>
      </w:r>
      <w:r>
        <w:t>.</w:t>
      </w:r>
      <w:r>
        <w:tab/>
        <w:t>Farmland</w:t>
      </w:r>
      <w:bookmarkEnd w:id="237"/>
      <w:bookmarkEnd w:id="238"/>
    </w:p>
    <w:p>
      <w:pPr>
        <w:pStyle w:val="yMiscellaneousBody"/>
        <w:tabs>
          <w:tab w:val="right" w:leader="dot" w:pos="6804"/>
        </w:tabs>
        <w:ind w:left="851" w:hanging="851"/>
      </w:pPr>
      <w:r>
        <w:tab/>
        <w:t xml:space="preserve">In respect of land that is classified as farmland, </w:t>
      </w:r>
      <w:r>
        <w:br/>
        <w:t xml:space="preserve">the charge is </w:t>
      </w:r>
      <w:r>
        <w:tab/>
        <w:t xml:space="preserve"> $236.22</w:t>
      </w:r>
    </w:p>
    <w:p>
      <w:pPr>
        <w:pStyle w:val="yHeading5"/>
        <w:tabs>
          <w:tab w:val="clear" w:pos="879"/>
        </w:tabs>
        <w:ind w:left="851" w:hanging="851"/>
      </w:pPr>
      <w:bookmarkStart w:id="239" w:name="_Toc453243600"/>
      <w:bookmarkStart w:id="240" w:name="_Toc455404165"/>
      <w:r>
        <w:rPr>
          <w:rStyle w:val="CharSClsNo"/>
        </w:rPr>
        <w:t>14</w:t>
      </w:r>
      <w:r>
        <w:t>.</w:t>
      </w:r>
      <w:r>
        <w:tab/>
        <w:t>Vacant land</w:t>
      </w:r>
      <w:bookmarkEnd w:id="239"/>
      <w:bookmarkEnd w:id="240"/>
    </w:p>
    <w:p>
      <w:pPr>
        <w:pStyle w:val="yMiscellaneousBody"/>
        <w:tabs>
          <w:tab w:val="right" w:leader="dot" w:pos="6804"/>
        </w:tabs>
        <w:ind w:left="851" w:hanging="851"/>
      </w:pPr>
      <w:r>
        <w:tab/>
        <w:t xml:space="preserve">In respect of land that is classified as vacant </w:t>
      </w:r>
      <w:r>
        <w:br/>
        <w:t xml:space="preserve">land, the charge is </w:t>
      </w:r>
      <w:r>
        <w:tab/>
        <w:t xml:space="preserve"> $236.22</w:t>
      </w:r>
    </w:p>
    <w:p>
      <w:pPr>
        <w:pStyle w:val="yHeading5"/>
        <w:tabs>
          <w:tab w:val="clear" w:pos="879"/>
        </w:tabs>
        <w:ind w:left="851" w:hanging="851"/>
      </w:pPr>
      <w:bookmarkStart w:id="241" w:name="_Toc453243601"/>
      <w:bookmarkStart w:id="242" w:name="_Toc455404166"/>
      <w:r>
        <w:rPr>
          <w:rStyle w:val="CharSClsNo"/>
        </w:rPr>
        <w:t>15</w:t>
      </w:r>
      <w:r>
        <w:t>.</w:t>
      </w:r>
      <w:r>
        <w:tab/>
        <w:t>Garden supply</w:t>
      </w:r>
      <w:bookmarkEnd w:id="241"/>
      <w:bookmarkEnd w:id="242"/>
    </w:p>
    <w:p>
      <w:pPr>
        <w:pStyle w:val="yMiscellaneousBody"/>
        <w:tabs>
          <w:tab w:val="left" w:pos="284"/>
        </w:tabs>
        <w:ind w:left="851" w:hanging="851"/>
      </w:pPr>
      <w:r>
        <w:tab/>
        <w:t>(1)</w:t>
      </w:r>
      <w:r>
        <w:tab/>
        <w:t>In this item —</w:t>
      </w:r>
    </w:p>
    <w:p>
      <w:pPr>
        <w:pStyle w:val="yDefstart"/>
        <w:ind w:left="851" w:hanging="851"/>
      </w:pPr>
      <w:r>
        <w:tab/>
      </w:r>
      <w:r>
        <w:rPr>
          <w:rStyle w:val="CharDefText"/>
        </w:rPr>
        <w:t>garden use</w:t>
      </w:r>
      <w:r>
        <w:t>, in relation to the supply of water, means the use of water for watering lawns and gardens in the area associated with a dwelling and in a street or road adjoining the land on which the dwelling is located.</w:t>
      </w:r>
    </w:p>
    <w:p>
      <w:pPr>
        <w:pStyle w:val="yMiscellaneousBody"/>
        <w:tabs>
          <w:tab w:val="left" w:pos="284"/>
        </w:tabs>
        <w:ind w:left="851" w:hanging="851"/>
      </w:pPr>
      <w:r>
        <w:tab/>
        <w:t>(2)</w:t>
      </w:r>
      <w:r>
        <w:tab/>
        <w:t>Sub</w:t>
      </w:r>
      <w:r>
        <w:noBreakHyphen/>
        <w:t xml:space="preserve">item (3) applies to land in the suburb of </w:t>
      </w:r>
      <w:r>
        <w:br/>
        <w:t xml:space="preserve">Butler (in the metropolitan area) that is </w:t>
      </w:r>
      <w:r>
        <w:br/>
        <w:t xml:space="preserve">provided with a water supply solely for garden </w:t>
      </w:r>
      <w:r>
        <w:br/>
        <w:t xml:space="preserve">use and reticulated separately from any other </w:t>
      </w:r>
      <w:r>
        <w:br/>
        <w:t>water supply provided in respect of the land.</w:t>
      </w:r>
    </w:p>
    <w:p>
      <w:pPr>
        <w:pStyle w:val="yMiscellaneousBody"/>
        <w:tabs>
          <w:tab w:val="left" w:pos="284"/>
        </w:tabs>
        <w:ind w:left="851" w:hanging="851"/>
      </w:pPr>
      <w:r>
        <w:tab/>
        <w:t>(3)</w:t>
      </w:r>
      <w:r>
        <w:tab/>
        <w:t xml:space="preserve">In respect of — </w:t>
      </w:r>
    </w:p>
    <w:p>
      <w:pPr>
        <w:pStyle w:val="yMiscellaneousBody"/>
        <w:tabs>
          <w:tab w:val="left" w:pos="993"/>
        </w:tabs>
        <w:ind w:left="1560" w:hanging="1560"/>
        <w:rPr>
          <w:szCs w:val="22"/>
        </w:rPr>
      </w:pPr>
      <w:r>
        <w:rPr>
          <w:szCs w:val="22"/>
        </w:rPr>
        <w:tab/>
        <w:t>(a)</w:t>
      </w:r>
      <w:r>
        <w:rPr>
          <w:szCs w:val="22"/>
        </w:rPr>
        <w:tab/>
        <w:t xml:space="preserve">each residential property that is not </w:t>
      </w:r>
      <w:r>
        <w:rPr>
          <w:szCs w:val="22"/>
        </w:rPr>
        <w:br/>
        <w:t>covered by item 4, 5, 8, 9 or 10; and</w:t>
      </w:r>
    </w:p>
    <w:p>
      <w:pPr>
        <w:pStyle w:val="yMiscellaneousBody"/>
        <w:tabs>
          <w:tab w:val="left" w:pos="993"/>
        </w:tabs>
        <w:ind w:left="1560" w:hanging="1560"/>
        <w:rPr>
          <w:szCs w:val="22"/>
        </w:rPr>
      </w:pPr>
      <w:r>
        <w:rPr>
          <w:szCs w:val="22"/>
        </w:rPr>
        <w:tab/>
        <w:t>(b)</w:t>
      </w:r>
      <w:r>
        <w:rPr>
          <w:szCs w:val="22"/>
        </w:rPr>
        <w:tab/>
        <w:t>land that is classified as vacant land,</w:t>
      </w:r>
    </w:p>
    <w:p>
      <w:pPr>
        <w:pStyle w:val="yMiscellaneousBody"/>
        <w:tabs>
          <w:tab w:val="left" w:pos="284"/>
        </w:tabs>
        <w:ind w:left="851" w:hanging="851"/>
      </w:pPr>
      <w:r>
        <w:tab/>
      </w:r>
      <w:r>
        <w:tab/>
        <w:t xml:space="preserve">the charge, which is in addition to any other charge applicable to the land under this Schedule, is — </w:t>
      </w:r>
    </w:p>
    <w:p>
      <w:pPr>
        <w:pStyle w:val="yMiscellaneousBody"/>
        <w:tabs>
          <w:tab w:val="right" w:leader="dot" w:pos="6804"/>
        </w:tabs>
        <w:ind w:left="993" w:hanging="993"/>
      </w:pPr>
      <w:r>
        <w:tab/>
        <w:t xml:space="preserve">for land with </w:t>
      </w:r>
      <w:r>
        <w:rPr>
          <w:szCs w:val="22"/>
        </w:rPr>
        <w:t>an</w:t>
      </w:r>
      <w:r>
        <w:t xml:space="preserve"> area of less than 400 m</w:t>
      </w:r>
      <w:r>
        <w:rPr>
          <w:vertAlign w:val="superscript"/>
        </w:rPr>
        <w:t>2</w:t>
      </w:r>
      <w:r>
        <w:t xml:space="preserve"> </w:t>
      </w:r>
      <w:r>
        <w:tab/>
        <w:t xml:space="preserve"> </w:t>
      </w:r>
      <w:r>
        <w:rPr>
          <w:szCs w:val="22"/>
        </w:rPr>
        <w:t>$79.69</w:t>
      </w:r>
    </w:p>
    <w:p>
      <w:pPr>
        <w:pStyle w:val="yMiscellaneousBody"/>
        <w:tabs>
          <w:tab w:val="right" w:leader="dot" w:pos="6804"/>
        </w:tabs>
        <w:ind w:left="993" w:hanging="993"/>
      </w:pPr>
      <w:r>
        <w:tab/>
        <w:t xml:space="preserve">for land with an area equal to or greater </w:t>
      </w:r>
      <w:r>
        <w:br/>
        <w:t>than 400 m</w:t>
      </w:r>
      <w:r>
        <w:rPr>
          <w:vertAlign w:val="superscript"/>
        </w:rPr>
        <w:t>2</w:t>
      </w:r>
      <w:r>
        <w:t xml:space="preserve"> </w:t>
      </w:r>
      <w:r>
        <w:tab/>
        <w:t xml:space="preserve"> </w:t>
      </w:r>
      <w:r>
        <w:rPr>
          <w:szCs w:val="22"/>
        </w:rPr>
        <w:t>$159.38</w:t>
      </w:r>
    </w:p>
    <w:p>
      <w:pPr>
        <w:pStyle w:val="yMiscellaneousBody"/>
        <w:tabs>
          <w:tab w:val="left" w:pos="284"/>
        </w:tabs>
        <w:ind w:left="851" w:hanging="851"/>
      </w:pPr>
      <w:r>
        <w:tab/>
        <w:t>(4)</w:t>
      </w:r>
      <w:r>
        <w:tab/>
        <w:t>Sub</w:t>
      </w:r>
      <w:r>
        <w:noBreakHyphen/>
        <w:t xml:space="preserve">item (5) applies to land in the suburb of </w:t>
      </w:r>
      <w:r>
        <w:br/>
        <w:t xml:space="preserve">Mulataga (in Karratha) that is provided with a </w:t>
      </w:r>
      <w:r>
        <w:br/>
        <w:t xml:space="preserve">water supply solely for garden use and </w:t>
      </w:r>
      <w:r>
        <w:br/>
        <w:t xml:space="preserve">reticulated separately from any other water </w:t>
      </w:r>
      <w:r>
        <w:br/>
        <w:t>supply provided in respect of the land.</w:t>
      </w:r>
    </w:p>
    <w:p>
      <w:pPr>
        <w:pStyle w:val="yMiscellaneousBody"/>
        <w:tabs>
          <w:tab w:val="left" w:pos="284"/>
        </w:tabs>
        <w:ind w:left="851" w:hanging="851"/>
      </w:pPr>
      <w:r>
        <w:tab/>
        <w:t>(5)</w:t>
      </w:r>
      <w:r>
        <w:tab/>
        <w:t xml:space="preserve">In respect of — </w:t>
      </w:r>
    </w:p>
    <w:p>
      <w:pPr>
        <w:pStyle w:val="yMiscellaneousBody"/>
        <w:tabs>
          <w:tab w:val="left" w:pos="993"/>
        </w:tabs>
        <w:ind w:left="1560" w:hanging="1560"/>
        <w:rPr>
          <w:szCs w:val="22"/>
        </w:rPr>
      </w:pPr>
      <w:r>
        <w:rPr>
          <w:szCs w:val="22"/>
        </w:rPr>
        <w:tab/>
        <w:t>(a)</w:t>
      </w:r>
      <w:r>
        <w:rPr>
          <w:szCs w:val="22"/>
        </w:rPr>
        <w:tab/>
        <w:t xml:space="preserve">each residential property that is not </w:t>
      </w:r>
      <w:r>
        <w:rPr>
          <w:szCs w:val="22"/>
        </w:rPr>
        <w:br/>
        <w:t>covered by item 4, 5, 8, 9 or 10; and</w:t>
      </w:r>
    </w:p>
    <w:p>
      <w:pPr>
        <w:pStyle w:val="yMiscellaneousBody"/>
        <w:tabs>
          <w:tab w:val="left" w:pos="993"/>
        </w:tabs>
        <w:ind w:left="1560" w:hanging="1560"/>
        <w:rPr>
          <w:szCs w:val="22"/>
        </w:rPr>
      </w:pPr>
      <w:r>
        <w:rPr>
          <w:szCs w:val="22"/>
        </w:rPr>
        <w:tab/>
        <w:t>(b)</w:t>
      </w:r>
      <w:r>
        <w:rPr>
          <w:szCs w:val="22"/>
        </w:rPr>
        <w:tab/>
        <w:t>land that is classified as vacant land,</w:t>
      </w:r>
    </w:p>
    <w:p>
      <w:pPr>
        <w:pStyle w:val="yMiscellaneousBody"/>
        <w:tabs>
          <w:tab w:val="right" w:leader="dot" w:pos="6804"/>
        </w:tabs>
        <w:ind w:left="851" w:hanging="851"/>
      </w:pPr>
      <w:r>
        <w:tab/>
        <w:t xml:space="preserve">the charge, which is in addition to any other </w:t>
      </w:r>
      <w:r>
        <w:br/>
        <w:t xml:space="preserve">charge applicable to the land under this </w:t>
      </w:r>
      <w:r>
        <w:br/>
        <w:t xml:space="preserve">Schedule, is </w:t>
      </w:r>
      <w:r>
        <w:tab/>
        <w:t xml:space="preserve"> $51.86</w:t>
      </w:r>
    </w:p>
    <w:p>
      <w:pPr>
        <w:pStyle w:val="yHeading5"/>
        <w:tabs>
          <w:tab w:val="clear" w:pos="879"/>
        </w:tabs>
        <w:ind w:left="851" w:hanging="851"/>
      </w:pPr>
      <w:bookmarkStart w:id="243" w:name="_Toc453243602"/>
      <w:bookmarkStart w:id="244" w:name="_Toc455404167"/>
      <w:r>
        <w:rPr>
          <w:rStyle w:val="CharSClsNo"/>
        </w:rPr>
        <w:t>16</w:t>
      </w:r>
      <w:r>
        <w:t>.</w:t>
      </w:r>
      <w:r>
        <w:tab/>
        <w:t>Government trading organisations and non</w:t>
      </w:r>
      <w:r>
        <w:noBreakHyphen/>
        <w:t>commercial government property</w:t>
      </w:r>
      <w:bookmarkEnd w:id="243"/>
      <w:bookmarkEnd w:id="244"/>
    </w:p>
    <w:p>
      <w:pPr>
        <w:pStyle w:val="yMiscellaneousBody"/>
        <w:tabs>
          <w:tab w:val="left" w:pos="28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in </w:t>
      </w:r>
      <w:r>
        <w:br/>
        <w:t xml:space="preserve">respect of which a water service charge set out </w:t>
      </w:r>
      <w:r>
        <w:br/>
        <w:t>in item 4 or 10 would, but for this item, apply.</w:t>
      </w:r>
    </w:p>
    <w:p>
      <w:pPr>
        <w:pStyle w:val="yMiscellaneousBody"/>
        <w:tabs>
          <w:tab w:val="left" w:pos="284"/>
        </w:tabs>
        <w:ind w:left="851" w:hanging="851"/>
      </w:pPr>
      <w:r>
        <w:tab/>
        <w:t>(2)</w:t>
      </w:r>
      <w:r>
        <w:tab/>
        <w:t>This item does not apply to public land.</w:t>
      </w:r>
    </w:p>
    <w:p>
      <w:pPr>
        <w:pStyle w:val="yMiscellaneousBody"/>
        <w:tabs>
          <w:tab w:val="left" w:pos="284"/>
        </w:tabs>
        <w:ind w:left="851" w:hanging="851"/>
      </w:pPr>
      <w:r>
        <w:tab/>
        <w:t>(3)</w:t>
      </w:r>
      <w:r>
        <w:tab/>
        <w:t xml:space="preserve">In respect of land to which this item applies — </w:t>
      </w:r>
    </w:p>
    <w:p>
      <w:pPr>
        <w:pStyle w:val="yMiscellaneousBody"/>
        <w:tabs>
          <w:tab w:val="left" w:pos="993"/>
        </w:tabs>
        <w:ind w:left="1560" w:hanging="1560"/>
        <w:rPr>
          <w:szCs w:val="22"/>
        </w:rPr>
      </w:pPr>
      <w:r>
        <w:rPr>
          <w:szCs w:val="22"/>
        </w:rPr>
        <w:tab/>
        <w:t>(a)</w:t>
      </w:r>
      <w:r>
        <w:rPr>
          <w:szCs w:val="22"/>
        </w:rPr>
        <w:tab/>
        <w:t>the charge referred to in sub</w:t>
      </w:r>
      <w:r>
        <w:rPr>
          <w:szCs w:val="22"/>
        </w:rPr>
        <w:noBreakHyphen/>
        <w:t xml:space="preserve">item (1) </w:t>
      </w:r>
      <w:r>
        <w:rPr>
          <w:szCs w:val="22"/>
        </w:rPr>
        <w:br/>
        <w:t xml:space="preserve">that would otherwise apply, does not; </w:t>
      </w:r>
      <w:r>
        <w:rPr>
          <w:szCs w:val="22"/>
        </w:rPr>
        <w:br/>
        <w:t>and</w:t>
      </w:r>
    </w:p>
    <w:p>
      <w:pPr>
        <w:pStyle w:val="yMiscellaneousBody"/>
        <w:tabs>
          <w:tab w:val="left" w:pos="993"/>
        </w:tabs>
        <w:ind w:left="1560" w:hanging="1560"/>
        <w:rPr>
          <w:szCs w:val="22"/>
        </w:rPr>
      </w:pPr>
      <w:r>
        <w:rPr>
          <w:szCs w:val="22"/>
        </w:rPr>
        <w:tab/>
        <w:t>(b)</w:t>
      </w:r>
      <w:r>
        <w:rPr>
          <w:szCs w:val="22"/>
        </w:rPr>
        <w:tab/>
        <w:t xml:space="preserve">the charge, per water supply </w:t>
      </w:r>
      <w:r>
        <w:rPr>
          <w:szCs w:val="22"/>
        </w:rPr>
        <w:br/>
        <w:t xml:space="preserve">connection, is the charge set out in the </w:t>
      </w:r>
      <w:r>
        <w:rPr>
          <w:szCs w:val="22"/>
        </w:rPr>
        <w:br/>
        <w:t xml:space="preserve">Table in item 2 according to the </w:t>
      </w:r>
      <w:r>
        <w:rPr>
          <w:szCs w:val="22"/>
        </w:rPr>
        <w:br/>
        <w:t>relevant meter size.</w:t>
      </w:r>
    </w:p>
    <w:p>
      <w:pPr>
        <w:pStyle w:val="yMiscellaneousBody"/>
        <w:tabs>
          <w:tab w:val="left" w:pos="284"/>
        </w:tabs>
        <w:ind w:left="851" w:hanging="851"/>
      </w:pPr>
      <w:r>
        <w:tab/>
        <w:t>(4)</w:t>
      </w:r>
      <w:r>
        <w:tab/>
        <w:t>If a connection to which sub</w:t>
      </w:r>
      <w:r>
        <w:noBreakHyphen/>
        <w:t xml:space="preserve">item (3)(b) applies </w:t>
      </w:r>
      <w:r>
        <w:br/>
        <w:t xml:space="preserve">is not metered, the charge is to be calculated as </w:t>
      </w:r>
      <w:r>
        <w:br/>
        <w:t xml:space="preserve">if the connection were metered through a </w:t>
      </w:r>
      <w:r>
        <w:br/>
        <w:t>20 mm meter.</w:t>
      </w:r>
    </w:p>
    <w:p>
      <w:pPr>
        <w:pStyle w:val="yHeading5"/>
        <w:tabs>
          <w:tab w:val="clear" w:pos="879"/>
        </w:tabs>
        <w:ind w:left="851" w:hanging="851"/>
      </w:pPr>
      <w:bookmarkStart w:id="245" w:name="_Toc453243603"/>
      <w:bookmarkStart w:id="246" w:name="_Toc455404168"/>
      <w:r>
        <w:rPr>
          <w:rStyle w:val="CharSClsNo"/>
        </w:rPr>
        <w:t>17</w:t>
      </w:r>
      <w:r>
        <w:t>.</w:t>
      </w:r>
      <w:r>
        <w:tab/>
        <w:t>Government trading organisations and non</w:t>
      </w:r>
      <w:r>
        <w:noBreakHyphen/>
        <w:t>commercial government property: on</w:t>
      </w:r>
      <w:r>
        <w:noBreakHyphen/>
        <w:t>supply to lessees or ships</w:t>
      </w:r>
      <w:bookmarkEnd w:id="245"/>
      <w:bookmarkEnd w:id="246"/>
    </w:p>
    <w:p>
      <w:pPr>
        <w:pStyle w:val="yMiscellaneousBody"/>
        <w:tabs>
          <w:tab w:val="left" w:pos="28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w:t>
      </w:r>
      <w:r>
        <w:br/>
        <w:t>if —</w:t>
      </w:r>
    </w:p>
    <w:p>
      <w:pPr>
        <w:pStyle w:val="yMiscellaneousBody"/>
        <w:tabs>
          <w:tab w:val="left" w:pos="993"/>
        </w:tabs>
        <w:ind w:left="1560" w:hanging="1560"/>
        <w:rPr>
          <w:szCs w:val="22"/>
        </w:rPr>
      </w:pPr>
      <w:r>
        <w:rPr>
          <w:szCs w:val="22"/>
        </w:rPr>
        <w:tab/>
        <w:t>(a)</w:t>
      </w:r>
      <w:r>
        <w:rPr>
          <w:szCs w:val="22"/>
        </w:rPr>
        <w:tab/>
        <w:t xml:space="preserve">the land is connected to the water </w:t>
      </w:r>
      <w:r>
        <w:rPr>
          <w:szCs w:val="22"/>
        </w:rPr>
        <w:br/>
        <w:t xml:space="preserve">supply works of the Water Corporation; </w:t>
      </w:r>
      <w:r>
        <w:rPr>
          <w:szCs w:val="22"/>
        </w:rPr>
        <w:br/>
        <w:t>and</w:t>
      </w:r>
    </w:p>
    <w:p>
      <w:pPr>
        <w:pStyle w:val="yMiscellaneousBody"/>
        <w:tabs>
          <w:tab w:val="left" w:pos="993"/>
        </w:tabs>
        <w:ind w:left="1560" w:hanging="1560"/>
        <w:rPr>
          <w:szCs w:val="22"/>
        </w:rPr>
      </w:pPr>
      <w:r>
        <w:rPr>
          <w:szCs w:val="22"/>
        </w:rPr>
        <w:tab/>
        <w:t>(b)</w:t>
      </w:r>
      <w:r>
        <w:rPr>
          <w:szCs w:val="22"/>
        </w:rPr>
        <w:tab/>
        <w:t xml:space="preserve">a meter is connected to the property </w:t>
      </w:r>
      <w:r>
        <w:rPr>
          <w:szCs w:val="22"/>
        </w:rPr>
        <w:br/>
        <w:t xml:space="preserve">water supply connection with which the </w:t>
      </w:r>
      <w:r>
        <w:rPr>
          <w:szCs w:val="22"/>
        </w:rPr>
        <w:br/>
        <w:t xml:space="preserve">Water Corporation supplies water to the </w:t>
      </w:r>
      <w:r>
        <w:rPr>
          <w:szCs w:val="22"/>
        </w:rPr>
        <w:br/>
        <w:t>land; and</w:t>
      </w:r>
    </w:p>
    <w:p>
      <w:pPr>
        <w:pStyle w:val="yMiscellaneousBody"/>
        <w:tabs>
          <w:tab w:val="left" w:pos="993"/>
        </w:tabs>
        <w:ind w:left="1560" w:hanging="1560"/>
        <w:rPr>
          <w:szCs w:val="22"/>
        </w:rPr>
      </w:pPr>
      <w:r>
        <w:rPr>
          <w:szCs w:val="22"/>
        </w:rPr>
        <w:tab/>
        <w:t>(c)</w:t>
      </w:r>
      <w:r>
        <w:rPr>
          <w:szCs w:val="22"/>
        </w:rPr>
        <w:tab/>
        <w:t xml:space="preserve">at least some of the water supplied </w:t>
      </w:r>
      <w:r>
        <w:rPr>
          <w:szCs w:val="22"/>
        </w:rPr>
        <w:br/>
        <w:t xml:space="preserve">through the meter referred to in </w:t>
      </w:r>
      <w:r>
        <w:rPr>
          <w:szCs w:val="22"/>
        </w:rPr>
        <w:br/>
        <w:t xml:space="preserve">paragraph (b) is supplied, through a </w:t>
      </w:r>
      <w:r>
        <w:rPr>
          <w:szCs w:val="22"/>
        </w:rPr>
        <w:br/>
        <w:t xml:space="preserve">meter, to one or more lessees of any of </w:t>
      </w:r>
      <w:r>
        <w:rPr>
          <w:szCs w:val="22"/>
        </w:rPr>
        <w:br/>
        <w:t>the land or to ships in port.</w:t>
      </w:r>
    </w:p>
    <w:p>
      <w:pPr>
        <w:pStyle w:val="yMiscellaneousBody"/>
        <w:tabs>
          <w:tab w:val="left" w:pos="284"/>
        </w:tabs>
        <w:ind w:left="851" w:hanging="851"/>
      </w:pPr>
      <w:r>
        <w:tab/>
        <w:t>(2)</w:t>
      </w:r>
      <w:r>
        <w:tab/>
        <w:t xml:space="preserve">In respect of land to which this item applies, </w:t>
      </w:r>
      <w:r>
        <w:br/>
        <w:t xml:space="preserve">the charge for the supply of water referred to in </w:t>
      </w:r>
      <w:r>
        <w:br/>
        <w:t>sub</w:t>
      </w:r>
      <w:r>
        <w:noBreakHyphen/>
        <w:t xml:space="preserve">item (1)(b) is reduced by the charge set out </w:t>
      </w:r>
      <w:r>
        <w:br/>
        <w:t xml:space="preserve">in the Table in item 2 for a meter of the size </w:t>
      </w:r>
      <w:r>
        <w:br/>
        <w:t xml:space="preserve">that would be required to supply, in aggregate, </w:t>
      </w:r>
      <w:r>
        <w:br/>
        <w:t>water as described in sub</w:t>
      </w:r>
      <w:r>
        <w:noBreakHyphen/>
        <w:t>item (1)(c).</w:t>
      </w:r>
    </w:p>
    <w:p>
      <w:pPr>
        <w:pStyle w:val="yMiscellaneousBody"/>
        <w:tabs>
          <w:tab w:val="left" w:pos="284"/>
        </w:tabs>
        <w:ind w:left="851" w:hanging="851"/>
      </w:pPr>
      <w:r>
        <w:tab/>
        <w:t>(3)</w:t>
      </w:r>
      <w:r>
        <w:tab/>
        <w:t xml:space="preserve">This item does not apply if the meter referred to </w:t>
      </w:r>
      <w:r>
        <w:br/>
        <w:t>in sub</w:t>
      </w:r>
      <w:r>
        <w:noBreakHyphen/>
        <w:t xml:space="preserve">item (1)(b) would be the same size </w:t>
      </w:r>
      <w:r>
        <w:br/>
        <w:t xml:space="preserve">whether or not the organisation or authority </w:t>
      </w:r>
      <w:r>
        <w:br/>
        <w:t>supplied water as described in sub</w:t>
      </w:r>
      <w:r>
        <w:noBreakHyphen/>
        <w:t>item (1)(c).</w:t>
      </w:r>
    </w:p>
    <w:p>
      <w:pPr>
        <w:pStyle w:val="yHeading5"/>
      </w:pPr>
      <w:bookmarkStart w:id="247" w:name="_Toc453243604"/>
      <w:bookmarkStart w:id="248" w:name="_Toc455404169"/>
      <w:r>
        <w:rPr>
          <w:rStyle w:val="CharSClsNo"/>
        </w:rPr>
        <w:t>18</w:t>
      </w:r>
      <w:r>
        <w:t>.</w:t>
      </w:r>
      <w:r>
        <w:tab/>
        <w:t>Capital infrastructure charges</w:t>
      </w:r>
      <w:bookmarkEnd w:id="247"/>
      <w:bookmarkEnd w:id="248"/>
    </w:p>
    <w:p>
      <w:pPr>
        <w:pStyle w:val="yMiscellaneousBody"/>
        <w:tabs>
          <w:tab w:val="left" w:pos="284"/>
        </w:tabs>
        <w:ind w:left="851" w:hanging="851"/>
      </w:pPr>
      <w:r>
        <w:tab/>
        <w:t>(1)</w:t>
      </w:r>
      <w:r>
        <w:tab/>
        <w:t xml:space="preserve">In respect of land or, if there is more than one </w:t>
      </w:r>
      <w:r>
        <w:br/>
        <w:t xml:space="preserve">dwelling on the land, each residential property, </w:t>
      </w:r>
      <w:r>
        <w:br/>
        <w:t>that —</w:t>
      </w:r>
    </w:p>
    <w:p>
      <w:pPr>
        <w:pStyle w:val="yMiscellaneousBody"/>
        <w:tabs>
          <w:tab w:val="left" w:pos="993"/>
        </w:tabs>
        <w:ind w:left="1560" w:hanging="1560"/>
        <w:rPr>
          <w:szCs w:val="22"/>
        </w:rPr>
      </w:pPr>
      <w:r>
        <w:rPr>
          <w:szCs w:val="22"/>
        </w:rPr>
        <w:tab/>
        <w:t>(a)</w:t>
      </w:r>
      <w:r>
        <w:rPr>
          <w:szCs w:val="22"/>
        </w:rPr>
        <w:tab/>
        <w:t>is in the locality of Nilgen; and</w:t>
      </w:r>
    </w:p>
    <w:p>
      <w:pPr>
        <w:pStyle w:val="yMiscellaneousBody"/>
        <w:tabs>
          <w:tab w:val="left" w:pos="993"/>
        </w:tabs>
        <w:ind w:left="1560" w:hanging="1560"/>
        <w:rPr>
          <w:szCs w:val="22"/>
        </w:rPr>
      </w:pPr>
      <w:r>
        <w:rPr>
          <w:szCs w:val="22"/>
        </w:rPr>
        <w:tab/>
        <w:t>(b)</w:t>
      </w:r>
      <w:r>
        <w:rPr>
          <w:szCs w:val="22"/>
        </w:rPr>
        <w:tab/>
        <w:t>is classified as capital infrastructure,</w:t>
      </w:r>
    </w:p>
    <w:p>
      <w:pPr>
        <w:pStyle w:val="yMiscellaneousBody"/>
        <w:tabs>
          <w:tab w:val="right" w:leader="dot" w:pos="6804"/>
        </w:tabs>
        <w:ind w:left="851" w:hanging="851"/>
      </w:pPr>
      <w:r>
        <w:tab/>
        <w:t xml:space="preserve">the charge, which is in addition to any other </w:t>
      </w:r>
      <w:r>
        <w:br/>
        <w:t xml:space="preserve">charge applicable to the land under this </w:t>
      </w:r>
      <w:r>
        <w:br/>
        <w:t xml:space="preserve">Schedule, is </w:t>
      </w:r>
      <w:r>
        <w:tab/>
        <w:t xml:space="preserve"> $463.80</w:t>
      </w:r>
    </w:p>
    <w:p>
      <w:pPr>
        <w:pStyle w:val="yMiscellaneousBody"/>
        <w:tabs>
          <w:tab w:val="left" w:pos="284"/>
        </w:tabs>
        <w:ind w:left="851" w:hanging="851"/>
      </w:pPr>
      <w:r>
        <w:tab/>
        <w:t>(2)</w:t>
      </w:r>
      <w:r>
        <w:tab/>
        <w:t>The charge under sub</w:t>
      </w:r>
      <w:r>
        <w:noBreakHyphen/>
        <w:t xml:space="preserve">item (1) does not apply </w:t>
      </w:r>
      <w:r>
        <w:br/>
        <w:t>after 30 September 2016.</w:t>
      </w:r>
    </w:p>
    <w:p>
      <w:pPr>
        <w:pStyle w:val="yMiscellaneousBody"/>
        <w:tabs>
          <w:tab w:val="left" w:pos="284"/>
          <w:tab w:val="right" w:leader="dot" w:pos="6804"/>
        </w:tabs>
        <w:ind w:left="851" w:hanging="851"/>
      </w:pPr>
      <w:r>
        <w:tab/>
        <w:t>(3)</w:t>
      </w:r>
      <w:r>
        <w:tab/>
        <w:t xml:space="preserve">A person liable to pay a charge under </w:t>
      </w:r>
      <w:r>
        <w:br/>
        <w:t>sub</w:t>
      </w:r>
      <w:r>
        <w:noBreakHyphen/>
        <w:t xml:space="preserve">item (1) may, within 28 days of receiving </w:t>
      </w:r>
      <w:r>
        <w:br/>
        <w:t xml:space="preserve">an invoice for the charge from the Water </w:t>
      </w:r>
      <w:r>
        <w:br/>
        <w:t xml:space="preserve">Corporation, elect to pay the following charge </w:t>
      </w:r>
      <w:r>
        <w:br/>
        <w:t xml:space="preserve">(the </w:t>
      </w:r>
      <w:r>
        <w:rPr>
          <w:rStyle w:val="CharDefText"/>
        </w:rPr>
        <w:t>single capital infrastructure charge</w:t>
      </w:r>
      <w:r>
        <w:t xml:space="preserve">) </w:t>
      </w:r>
      <w:r>
        <w:tab/>
        <w:t xml:space="preserve"> $3 120.00</w:t>
      </w:r>
    </w:p>
    <w:p>
      <w:pPr>
        <w:pStyle w:val="yMiscellaneousBody"/>
        <w:tabs>
          <w:tab w:val="left" w:pos="284"/>
        </w:tabs>
        <w:ind w:left="851" w:hanging="851"/>
      </w:pPr>
      <w:r>
        <w:tab/>
        <w:t>(4)</w:t>
      </w:r>
      <w:r>
        <w:tab/>
        <w:t xml:space="preserve">If a person elects to pay the single capital </w:t>
      </w:r>
      <w:r>
        <w:br/>
        <w:t xml:space="preserve">infrastructure charge, that charge is payable in </w:t>
      </w:r>
      <w:r>
        <w:br/>
        <w:t xml:space="preserve">respect of the land instead of the charge under </w:t>
      </w:r>
      <w:r>
        <w:br/>
        <w:t>sub</w:t>
      </w:r>
      <w:r>
        <w:noBreakHyphen/>
        <w:t>item (1).</w:t>
      </w:r>
    </w:p>
    <w:p>
      <w:pPr>
        <w:pStyle w:val="yHeading4"/>
      </w:pPr>
      <w:bookmarkStart w:id="249" w:name="_Toc453239551"/>
      <w:bookmarkStart w:id="250" w:name="_Toc453239722"/>
      <w:bookmarkStart w:id="251" w:name="_Toc453239899"/>
      <w:bookmarkStart w:id="252" w:name="_Toc453240112"/>
      <w:bookmarkStart w:id="253" w:name="_Toc453243605"/>
      <w:bookmarkStart w:id="254" w:name="_Toc455155279"/>
      <w:bookmarkStart w:id="255" w:name="_Toc455404170"/>
      <w:r>
        <w:t>Subdivision 3</w:t>
      </w:r>
      <w:r>
        <w:rPr>
          <w:b w:val="0"/>
        </w:rPr>
        <w:t> — </w:t>
      </w:r>
      <w:r>
        <w:t>Other service charges</w:t>
      </w:r>
      <w:bookmarkEnd w:id="249"/>
      <w:bookmarkEnd w:id="250"/>
      <w:bookmarkEnd w:id="251"/>
      <w:bookmarkEnd w:id="252"/>
      <w:bookmarkEnd w:id="253"/>
      <w:bookmarkEnd w:id="254"/>
      <w:bookmarkEnd w:id="255"/>
    </w:p>
    <w:p>
      <w:pPr>
        <w:pStyle w:val="yFootnoteheading"/>
      </w:pPr>
      <w:r>
        <w:tab/>
        <w:t>[Heading inserted in Gazette 27 Jun 2016 p. 2552.]</w:t>
      </w:r>
    </w:p>
    <w:p>
      <w:pPr>
        <w:pStyle w:val="yHeading5"/>
        <w:tabs>
          <w:tab w:val="clear" w:pos="879"/>
        </w:tabs>
        <w:ind w:left="851" w:hanging="851"/>
        <w:rPr>
          <w:i/>
        </w:rPr>
      </w:pPr>
      <w:bookmarkStart w:id="256" w:name="_Toc453243606"/>
      <w:bookmarkStart w:id="257" w:name="_Toc455404171"/>
      <w:r>
        <w:rPr>
          <w:rStyle w:val="CharSClsNo"/>
        </w:rPr>
        <w:t>19</w:t>
      </w:r>
      <w:r>
        <w:t>.</w:t>
      </w:r>
      <w:r>
        <w:tab/>
        <w:t>Stock</w:t>
      </w:r>
      <w:bookmarkEnd w:id="256"/>
      <w:bookmarkEnd w:id="257"/>
    </w:p>
    <w:p>
      <w:pPr>
        <w:pStyle w:val="yMiscellaneousBody"/>
        <w:tabs>
          <w:tab w:val="right" w:leader="dot" w:pos="6804"/>
        </w:tabs>
        <w:ind w:left="851" w:hanging="851"/>
      </w:pPr>
      <w:r>
        <w:tab/>
        <w:t xml:space="preserve">For each water supply connection provided for </w:t>
      </w:r>
      <w:r>
        <w:br/>
        <w:t xml:space="preserve">the purpose of watering stock on land that is </w:t>
      </w:r>
      <w:r>
        <w:br/>
        <w:t xml:space="preserve">not covered by item 13, the charge is </w:t>
      </w:r>
      <w:r>
        <w:tab/>
        <w:t xml:space="preserve"> $236.22</w:t>
      </w:r>
    </w:p>
    <w:p>
      <w:pPr>
        <w:pStyle w:val="yHeading5"/>
        <w:tabs>
          <w:tab w:val="clear" w:pos="879"/>
        </w:tabs>
        <w:ind w:left="851" w:hanging="851"/>
      </w:pPr>
      <w:bookmarkStart w:id="258" w:name="_Toc453243607"/>
      <w:bookmarkStart w:id="259" w:name="_Toc455404172"/>
      <w:r>
        <w:rPr>
          <w:rStyle w:val="CharSClsNo"/>
        </w:rPr>
        <w:t>20</w:t>
      </w:r>
      <w:r>
        <w:t>.</w:t>
      </w:r>
      <w:r>
        <w:tab/>
        <w:t>Shipping</w:t>
      </w:r>
      <w:bookmarkEnd w:id="258"/>
      <w:bookmarkEnd w:id="259"/>
    </w:p>
    <w:p>
      <w:pPr>
        <w:pStyle w:val="yMiscellaneousBody"/>
        <w:ind w:left="851" w:hanging="851"/>
      </w:pPr>
      <w:r>
        <w:tab/>
        <w:t xml:space="preserve">For each water supply connection provided for </w:t>
      </w:r>
      <w:r>
        <w:br/>
        <w:t xml:space="preserve">the purpose of water being taken on board any </w:t>
      </w:r>
      <w:r>
        <w:br/>
        <w:t xml:space="preserve">ship in a port, the charge is the charge set out in </w:t>
      </w:r>
      <w:r>
        <w:br/>
        <w:t xml:space="preserve">the Table in item 2 according to the relevant </w:t>
      </w:r>
      <w:r>
        <w:br/>
        <w:t>meter size.</w:t>
      </w:r>
    </w:p>
    <w:p>
      <w:pPr>
        <w:pStyle w:val="yHeading5"/>
        <w:tabs>
          <w:tab w:val="clear" w:pos="879"/>
        </w:tabs>
        <w:ind w:left="851" w:hanging="851"/>
      </w:pPr>
      <w:bookmarkStart w:id="260" w:name="_Toc453243608"/>
      <w:bookmarkStart w:id="261" w:name="_Toc455404173"/>
      <w:r>
        <w:rPr>
          <w:rStyle w:val="CharSClsNo"/>
        </w:rPr>
        <w:t>21</w:t>
      </w:r>
      <w:r>
        <w:t>.</w:t>
      </w:r>
      <w:r>
        <w:tab/>
        <w:t>Local government standpipes</w:t>
      </w:r>
      <w:bookmarkEnd w:id="260"/>
      <w:bookmarkEnd w:id="261"/>
    </w:p>
    <w:p>
      <w:pPr>
        <w:pStyle w:val="yMiscellaneousBody"/>
        <w:tabs>
          <w:tab w:val="right" w:leader="dot" w:pos="6804"/>
        </w:tabs>
        <w:ind w:left="851" w:hanging="851"/>
      </w:pPr>
      <w:r>
        <w:rPr>
          <w:szCs w:val="22"/>
        </w:rPr>
        <w:tab/>
        <w:t xml:space="preserve">For each local government standpipe, the charge is </w:t>
      </w:r>
      <w:r>
        <w:rPr>
          <w:szCs w:val="22"/>
        </w:rPr>
        <w:tab/>
        <w:t xml:space="preserve"> $236.22</w:t>
      </w:r>
    </w:p>
    <w:p>
      <w:pPr>
        <w:pStyle w:val="yHeading5"/>
        <w:tabs>
          <w:tab w:val="clear" w:pos="879"/>
        </w:tabs>
        <w:ind w:left="851" w:hanging="851"/>
      </w:pPr>
      <w:bookmarkStart w:id="262" w:name="_Toc453243609"/>
      <w:bookmarkStart w:id="263" w:name="_Toc455404174"/>
      <w:r>
        <w:rPr>
          <w:rStyle w:val="CharSClsNo"/>
        </w:rPr>
        <w:t>22</w:t>
      </w:r>
      <w:r>
        <w:t>.</w:t>
      </w:r>
      <w:r>
        <w:tab/>
        <w:t>Fire service connections</w:t>
      </w:r>
      <w:bookmarkEnd w:id="262"/>
      <w:bookmarkEnd w:id="263"/>
    </w:p>
    <w:p>
      <w:pPr>
        <w:pStyle w:val="yMiscellaneousBody"/>
        <w:tabs>
          <w:tab w:val="right" w:leader="dot" w:pos="6804"/>
        </w:tabs>
        <w:ind w:left="851" w:hanging="851"/>
        <w:rPr>
          <w:szCs w:val="22"/>
        </w:rPr>
      </w:pPr>
      <w:r>
        <w:rPr>
          <w:szCs w:val="22"/>
        </w:rPr>
        <w:tab/>
        <w:t xml:space="preserve">For each water supply connection provided exclusively for the purpose of firefighting, the charge is </w:t>
      </w:r>
      <w:r>
        <w:rPr>
          <w:szCs w:val="22"/>
        </w:rPr>
        <w:tab/>
        <w:t xml:space="preserve"> $236.22</w:t>
      </w:r>
    </w:p>
    <w:p>
      <w:pPr>
        <w:pStyle w:val="yFootnotesection"/>
      </w:pPr>
      <w:r>
        <w:tab/>
        <w:t>[Division 1 inserted in Gazette 27 Jun 2016 p. 2544</w:t>
      </w:r>
      <w:r>
        <w:noBreakHyphen/>
        <w:t>52.]</w:t>
      </w:r>
    </w:p>
    <w:p>
      <w:pPr>
        <w:pStyle w:val="yHeading3"/>
        <w:rPr>
          <w:b w:val="0"/>
        </w:rPr>
      </w:pPr>
      <w:bookmarkStart w:id="264" w:name="_Toc453239556"/>
      <w:bookmarkStart w:id="265" w:name="_Toc453239727"/>
      <w:bookmarkStart w:id="266" w:name="_Toc453239904"/>
      <w:bookmarkStart w:id="267" w:name="_Toc453240117"/>
      <w:bookmarkStart w:id="268" w:name="_Toc453243610"/>
      <w:bookmarkStart w:id="269" w:name="_Toc455155284"/>
      <w:bookmarkStart w:id="270" w:name="_Toc455404175"/>
      <w:r>
        <w:rPr>
          <w:rStyle w:val="CharSDivNo"/>
        </w:rPr>
        <w:t>Division 2</w:t>
      </w:r>
      <w:r>
        <w:t> — </w:t>
      </w:r>
      <w:r>
        <w:rPr>
          <w:rStyle w:val="CharSDivText"/>
        </w:rPr>
        <w:t>Consumption charges</w:t>
      </w:r>
      <w:bookmarkEnd w:id="264"/>
      <w:bookmarkEnd w:id="265"/>
      <w:bookmarkEnd w:id="266"/>
      <w:bookmarkEnd w:id="267"/>
      <w:bookmarkEnd w:id="268"/>
      <w:bookmarkEnd w:id="269"/>
      <w:bookmarkEnd w:id="270"/>
    </w:p>
    <w:p>
      <w:pPr>
        <w:pStyle w:val="yFootnoteheading"/>
      </w:pPr>
      <w:r>
        <w:tab/>
        <w:t>[Heading inserted in Gazette 27 Jun 2016 p. 2553.]</w:t>
      </w:r>
    </w:p>
    <w:p>
      <w:pPr>
        <w:pStyle w:val="yHeading4"/>
      </w:pPr>
      <w:bookmarkStart w:id="271" w:name="_Toc453239557"/>
      <w:bookmarkStart w:id="272" w:name="_Toc453239728"/>
      <w:bookmarkStart w:id="273" w:name="_Toc453239905"/>
      <w:bookmarkStart w:id="274" w:name="_Toc453240118"/>
      <w:bookmarkStart w:id="275" w:name="_Toc453243611"/>
      <w:bookmarkStart w:id="276" w:name="_Toc455155285"/>
      <w:bookmarkStart w:id="277" w:name="_Toc455404176"/>
      <w:r>
        <w:t>Subdivision 1 — Preliminary</w:t>
      </w:r>
      <w:bookmarkEnd w:id="271"/>
      <w:bookmarkEnd w:id="272"/>
      <w:bookmarkEnd w:id="273"/>
      <w:bookmarkEnd w:id="274"/>
      <w:bookmarkEnd w:id="275"/>
      <w:bookmarkEnd w:id="276"/>
      <w:bookmarkEnd w:id="277"/>
    </w:p>
    <w:p>
      <w:pPr>
        <w:pStyle w:val="yFootnoteheading"/>
      </w:pPr>
      <w:r>
        <w:tab/>
        <w:t>[Heading inserted in Gazette 27 Jun 2016 p. 2553.]</w:t>
      </w:r>
    </w:p>
    <w:p>
      <w:pPr>
        <w:pStyle w:val="yHeading5"/>
        <w:tabs>
          <w:tab w:val="clear" w:pos="879"/>
        </w:tabs>
        <w:ind w:left="851" w:hanging="851"/>
      </w:pPr>
      <w:bookmarkStart w:id="278" w:name="_Toc453243612"/>
      <w:bookmarkStart w:id="279" w:name="_Toc455404177"/>
      <w:r>
        <w:rPr>
          <w:rStyle w:val="CharSClsNo"/>
        </w:rPr>
        <w:t>23</w:t>
      </w:r>
      <w:r>
        <w:t>.</w:t>
      </w:r>
      <w:r>
        <w:tab/>
        <w:t>Consumption charges for 2016/17 year and subsequent years</w:t>
      </w:r>
      <w:bookmarkEnd w:id="278"/>
      <w:bookmarkEnd w:id="279"/>
    </w:p>
    <w:p>
      <w:pPr>
        <w:pStyle w:val="yMiscellaneousBody"/>
        <w:tabs>
          <w:tab w:val="left" w:pos="284"/>
        </w:tabs>
        <w:ind w:left="851" w:hanging="851"/>
      </w:pPr>
      <w:r>
        <w:rPr>
          <w:szCs w:val="22"/>
        </w:rPr>
        <w:tab/>
        <w:t>(1)</w:t>
      </w:r>
      <w:r>
        <w:rPr>
          <w:szCs w:val="22"/>
        </w:rPr>
        <w:tab/>
        <w:t xml:space="preserve">The charges set out in this Division apply for </w:t>
      </w:r>
      <w:r>
        <w:rPr>
          <w:szCs w:val="22"/>
        </w:rPr>
        <w:br/>
        <w:t xml:space="preserve">water supplied in the 2016/17 financial year </w:t>
      </w:r>
      <w:r>
        <w:rPr>
          <w:szCs w:val="22"/>
        </w:rPr>
        <w:br/>
        <w:t>and each subsequent year.</w:t>
      </w:r>
    </w:p>
    <w:p>
      <w:pPr>
        <w:pStyle w:val="yMiscellaneousBody"/>
        <w:tabs>
          <w:tab w:val="left" w:pos="284"/>
        </w:tabs>
        <w:ind w:left="851" w:hanging="851"/>
      </w:pPr>
      <w:r>
        <w:tab/>
        <w:t>(2)</w:t>
      </w:r>
      <w:r>
        <w:tab/>
        <w:t xml:space="preserve">Volumetric ranges in an item of this Division </w:t>
      </w:r>
      <w:r>
        <w:br/>
        <w:t xml:space="preserve">have effect by reference to the volume of water </w:t>
      </w:r>
      <w:r>
        <w:br/>
        <w:t>supplied in the current consumption year.</w:t>
      </w:r>
    </w:p>
    <w:p>
      <w:pPr>
        <w:pStyle w:val="yHeading5"/>
        <w:tabs>
          <w:tab w:val="clear" w:pos="879"/>
        </w:tabs>
        <w:ind w:left="851" w:hanging="851"/>
      </w:pPr>
      <w:bookmarkStart w:id="280" w:name="_Toc453243613"/>
      <w:bookmarkStart w:id="281" w:name="_Toc455404178"/>
      <w:r>
        <w:rPr>
          <w:rStyle w:val="CharSClsNo"/>
        </w:rPr>
        <w:t>24</w:t>
      </w:r>
      <w:r>
        <w:t>.</w:t>
      </w:r>
      <w:r>
        <w:tab/>
        <w:t>Residential or non</w:t>
      </w:r>
      <w:r>
        <w:noBreakHyphen/>
        <w:t>residential class of town or area</w:t>
      </w:r>
      <w:bookmarkEnd w:id="280"/>
      <w:bookmarkEnd w:id="281"/>
    </w:p>
    <w:p>
      <w:pPr>
        <w:pStyle w:val="yMiscellaneousBody"/>
        <w:ind w:left="851" w:hanging="851"/>
      </w:pPr>
      <w:r>
        <w:rPr>
          <w:szCs w:val="22"/>
        </w:rPr>
        <w:tab/>
        <w:t xml:space="preserve">In this Schedule a reference to the residential or </w:t>
      </w:r>
      <w:r>
        <w:rPr>
          <w:szCs w:val="22"/>
        </w:rPr>
        <w:br/>
        <w:t>non</w:t>
      </w:r>
      <w:r>
        <w:rPr>
          <w:szCs w:val="22"/>
        </w:rPr>
        <w:noBreakHyphen/>
        <w:t xml:space="preserve">residential class of a town or area is a </w:t>
      </w:r>
      <w:r>
        <w:rPr>
          <w:szCs w:val="22"/>
        </w:rPr>
        <w:br/>
        <w:t>reference to the residential or non</w:t>
      </w:r>
      <w:r>
        <w:rPr>
          <w:szCs w:val="22"/>
        </w:rPr>
        <w:noBreakHyphen/>
        <w:t xml:space="preserve">residential </w:t>
      </w:r>
      <w:r>
        <w:rPr>
          <w:szCs w:val="22"/>
        </w:rPr>
        <w:br/>
        <w:t xml:space="preserve">class of the town or area as set out in </w:t>
      </w:r>
      <w:r>
        <w:rPr>
          <w:szCs w:val="22"/>
        </w:rPr>
        <w:br/>
        <w:t xml:space="preserve">Schedule 10 for the current consumption year </w:t>
      </w:r>
      <w:r>
        <w:rPr>
          <w:szCs w:val="22"/>
        </w:rPr>
        <w:br/>
        <w:t xml:space="preserve">and Schedule 11 for the previous consumption </w:t>
      </w:r>
      <w:r>
        <w:rPr>
          <w:szCs w:val="22"/>
        </w:rPr>
        <w:br/>
        <w:t>year.</w:t>
      </w:r>
    </w:p>
    <w:p>
      <w:pPr>
        <w:pStyle w:val="yHeading5"/>
        <w:tabs>
          <w:tab w:val="clear" w:pos="879"/>
        </w:tabs>
        <w:ind w:left="851" w:hanging="851"/>
      </w:pPr>
      <w:bookmarkStart w:id="282" w:name="_Toc453243614"/>
      <w:bookmarkStart w:id="283" w:name="_Toc455404179"/>
      <w:r>
        <w:rPr>
          <w:rStyle w:val="CharSClsNo"/>
        </w:rPr>
        <w:t>25</w:t>
      </w:r>
      <w:r>
        <w:t>.</w:t>
      </w:r>
      <w:r>
        <w:tab/>
        <w:t>Table of class</w:t>
      </w:r>
      <w:r>
        <w:noBreakHyphen/>
        <w:t>based charges</w:t>
      </w:r>
      <w:bookmarkEnd w:id="282"/>
      <w:bookmarkEnd w:id="283"/>
    </w:p>
    <w:p>
      <w:pPr>
        <w:pStyle w:val="yMiscellaneousBody"/>
        <w:ind w:left="851" w:hanging="851"/>
      </w:pPr>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cantSplit/>
          <w:trHeight w:val="217"/>
          <w:tblHeader/>
        </w:trPr>
        <w:tc>
          <w:tcPr>
            <w:tcW w:w="1701" w:type="dxa"/>
            <w:tcBorders>
              <w:top w:val="single" w:sz="4" w:space="0" w:color="auto"/>
              <w:bottom w:val="single" w:sz="4" w:space="0" w:color="auto"/>
            </w:tcBorders>
            <w:vAlign w:val="center"/>
          </w:tcPr>
          <w:p>
            <w:pPr>
              <w:pStyle w:val="yTableNAm"/>
              <w:jc w:val="center"/>
            </w:pPr>
            <w:r>
              <w:rPr>
                <w:b/>
                <w:bCs/>
              </w:rPr>
              <w:t>Class</w:t>
            </w:r>
          </w:p>
        </w:tc>
        <w:tc>
          <w:tcPr>
            <w:tcW w:w="1701" w:type="dxa"/>
            <w:tcBorders>
              <w:top w:val="single" w:sz="4" w:space="0" w:color="auto"/>
              <w:bottom w:val="single" w:sz="4" w:space="0" w:color="auto"/>
            </w:tcBorders>
          </w:tcPr>
          <w:p>
            <w:pPr>
              <w:pStyle w:val="yTableNAm"/>
              <w:jc w:val="center"/>
            </w:pPr>
            <w:r>
              <w:rPr>
                <w:b/>
                <w:bCs/>
              </w:rPr>
              <w:t>Charge (cents)</w:t>
            </w:r>
          </w:p>
        </w:tc>
      </w:tr>
      <w:tr>
        <w:tc>
          <w:tcPr>
            <w:tcW w:w="1701" w:type="dxa"/>
            <w:tcBorders>
              <w:top w:val="single" w:sz="4" w:space="0" w:color="auto"/>
            </w:tcBorders>
            <w:vAlign w:val="center"/>
          </w:tcPr>
          <w:p>
            <w:pPr>
              <w:pStyle w:val="yTableNAm"/>
              <w:jc w:val="center"/>
            </w:pPr>
            <w:r>
              <w:rPr>
                <w:bCs/>
              </w:rPr>
              <w:t>1</w:t>
            </w:r>
          </w:p>
        </w:tc>
        <w:tc>
          <w:tcPr>
            <w:tcW w:w="1701" w:type="dxa"/>
            <w:tcBorders>
              <w:top w:val="single" w:sz="4" w:space="0" w:color="auto"/>
            </w:tcBorders>
            <w:vAlign w:val="bottom"/>
          </w:tcPr>
          <w:p>
            <w:pPr>
              <w:pStyle w:val="yTableNAm"/>
              <w:jc w:val="center"/>
            </w:pPr>
            <w:r>
              <w:rPr>
                <w:szCs w:val="22"/>
              </w:rPr>
              <w:t>225.6</w:t>
            </w:r>
          </w:p>
        </w:tc>
      </w:tr>
      <w:tr>
        <w:tc>
          <w:tcPr>
            <w:tcW w:w="1701" w:type="dxa"/>
            <w:vAlign w:val="center"/>
          </w:tcPr>
          <w:p>
            <w:pPr>
              <w:pStyle w:val="yTableNAm"/>
              <w:jc w:val="center"/>
            </w:pPr>
            <w:r>
              <w:rPr>
                <w:bCs/>
              </w:rPr>
              <w:t>2</w:t>
            </w:r>
          </w:p>
        </w:tc>
        <w:tc>
          <w:tcPr>
            <w:tcW w:w="1701" w:type="dxa"/>
            <w:vAlign w:val="bottom"/>
          </w:tcPr>
          <w:p>
            <w:pPr>
              <w:pStyle w:val="yTableNAm"/>
              <w:jc w:val="center"/>
            </w:pPr>
            <w:r>
              <w:rPr>
                <w:szCs w:val="22"/>
              </w:rPr>
              <w:t>245.8</w:t>
            </w:r>
          </w:p>
        </w:tc>
      </w:tr>
      <w:tr>
        <w:tc>
          <w:tcPr>
            <w:tcW w:w="1701" w:type="dxa"/>
            <w:vAlign w:val="center"/>
          </w:tcPr>
          <w:p>
            <w:pPr>
              <w:pStyle w:val="yTableNAm"/>
              <w:jc w:val="center"/>
            </w:pPr>
            <w:r>
              <w:rPr>
                <w:bCs/>
              </w:rPr>
              <w:t>3</w:t>
            </w:r>
          </w:p>
        </w:tc>
        <w:tc>
          <w:tcPr>
            <w:tcW w:w="1701" w:type="dxa"/>
            <w:vAlign w:val="bottom"/>
          </w:tcPr>
          <w:p>
            <w:pPr>
              <w:pStyle w:val="yTableNAm"/>
              <w:jc w:val="center"/>
            </w:pPr>
            <w:r>
              <w:rPr>
                <w:szCs w:val="22"/>
              </w:rPr>
              <w:t>267.3</w:t>
            </w:r>
          </w:p>
        </w:tc>
      </w:tr>
      <w:tr>
        <w:tc>
          <w:tcPr>
            <w:tcW w:w="1701" w:type="dxa"/>
            <w:vAlign w:val="center"/>
          </w:tcPr>
          <w:p>
            <w:pPr>
              <w:pStyle w:val="yTableNAm"/>
              <w:jc w:val="center"/>
            </w:pPr>
            <w:r>
              <w:rPr>
                <w:bCs/>
              </w:rPr>
              <w:t>4</w:t>
            </w:r>
          </w:p>
        </w:tc>
        <w:tc>
          <w:tcPr>
            <w:tcW w:w="1701" w:type="dxa"/>
            <w:vAlign w:val="bottom"/>
          </w:tcPr>
          <w:p>
            <w:pPr>
              <w:pStyle w:val="yTableNAm"/>
              <w:jc w:val="center"/>
            </w:pPr>
            <w:r>
              <w:rPr>
                <w:szCs w:val="22"/>
              </w:rPr>
              <w:t>291.2</w:t>
            </w:r>
          </w:p>
        </w:tc>
      </w:tr>
      <w:tr>
        <w:tc>
          <w:tcPr>
            <w:tcW w:w="1701" w:type="dxa"/>
            <w:vAlign w:val="center"/>
          </w:tcPr>
          <w:p>
            <w:pPr>
              <w:pStyle w:val="yTableNAm"/>
              <w:jc w:val="center"/>
            </w:pPr>
            <w:r>
              <w:rPr>
                <w:bCs/>
              </w:rPr>
              <w:t>5</w:t>
            </w:r>
          </w:p>
        </w:tc>
        <w:tc>
          <w:tcPr>
            <w:tcW w:w="1701" w:type="dxa"/>
            <w:vAlign w:val="bottom"/>
          </w:tcPr>
          <w:p>
            <w:pPr>
              <w:pStyle w:val="yTableNAm"/>
              <w:jc w:val="center"/>
            </w:pPr>
            <w:r>
              <w:rPr>
                <w:szCs w:val="22"/>
              </w:rPr>
              <w:t>317.2</w:t>
            </w:r>
          </w:p>
        </w:tc>
      </w:tr>
      <w:tr>
        <w:tc>
          <w:tcPr>
            <w:tcW w:w="1701" w:type="dxa"/>
            <w:vAlign w:val="center"/>
          </w:tcPr>
          <w:p>
            <w:pPr>
              <w:pStyle w:val="yTableNAm"/>
              <w:jc w:val="center"/>
            </w:pPr>
            <w:r>
              <w:rPr>
                <w:bCs/>
              </w:rPr>
              <w:t>6</w:t>
            </w:r>
          </w:p>
        </w:tc>
        <w:tc>
          <w:tcPr>
            <w:tcW w:w="1701" w:type="dxa"/>
            <w:vAlign w:val="bottom"/>
          </w:tcPr>
          <w:p>
            <w:pPr>
              <w:pStyle w:val="yTableNAm"/>
              <w:jc w:val="center"/>
            </w:pPr>
            <w:r>
              <w:rPr>
                <w:szCs w:val="22"/>
              </w:rPr>
              <w:t>345.3</w:t>
            </w:r>
          </w:p>
        </w:tc>
      </w:tr>
      <w:tr>
        <w:tc>
          <w:tcPr>
            <w:tcW w:w="1701" w:type="dxa"/>
            <w:vAlign w:val="center"/>
          </w:tcPr>
          <w:p>
            <w:pPr>
              <w:pStyle w:val="yTableNAm"/>
              <w:jc w:val="center"/>
            </w:pPr>
            <w:r>
              <w:rPr>
                <w:bCs/>
              </w:rPr>
              <w:t>7</w:t>
            </w:r>
          </w:p>
        </w:tc>
        <w:tc>
          <w:tcPr>
            <w:tcW w:w="1701" w:type="dxa"/>
            <w:vAlign w:val="bottom"/>
          </w:tcPr>
          <w:p>
            <w:pPr>
              <w:pStyle w:val="yTableNAm"/>
              <w:jc w:val="center"/>
            </w:pPr>
            <w:r>
              <w:rPr>
                <w:szCs w:val="22"/>
              </w:rPr>
              <w:t>376.1</w:t>
            </w:r>
          </w:p>
        </w:tc>
      </w:tr>
      <w:tr>
        <w:tc>
          <w:tcPr>
            <w:tcW w:w="1701" w:type="dxa"/>
            <w:vAlign w:val="center"/>
          </w:tcPr>
          <w:p>
            <w:pPr>
              <w:pStyle w:val="yTableNAm"/>
              <w:jc w:val="center"/>
            </w:pPr>
            <w:r>
              <w:rPr>
                <w:bCs/>
              </w:rPr>
              <w:t>8</w:t>
            </w:r>
          </w:p>
        </w:tc>
        <w:tc>
          <w:tcPr>
            <w:tcW w:w="1701" w:type="dxa"/>
            <w:vAlign w:val="bottom"/>
          </w:tcPr>
          <w:p>
            <w:pPr>
              <w:pStyle w:val="yTableNAm"/>
              <w:jc w:val="center"/>
            </w:pPr>
            <w:r>
              <w:rPr>
                <w:szCs w:val="22"/>
              </w:rPr>
              <w:t>409.5</w:t>
            </w:r>
          </w:p>
        </w:tc>
      </w:tr>
      <w:tr>
        <w:tc>
          <w:tcPr>
            <w:tcW w:w="1701" w:type="dxa"/>
            <w:vAlign w:val="center"/>
          </w:tcPr>
          <w:p>
            <w:pPr>
              <w:pStyle w:val="yTableNAm"/>
              <w:jc w:val="center"/>
            </w:pPr>
            <w:r>
              <w:rPr>
                <w:bCs/>
              </w:rPr>
              <w:t>9</w:t>
            </w:r>
          </w:p>
        </w:tc>
        <w:tc>
          <w:tcPr>
            <w:tcW w:w="1701" w:type="dxa"/>
            <w:vAlign w:val="bottom"/>
          </w:tcPr>
          <w:p>
            <w:pPr>
              <w:pStyle w:val="yTableNAm"/>
              <w:jc w:val="center"/>
            </w:pPr>
            <w:r>
              <w:rPr>
                <w:szCs w:val="22"/>
              </w:rPr>
              <w:t>445.9</w:t>
            </w:r>
          </w:p>
        </w:tc>
      </w:tr>
      <w:tr>
        <w:tc>
          <w:tcPr>
            <w:tcW w:w="1701" w:type="dxa"/>
            <w:vAlign w:val="center"/>
          </w:tcPr>
          <w:p>
            <w:pPr>
              <w:pStyle w:val="yTableNAm"/>
              <w:jc w:val="center"/>
            </w:pPr>
            <w:r>
              <w:rPr>
                <w:bCs/>
              </w:rPr>
              <w:t>10</w:t>
            </w:r>
          </w:p>
        </w:tc>
        <w:tc>
          <w:tcPr>
            <w:tcW w:w="1701" w:type="dxa"/>
            <w:vAlign w:val="bottom"/>
          </w:tcPr>
          <w:p>
            <w:pPr>
              <w:pStyle w:val="yTableNAm"/>
              <w:jc w:val="center"/>
            </w:pPr>
            <w:r>
              <w:rPr>
                <w:szCs w:val="22"/>
              </w:rPr>
              <w:t>485.7</w:t>
            </w:r>
          </w:p>
        </w:tc>
      </w:tr>
      <w:tr>
        <w:tc>
          <w:tcPr>
            <w:tcW w:w="1701" w:type="dxa"/>
            <w:vAlign w:val="center"/>
          </w:tcPr>
          <w:p>
            <w:pPr>
              <w:pStyle w:val="yTableNAm"/>
              <w:jc w:val="center"/>
            </w:pPr>
            <w:r>
              <w:rPr>
                <w:bCs/>
              </w:rPr>
              <w:t>11</w:t>
            </w:r>
          </w:p>
        </w:tc>
        <w:tc>
          <w:tcPr>
            <w:tcW w:w="1701" w:type="dxa"/>
            <w:vAlign w:val="bottom"/>
          </w:tcPr>
          <w:p>
            <w:pPr>
              <w:pStyle w:val="yTableNAm"/>
              <w:jc w:val="center"/>
            </w:pPr>
            <w:r>
              <w:rPr>
                <w:szCs w:val="22"/>
              </w:rPr>
              <w:t>528.7</w:t>
            </w:r>
          </w:p>
        </w:tc>
      </w:tr>
      <w:tr>
        <w:tc>
          <w:tcPr>
            <w:tcW w:w="1701" w:type="dxa"/>
            <w:vAlign w:val="center"/>
          </w:tcPr>
          <w:p>
            <w:pPr>
              <w:pStyle w:val="yTableNAm"/>
              <w:jc w:val="center"/>
            </w:pPr>
            <w:r>
              <w:rPr>
                <w:bCs/>
              </w:rPr>
              <w:t>12</w:t>
            </w:r>
          </w:p>
        </w:tc>
        <w:tc>
          <w:tcPr>
            <w:tcW w:w="1701" w:type="dxa"/>
            <w:vAlign w:val="bottom"/>
          </w:tcPr>
          <w:p>
            <w:pPr>
              <w:pStyle w:val="yTableNAm"/>
              <w:jc w:val="center"/>
            </w:pPr>
            <w:r>
              <w:rPr>
                <w:szCs w:val="22"/>
              </w:rPr>
              <w:t>575.8</w:t>
            </w:r>
          </w:p>
        </w:tc>
      </w:tr>
      <w:tr>
        <w:tc>
          <w:tcPr>
            <w:tcW w:w="1701" w:type="dxa"/>
            <w:vAlign w:val="center"/>
          </w:tcPr>
          <w:p>
            <w:pPr>
              <w:pStyle w:val="yTableNAm"/>
              <w:jc w:val="center"/>
            </w:pPr>
            <w:r>
              <w:rPr>
                <w:bCs/>
              </w:rPr>
              <w:t>13</w:t>
            </w:r>
          </w:p>
        </w:tc>
        <w:tc>
          <w:tcPr>
            <w:tcW w:w="1701" w:type="dxa"/>
            <w:vAlign w:val="bottom"/>
          </w:tcPr>
          <w:p>
            <w:pPr>
              <w:pStyle w:val="yTableNAm"/>
              <w:jc w:val="center"/>
            </w:pPr>
            <w:r>
              <w:rPr>
                <w:szCs w:val="22"/>
              </w:rPr>
              <w:t>627.0</w:t>
            </w:r>
          </w:p>
        </w:tc>
      </w:tr>
      <w:tr>
        <w:tc>
          <w:tcPr>
            <w:tcW w:w="1701" w:type="dxa"/>
            <w:vAlign w:val="center"/>
          </w:tcPr>
          <w:p>
            <w:pPr>
              <w:pStyle w:val="yTableNAm"/>
              <w:jc w:val="center"/>
            </w:pPr>
            <w:r>
              <w:rPr>
                <w:bCs/>
              </w:rPr>
              <w:t>14</w:t>
            </w:r>
          </w:p>
        </w:tc>
        <w:tc>
          <w:tcPr>
            <w:tcW w:w="1701" w:type="dxa"/>
            <w:vAlign w:val="bottom"/>
          </w:tcPr>
          <w:p>
            <w:pPr>
              <w:pStyle w:val="yTableNAm"/>
              <w:jc w:val="center"/>
            </w:pPr>
            <w:r>
              <w:rPr>
                <w:szCs w:val="22"/>
              </w:rPr>
              <w:t>682.8</w:t>
            </w:r>
          </w:p>
        </w:tc>
      </w:tr>
      <w:tr>
        <w:tc>
          <w:tcPr>
            <w:tcW w:w="1701" w:type="dxa"/>
            <w:tcBorders>
              <w:bottom w:val="single" w:sz="4" w:space="0" w:color="auto"/>
            </w:tcBorders>
            <w:vAlign w:val="center"/>
          </w:tcPr>
          <w:p>
            <w:pPr>
              <w:pStyle w:val="yTableNAm"/>
              <w:jc w:val="center"/>
            </w:pPr>
            <w:r>
              <w:rPr>
                <w:bCs/>
              </w:rPr>
              <w:t>15</w:t>
            </w:r>
          </w:p>
        </w:tc>
        <w:tc>
          <w:tcPr>
            <w:tcW w:w="1701" w:type="dxa"/>
            <w:tcBorders>
              <w:bottom w:val="single" w:sz="4" w:space="0" w:color="auto"/>
            </w:tcBorders>
            <w:vAlign w:val="bottom"/>
          </w:tcPr>
          <w:p>
            <w:pPr>
              <w:pStyle w:val="yTableNAm"/>
              <w:jc w:val="center"/>
            </w:pPr>
            <w:r>
              <w:rPr>
                <w:szCs w:val="22"/>
              </w:rPr>
              <w:t>734.4</w:t>
            </w:r>
          </w:p>
        </w:tc>
      </w:tr>
    </w:tbl>
    <w:p>
      <w:pPr>
        <w:pStyle w:val="yHeading4"/>
      </w:pPr>
      <w:bookmarkStart w:id="284" w:name="_Toc453239561"/>
      <w:bookmarkStart w:id="285" w:name="_Toc453239732"/>
      <w:bookmarkStart w:id="286" w:name="_Toc453239909"/>
      <w:bookmarkStart w:id="287" w:name="_Toc453240122"/>
      <w:bookmarkStart w:id="288" w:name="_Toc453243615"/>
      <w:bookmarkStart w:id="289" w:name="_Toc455155289"/>
      <w:bookmarkStart w:id="290" w:name="_Toc455404180"/>
      <w:r>
        <w:t>Subdivision 2 — Consumption charges that apply in respect of land</w:t>
      </w:r>
      <w:bookmarkEnd w:id="284"/>
      <w:bookmarkEnd w:id="285"/>
      <w:bookmarkEnd w:id="286"/>
      <w:bookmarkEnd w:id="287"/>
      <w:bookmarkEnd w:id="288"/>
      <w:bookmarkEnd w:id="289"/>
      <w:bookmarkEnd w:id="290"/>
    </w:p>
    <w:p>
      <w:pPr>
        <w:pStyle w:val="yFootnoteheading"/>
      </w:pPr>
      <w:r>
        <w:tab/>
        <w:t>[Heading inserted in Gazette 27 Jun 2016 p. 2554.]</w:t>
      </w:r>
    </w:p>
    <w:p>
      <w:pPr>
        <w:pStyle w:val="yHeading5"/>
      </w:pPr>
      <w:bookmarkStart w:id="291" w:name="_Toc453243616"/>
      <w:bookmarkStart w:id="292" w:name="_Toc455404181"/>
      <w:r>
        <w:rPr>
          <w:rStyle w:val="CharSClsNo"/>
        </w:rPr>
        <w:t>26</w:t>
      </w:r>
      <w:r>
        <w:t>.</w:t>
      </w:r>
      <w:r>
        <w:tab/>
        <w:t>Metropolitan residential and semi</w:t>
      </w:r>
      <w:r>
        <w:noBreakHyphen/>
        <w:t>rural residential</w:t>
      </w:r>
      <w:bookmarkEnd w:id="291"/>
      <w:bookmarkEnd w:id="292"/>
    </w:p>
    <w:p>
      <w:pPr>
        <w:pStyle w:val="yMiscellaneousBody"/>
        <w:tabs>
          <w:tab w:val="left" w:pos="284"/>
        </w:tabs>
        <w:ind w:left="851" w:hanging="851"/>
      </w:pPr>
      <w:r>
        <w:tab/>
        <w:t>(1)</w:t>
      </w:r>
      <w:r>
        <w:tab/>
        <w:t xml:space="preserve">For each kilolitre of water supplied to land in </w:t>
      </w:r>
      <w:r>
        <w:br/>
        <w:t xml:space="preserve">the metropolitan area that is — </w:t>
      </w:r>
    </w:p>
    <w:p>
      <w:pPr>
        <w:pStyle w:val="yMiscellaneousBody"/>
        <w:tabs>
          <w:tab w:val="left" w:pos="993"/>
        </w:tabs>
        <w:ind w:left="1560" w:hanging="1560"/>
        <w:rPr>
          <w:szCs w:val="22"/>
        </w:rPr>
      </w:pPr>
      <w:r>
        <w:rPr>
          <w:szCs w:val="22"/>
        </w:rPr>
        <w:tab/>
        <w:t>(a)</w:t>
      </w:r>
      <w:r>
        <w:rPr>
          <w:szCs w:val="22"/>
        </w:rPr>
        <w:tab/>
        <w:t>a residential property; or</w:t>
      </w:r>
    </w:p>
    <w:p>
      <w:pPr>
        <w:pStyle w:val="yMiscellaneousBody"/>
        <w:tabs>
          <w:tab w:val="left" w:pos="993"/>
        </w:tabs>
        <w:ind w:left="1560" w:hanging="1560"/>
        <w:rPr>
          <w:szCs w:val="22"/>
        </w:rPr>
      </w:pPr>
      <w:r>
        <w:rPr>
          <w:szCs w:val="22"/>
        </w:rPr>
        <w:tab/>
        <w:t>(b)</w:t>
      </w:r>
      <w:r>
        <w:rPr>
          <w:szCs w:val="22"/>
        </w:rPr>
        <w:tab/>
        <w:t xml:space="preserve">classified as vacant land but held for </w:t>
      </w:r>
      <w:r>
        <w:rPr>
          <w:szCs w:val="22"/>
        </w:rPr>
        <w:br/>
        <w:t>residential purposes; or</w:t>
      </w:r>
    </w:p>
    <w:p>
      <w:pPr>
        <w:pStyle w:val="yMiscellaneousBody"/>
        <w:tabs>
          <w:tab w:val="left" w:pos="993"/>
        </w:tabs>
        <w:ind w:left="1560" w:hanging="1560"/>
        <w:rPr>
          <w:szCs w:val="22"/>
        </w:rPr>
      </w:pPr>
      <w:r>
        <w:rPr>
          <w:szCs w:val="22"/>
        </w:rPr>
        <w:tab/>
        <w:t>(c)</w:t>
      </w:r>
      <w:r>
        <w:rPr>
          <w:szCs w:val="22"/>
        </w:rPr>
        <w:tab/>
        <w:t>a semi</w:t>
      </w:r>
      <w:r>
        <w:rPr>
          <w:szCs w:val="22"/>
        </w:rPr>
        <w:noBreakHyphen/>
        <w:t>rural residential property,</w:t>
      </w:r>
    </w:p>
    <w:p>
      <w:pPr>
        <w:pStyle w:val="yMiscellaneousBody"/>
        <w:tabs>
          <w:tab w:val="left" w:pos="284"/>
        </w:tabs>
        <w:ind w:left="851" w:hanging="851"/>
      </w:pPr>
      <w:r>
        <w:tab/>
      </w:r>
      <w:r>
        <w:tab/>
        <w:t xml:space="preserve">the charge is — </w:t>
      </w:r>
    </w:p>
    <w:p>
      <w:pPr>
        <w:pStyle w:val="yMiscellaneousBody"/>
        <w:tabs>
          <w:tab w:val="right" w:leader="dot" w:pos="6804"/>
        </w:tabs>
        <w:ind w:left="993" w:hanging="993"/>
      </w:pPr>
      <w:r>
        <w:tab/>
        <w:t xml:space="preserve">up to 150 kL </w:t>
      </w:r>
      <w:r>
        <w:tab/>
        <w:t xml:space="preserve"> </w:t>
      </w:r>
      <w:r>
        <w:rPr>
          <w:szCs w:val="22"/>
        </w:rPr>
        <w:t>158.6</w:t>
      </w:r>
      <w:r>
        <w:t xml:space="preserve"> cents</w:t>
      </w:r>
    </w:p>
    <w:p>
      <w:pPr>
        <w:pStyle w:val="yMiscellaneousBody"/>
        <w:tabs>
          <w:tab w:val="right" w:leader="dot" w:pos="6804"/>
        </w:tabs>
        <w:ind w:left="993" w:hanging="993"/>
      </w:pPr>
      <w:r>
        <w:tab/>
        <w:t xml:space="preserve">over 150 but not over 500 kL </w:t>
      </w:r>
      <w:r>
        <w:tab/>
        <w:t xml:space="preserve"> </w:t>
      </w:r>
      <w:r>
        <w:rPr>
          <w:szCs w:val="22"/>
        </w:rPr>
        <w:t>211.4</w:t>
      </w:r>
      <w:r>
        <w:t xml:space="preserve"> cents</w:t>
      </w:r>
    </w:p>
    <w:p>
      <w:pPr>
        <w:pStyle w:val="yMiscellaneousBody"/>
        <w:tabs>
          <w:tab w:val="right" w:leader="dot" w:pos="6804"/>
        </w:tabs>
        <w:ind w:left="993" w:hanging="993"/>
      </w:pPr>
      <w:r>
        <w:tab/>
        <w:t xml:space="preserve">over 500 kL </w:t>
      </w:r>
      <w:r>
        <w:tab/>
        <w:t xml:space="preserve"> </w:t>
      </w:r>
      <w:r>
        <w:rPr>
          <w:szCs w:val="22"/>
        </w:rPr>
        <w:t>299.3</w:t>
      </w:r>
      <w:r>
        <w:t xml:space="preserve"> cents</w:t>
      </w:r>
    </w:p>
    <w:p>
      <w:pPr>
        <w:pStyle w:val="yMiscellaneousBody"/>
        <w:tabs>
          <w:tab w:val="left" w:pos="284"/>
        </w:tabs>
        <w:ind w:left="851" w:hanging="851"/>
      </w:pPr>
      <w:r>
        <w:tab/>
        <w:t>(2)</w:t>
      </w:r>
      <w:r>
        <w:tab/>
        <w:t>The charge under sub</w:t>
      </w:r>
      <w:r>
        <w:noBreakHyphen/>
        <w:t xml:space="preserve">item (1) does not apply </w:t>
      </w:r>
      <w:r>
        <w:br/>
        <w:t xml:space="preserve">to the supply of water for which a more specific </w:t>
      </w:r>
      <w:r>
        <w:br/>
        <w:t xml:space="preserve">charge is provided in this Subdivision or the </w:t>
      </w:r>
      <w:r>
        <w:br/>
        <w:t>supply of water covered by item 15.</w:t>
      </w:r>
    </w:p>
    <w:p>
      <w:pPr>
        <w:pStyle w:val="yHeading5"/>
        <w:tabs>
          <w:tab w:val="clear" w:pos="879"/>
        </w:tabs>
        <w:ind w:left="851" w:hanging="851"/>
      </w:pPr>
      <w:bookmarkStart w:id="293" w:name="_Toc453243617"/>
      <w:bookmarkStart w:id="294" w:name="_Toc455404182"/>
      <w:r>
        <w:rPr>
          <w:rStyle w:val="CharSClsNo"/>
        </w:rPr>
        <w:t>27</w:t>
      </w:r>
      <w:r>
        <w:t>.</w:t>
      </w:r>
      <w:r>
        <w:tab/>
        <w:t>Metropolitan non</w:t>
      </w:r>
      <w:r>
        <w:noBreakHyphen/>
        <w:t>residential</w:t>
      </w:r>
      <w:bookmarkEnd w:id="293"/>
      <w:bookmarkEnd w:id="294"/>
    </w:p>
    <w:p>
      <w:pPr>
        <w:pStyle w:val="yMiscellaneousBody"/>
        <w:tabs>
          <w:tab w:val="left" w:pos="284"/>
        </w:tabs>
        <w:ind w:left="851" w:hanging="851"/>
      </w:pPr>
      <w:r>
        <w:tab/>
        <w:t>(1)</w:t>
      </w:r>
      <w:r>
        <w:tab/>
        <w:t xml:space="preserve">For each kilolitre of water supplied to land in </w:t>
      </w:r>
      <w:r>
        <w:br/>
        <w:t xml:space="preserve">the metropolitan area that is neither classified </w:t>
      </w:r>
      <w:r>
        <w:br/>
        <w:t xml:space="preserve">as residential nor classified as vacant land but </w:t>
      </w:r>
      <w:r>
        <w:br/>
        <w:t>held for residential purposes, the charge is —</w:t>
      </w:r>
    </w:p>
    <w:p>
      <w:pPr>
        <w:pStyle w:val="yMiscellaneousBody"/>
        <w:tabs>
          <w:tab w:val="left" w:pos="993"/>
        </w:tabs>
        <w:ind w:left="1560" w:hanging="1560"/>
        <w:rPr>
          <w:szCs w:val="22"/>
        </w:rPr>
      </w:pPr>
      <w:r>
        <w:rPr>
          <w:szCs w:val="22"/>
        </w:rPr>
        <w:tab/>
        <w:t>(a)</w:t>
      </w:r>
      <w:r>
        <w:rPr>
          <w:szCs w:val="22"/>
        </w:rPr>
        <w:tab/>
        <w:t>if the land is classified as commercial residential —</w:t>
      </w:r>
    </w:p>
    <w:p>
      <w:pPr>
        <w:pStyle w:val="yMiscellaneousBody"/>
        <w:tabs>
          <w:tab w:val="right" w:leader="dot" w:pos="6804"/>
        </w:tabs>
        <w:ind w:left="1701" w:hanging="1701"/>
        <w:rPr>
          <w:szCs w:val="22"/>
        </w:rPr>
      </w:pPr>
      <w:r>
        <w:tab/>
        <w:t xml:space="preserve">up to 150 kL </w:t>
      </w:r>
      <w:r>
        <w:tab/>
        <w:t xml:space="preserve"> </w:t>
      </w:r>
      <w:r>
        <w:rPr>
          <w:szCs w:val="22"/>
        </w:rPr>
        <w:t>158.6 cents</w:t>
      </w:r>
    </w:p>
    <w:p>
      <w:pPr>
        <w:pStyle w:val="yMiscellaneousBody"/>
        <w:tabs>
          <w:tab w:val="right" w:leader="dot" w:pos="6804"/>
        </w:tabs>
        <w:ind w:left="1701" w:hanging="1701"/>
        <w:rPr>
          <w:szCs w:val="22"/>
        </w:rPr>
      </w:pPr>
      <w:r>
        <w:rPr>
          <w:szCs w:val="22"/>
        </w:rPr>
        <w:tab/>
      </w:r>
      <w:r>
        <w:t xml:space="preserve">over 150 kL </w:t>
      </w:r>
      <w:r>
        <w:tab/>
        <w:t xml:space="preserve"> </w:t>
      </w:r>
      <w:r>
        <w:rPr>
          <w:szCs w:val="22"/>
        </w:rPr>
        <w:t>218.7 cents</w:t>
      </w:r>
    </w:p>
    <w:p>
      <w:pPr>
        <w:pStyle w:val="yMiscellaneousBody"/>
        <w:tabs>
          <w:tab w:val="left" w:pos="993"/>
          <w:tab w:val="right" w:leader="dot" w:pos="6804"/>
        </w:tabs>
        <w:ind w:left="1701" w:hanging="1701"/>
      </w:pPr>
      <w:r>
        <w:tab/>
        <w:t>(b)</w:t>
      </w:r>
      <w:r>
        <w:tab/>
        <w:t xml:space="preserve">if paragraph (a) does not apply </w:t>
      </w:r>
      <w:r>
        <w:tab/>
        <w:t xml:space="preserve"> </w:t>
      </w:r>
      <w:r>
        <w:rPr>
          <w:szCs w:val="22"/>
        </w:rPr>
        <w:t>218.7</w:t>
      </w:r>
      <w:r>
        <w:t xml:space="preserve"> cents</w:t>
      </w:r>
    </w:p>
    <w:p>
      <w:pPr>
        <w:pStyle w:val="yMiscellaneousBody"/>
        <w:tabs>
          <w:tab w:val="left" w:pos="284"/>
        </w:tabs>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tabs>
          <w:tab w:val="clear" w:pos="879"/>
        </w:tabs>
        <w:ind w:left="851" w:hanging="851"/>
      </w:pPr>
      <w:bookmarkStart w:id="295" w:name="_Toc453243618"/>
      <w:bookmarkStart w:id="296" w:name="_Toc455404183"/>
      <w:r>
        <w:rPr>
          <w:rStyle w:val="CharSClsNo"/>
        </w:rPr>
        <w:t>28</w:t>
      </w:r>
      <w:r>
        <w:t>.</w:t>
      </w:r>
      <w:r>
        <w:tab/>
        <w:t>Metropolitan non</w:t>
      </w:r>
      <w:r>
        <w:noBreakHyphen/>
        <w:t>residential concessional</w:t>
      </w:r>
      <w:bookmarkEnd w:id="295"/>
      <w:bookmarkEnd w:id="296"/>
    </w:p>
    <w:p>
      <w:pPr>
        <w:pStyle w:val="yMiscellaneousBody"/>
        <w:tabs>
          <w:tab w:val="left" w:pos="284"/>
          <w:tab w:val="right" w:leader="dot" w:pos="6804"/>
        </w:tabs>
        <w:ind w:left="851" w:hanging="851"/>
      </w:pPr>
      <w:r>
        <w:tab/>
        <w:t>(1)</w:t>
      </w:r>
      <w:r>
        <w:tab/>
        <w:t xml:space="preserve">For each kilolitre of water supplied to </w:t>
      </w:r>
      <w:r>
        <w:br/>
        <w:t xml:space="preserve">concessional land that is in the metropolitan </w:t>
      </w:r>
      <w:r>
        <w:br/>
        <w:t xml:space="preserve">area and is not classified as residential, the </w:t>
      </w:r>
      <w:r>
        <w:br/>
        <w:t>charge is</w:t>
      </w:r>
      <w:r>
        <w:rPr>
          <w:szCs w:val="22"/>
        </w:rPr>
        <w:t xml:space="preserve"> </w:t>
      </w:r>
      <w:r>
        <w:rPr>
          <w:szCs w:val="22"/>
        </w:rPr>
        <w:tab/>
        <w:t xml:space="preserve"> 218.7</w:t>
      </w:r>
      <w:r>
        <w:t xml:space="preserve"> cents</w:t>
      </w:r>
    </w:p>
    <w:p>
      <w:pPr>
        <w:pStyle w:val="yMiscellaneousBody"/>
        <w:tabs>
          <w:tab w:val="left" w:pos="284"/>
        </w:tabs>
        <w:ind w:left="851" w:hanging="851"/>
      </w:pPr>
      <w:r>
        <w:tab/>
        <w:t>(2)</w:t>
      </w:r>
      <w:r>
        <w:tab/>
        <w:t>Sub</w:t>
      </w:r>
      <w:r>
        <w:noBreakHyphen/>
        <w:t xml:space="preserve">item (1) does not apply if the supply of </w:t>
      </w:r>
      <w:r>
        <w:br/>
        <w:t>water is covered by item 39.</w:t>
      </w:r>
    </w:p>
    <w:p>
      <w:pPr>
        <w:pStyle w:val="yHeading5"/>
        <w:tabs>
          <w:tab w:val="clear" w:pos="879"/>
        </w:tabs>
        <w:ind w:left="851" w:hanging="851"/>
      </w:pPr>
      <w:bookmarkStart w:id="297" w:name="_Toc453243619"/>
      <w:bookmarkStart w:id="298" w:name="_Toc455404184"/>
      <w:r>
        <w:rPr>
          <w:rStyle w:val="CharSClsNo"/>
        </w:rPr>
        <w:t>29</w:t>
      </w:r>
      <w:r>
        <w:t>.</w:t>
      </w:r>
      <w:r>
        <w:tab/>
        <w:t>Community residential</w:t>
      </w:r>
      <w:bookmarkEnd w:id="297"/>
      <w:bookmarkEnd w:id="298"/>
    </w:p>
    <w:p>
      <w:pPr>
        <w:pStyle w:val="yMiscellaneousBody"/>
        <w:tabs>
          <w:tab w:val="left" w:pos="284"/>
        </w:tabs>
        <w:ind w:left="851" w:hanging="851"/>
      </w:pPr>
      <w:r>
        <w:tab/>
        <w:t>(1)</w:t>
      </w:r>
      <w:r>
        <w:tab/>
        <w:t xml:space="preserve">This item has effect in relation to land as if the </w:t>
      </w:r>
      <w:r>
        <w:br/>
        <w:t xml:space="preserve">volumetric ranges were increased by the </w:t>
      </w:r>
      <w:r>
        <w:br/>
        <w:t xml:space="preserve">number of residential unit equivalents </w:t>
      </w:r>
      <w:r>
        <w:br/>
        <w:t xml:space="preserve">determined for the land for the purposes of </w:t>
      </w:r>
      <w:r>
        <w:br/>
        <w:t xml:space="preserve">item 8, that is, as if the boundary volumes for </w:t>
      </w:r>
      <w:r>
        <w:br/>
        <w:t xml:space="preserve">the volumetric ranges were multiplied by the </w:t>
      </w:r>
      <w:r>
        <w:br/>
        <w:t>number of residential unit equivalents.</w:t>
      </w:r>
    </w:p>
    <w:p>
      <w:pPr>
        <w:pStyle w:val="yMiscellaneousBody"/>
        <w:tabs>
          <w:tab w:val="left" w:pos="284"/>
        </w:tabs>
        <w:ind w:left="851" w:hanging="851"/>
      </w:pPr>
      <w:r>
        <w:tab/>
        <w:t>(2)</w:t>
      </w:r>
      <w:r>
        <w:tab/>
        <w:t xml:space="preserve">For each kilolitre of water supplied to land in </w:t>
      </w:r>
      <w:r>
        <w:br/>
        <w:t xml:space="preserve">the metropolitan area that is classified as </w:t>
      </w:r>
      <w:r>
        <w:br/>
        <w:t>community residential, the charge is —</w:t>
      </w:r>
    </w:p>
    <w:p>
      <w:pPr>
        <w:pStyle w:val="yMiscellaneousBody"/>
        <w:tabs>
          <w:tab w:val="right" w:leader="dot" w:pos="6804"/>
        </w:tabs>
        <w:ind w:left="993" w:hanging="1701"/>
      </w:pPr>
      <w:r>
        <w:tab/>
        <w:t xml:space="preserve">up to 150 kL </w:t>
      </w:r>
      <w:r>
        <w:tab/>
        <w:t xml:space="preserve"> </w:t>
      </w:r>
      <w:r>
        <w:rPr>
          <w:szCs w:val="22"/>
        </w:rPr>
        <w:t>79.3</w:t>
      </w:r>
      <w:r>
        <w:t xml:space="preserve"> cents</w:t>
      </w:r>
    </w:p>
    <w:p>
      <w:pPr>
        <w:pStyle w:val="yMiscellaneousBody"/>
        <w:tabs>
          <w:tab w:val="right" w:leader="dot" w:pos="6804"/>
        </w:tabs>
        <w:ind w:left="993" w:hanging="1701"/>
      </w:pPr>
      <w:r>
        <w:tab/>
        <w:t xml:space="preserve">over 150 kL but not over 500 kL </w:t>
      </w:r>
      <w:r>
        <w:tab/>
        <w:t xml:space="preserve"> </w:t>
      </w:r>
      <w:r>
        <w:rPr>
          <w:szCs w:val="22"/>
        </w:rPr>
        <w:t>211.4</w:t>
      </w:r>
      <w:r>
        <w:t xml:space="preserve"> cents</w:t>
      </w:r>
    </w:p>
    <w:p>
      <w:pPr>
        <w:pStyle w:val="yMiscellaneousBody"/>
        <w:tabs>
          <w:tab w:val="right" w:leader="dot" w:pos="6804"/>
        </w:tabs>
        <w:ind w:left="993" w:hanging="1701"/>
      </w:pPr>
      <w:r>
        <w:tab/>
        <w:t xml:space="preserve">over 500 kL </w:t>
      </w:r>
      <w:r>
        <w:tab/>
        <w:t xml:space="preserve"> </w:t>
      </w:r>
      <w:r>
        <w:rPr>
          <w:szCs w:val="22"/>
        </w:rPr>
        <w:t>299.3</w:t>
      </w:r>
      <w:r>
        <w:t xml:space="preserve"> cents</w:t>
      </w:r>
    </w:p>
    <w:p>
      <w:pPr>
        <w:pStyle w:val="yMiscellaneousBody"/>
        <w:tabs>
          <w:tab w:val="left" w:pos="284"/>
        </w:tabs>
        <w:spacing w:after="120"/>
        <w:ind w:left="851" w:hanging="851"/>
      </w:pPr>
      <w:r>
        <w:tab/>
        <w:t>(3)</w:t>
      </w:r>
      <w:r>
        <w:tab/>
        <w:t xml:space="preserve">For each kilolitre of water supplied to land in </w:t>
      </w:r>
      <w:r>
        <w:br/>
        <w:t>the non</w:t>
      </w:r>
      <w:r>
        <w:noBreakHyphen/>
        <w:t xml:space="preserve">metropolitan area that is classified as </w:t>
      </w:r>
      <w:r>
        <w:br/>
        <w:t xml:space="preserve">community residential, the charge, according to </w:t>
      </w:r>
      <w:r>
        <w:br/>
        <w:t xml:space="preserve">the residential class of the town or area in </w:t>
      </w:r>
      <w:r>
        <w:br/>
        <w:t>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903"/>
        <w:gridCol w:w="992"/>
        <w:gridCol w:w="993"/>
        <w:gridCol w:w="992"/>
        <w:gridCol w:w="851"/>
      </w:tblGrid>
      <w:tr>
        <w:trPr>
          <w:cantSplit/>
          <w:tblHeader/>
        </w:trPr>
        <w:tc>
          <w:tcPr>
            <w:tcW w:w="1417" w:type="dxa"/>
            <w:tcBorders>
              <w:top w:val="single" w:sz="4" w:space="0" w:color="auto"/>
              <w:bottom w:val="single" w:sz="4" w:space="0" w:color="auto"/>
            </w:tcBorders>
          </w:tcPr>
          <w:p>
            <w:pPr>
              <w:pStyle w:val="yTableNAm"/>
            </w:pPr>
            <w:r>
              <w:rPr>
                <w:b/>
                <w:bCs/>
                <w:szCs w:val="22"/>
              </w:rPr>
              <w:br w:type="page"/>
              <w:t>Consumption (kL)</w:t>
            </w:r>
          </w:p>
        </w:tc>
        <w:tc>
          <w:tcPr>
            <w:tcW w:w="903" w:type="dxa"/>
            <w:tcBorders>
              <w:top w:val="single" w:sz="4" w:space="0" w:color="auto"/>
              <w:bottom w:val="single" w:sz="4" w:space="0" w:color="auto"/>
            </w:tcBorders>
          </w:tcPr>
          <w:p>
            <w:pPr>
              <w:pStyle w:val="yTableNAm"/>
              <w:jc w:val="center"/>
            </w:pPr>
            <w:r>
              <w:rPr>
                <w:b/>
                <w:bCs/>
                <w:szCs w:val="22"/>
              </w:rPr>
              <w:t>Class 1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2 (</w:t>
            </w:r>
            <w:r>
              <w:rPr>
                <w:b/>
                <w:bCs/>
              </w:rPr>
              <w:t>cents</w:t>
            </w:r>
            <w:r>
              <w:rPr>
                <w:b/>
                <w:bCs/>
                <w:szCs w:val="22"/>
              </w:rPr>
              <w:t>)</w:t>
            </w:r>
          </w:p>
        </w:tc>
        <w:tc>
          <w:tcPr>
            <w:tcW w:w="993" w:type="dxa"/>
            <w:tcBorders>
              <w:top w:val="single" w:sz="4" w:space="0" w:color="auto"/>
              <w:bottom w:val="single" w:sz="4" w:space="0" w:color="auto"/>
            </w:tcBorders>
          </w:tcPr>
          <w:p>
            <w:pPr>
              <w:pStyle w:val="yTableNAm"/>
              <w:jc w:val="center"/>
            </w:pPr>
            <w:r>
              <w:rPr>
                <w:b/>
                <w:bCs/>
                <w:szCs w:val="22"/>
              </w:rPr>
              <w:t>Class 3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4 (</w:t>
            </w:r>
            <w:r>
              <w:rPr>
                <w:b/>
                <w:bCs/>
              </w:rPr>
              <w:t>cents</w:t>
            </w:r>
            <w:r>
              <w:rPr>
                <w:b/>
                <w:bCs/>
                <w:szCs w:val="22"/>
              </w:rPr>
              <w:t>)</w:t>
            </w:r>
          </w:p>
        </w:tc>
        <w:tc>
          <w:tcPr>
            <w:tcW w:w="851" w:type="dxa"/>
            <w:tcBorders>
              <w:top w:val="single" w:sz="4" w:space="0" w:color="auto"/>
              <w:bottom w:val="single" w:sz="4" w:space="0" w:color="auto"/>
            </w:tcBorders>
          </w:tcPr>
          <w:p>
            <w:pPr>
              <w:pStyle w:val="yTableNAm"/>
              <w:jc w:val="center"/>
            </w:pPr>
            <w:r>
              <w:rPr>
                <w:b/>
                <w:bCs/>
                <w:szCs w:val="22"/>
              </w:rPr>
              <w:t>Class 5 (</w:t>
            </w:r>
            <w:r>
              <w:rPr>
                <w:b/>
                <w:bCs/>
              </w:rPr>
              <w:t>cents</w:t>
            </w:r>
            <w:r>
              <w:rPr>
                <w:b/>
                <w:bCs/>
                <w:szCs w:val="22"/>
              </w:rPr>
              <w:t>)</w:t>
            </w:r>
          </w:p>
        </w:tc>
      </w:tr>
      <w:tr>
        <w:trPr>
          <w:cantSplit/>
        </w:trPr>
        <w:tc>
          <w:tcPr>
            <w:tcW w:w="1417" w:type="dxa"/>
          </w:tcPr>
          <w:p>
            <w:pPr>
              <w:pStyle w:val="yTableNAm"/>
            </w:pPr>
            <w:r>
              <w:rPr>
                <w:szCs w:val="22"/>
              </w:rPr>
              <w:t>Up to 150</w:t>
            </w:r>
          </w:p>
        </w:tc>
        <w:tc>
          <w:tcPr>
            <w:tcW w:w="903" w:type="dxa"/>
            <w:vAlign w:val="bottom"/>
          </w:tcPr>
          <w:p>
            <w:pPr>
              <w:pStyle w:val="yTableNAm"/>
              <w:jc w:val="center"/>
            </w:pPr>
            <w:r>
              <w:rPr>
                <w:szCs w:val="22"/>
              </w:rPr>
              <w:t>60.6</w:t>
            </w:r>
          </w:p>
        </w:tc>
        <w:tc>
          <w:tcPr>
            <w:tcW w:w="992" w:type="dxa"/>
            <w:vAlign w:val="bottom"/>
          </w:tcPr>
          <w:p>
            <w:pPr>
              <w:pStyle w:val="yTableNAm"/>
              <w:jc w:val="center"/>
            </w:pPr>
            <w:r>
              <w:rPr>
                <w:szCs w:val="22"/>
              </w:rPr>
              <w:t>79.3</w:t>
            </w:r>
          </w:p>
        </w:tc>
        <w:tc>
          <w:tcPr>
            <w:tcW w:w="993" w:type="dxa"/>
            <w:vAlign w:val="bottom"/>
          </w:tcPr>
          <w:p>
            <w:pPr>
              <w:pStyle w:val="yTableNAm"/>
              <w:jc w:val="center"/>
            </w:pPr>
            <w:r>
              <w:rPr>
                <w:szCs w:val="22"/>
              </w:rPr>
              <w:t>79.3</w:t>
            </w:r>
          </w:p>
        </w:tc>
        <w:tc>
          <w:tcPr>
            <w:tcW w:w="992" w:type="dxa"/>
            <w:vAlign w:val="bottom"/>
          </w:tcPr>
          <w:p>
            <w:pPr>
              <w:pStyle w:val="yTableNAm"/>
              <w:jc w:val="center"/>
            </w:pPr>
            <w:r>
              <w:rPr>
                <w:szCs w:val="22"/>
              </w:rPr>
              <w:t>79.3</w:t>
            </w:r>
          </w:p>
        </w:tc>
        <w:tc>
          <w:tcPr>
            <w:tcW w:w="851" w:type="dxa"/>
            <w:vAlign w:val="bottom"/>
          </w:tcPr>
          <w:p>
            <w:pPr>
              <w:pStyle w:val="yTableNAm"/>
              <w:jc w:val="center"/>
            </w:pPr>
            <w:r>
              <w:rPr>
                <w:szCs w:val="22"/>
              </w:rPr>
              <w:t>79.3</w:t>
            </w:r>
          </w:p>
        </w:tc>
      </w:tr>
      <w:tr>
        <w:trPr>
          <w:cantSplit/>
        </w:trPr>
        <w:tc>
          <w:tcPr>
            <w:tcW w:w="1417" w:type="dxa"/>
          </w:tcPr>
          <w:p>
            <w:pPr>
              <w:pStyle w:val="yTableNAm"/>
            </w:pPr>
            <w:r>
              <w:rPr>
                <w:szCs w:val="22"/>
              </w:rPr>
              <w:t>Over 150 but not over 300</w:t>
            </w:r>
          </w:p>
        </w:tc>
        <w:tc>
          <w:tcPr>
            <w:tcW w:w="903" w:type="dxa"/>
            <w:vAlign w:val="bottom"/>
          </w:tcPr>
          <w:p>
            <w:pPr>
              <w:pStyle w:val="yTableNAm"/>
              <w:jc w:val="center"/>
            </w:pPr>
            <w:r>
              <w:rPr>
                <w:szCs w:val="22"/>
              </w:rPr>
              <w:t>80.6</w:t>
            </w:r>
          </w:p>
        </w:tc>
        <w:tc>
          <w:tcPr>
            <w:tcW w:w="992" w:type="dxa"/>
            <w:vAlign w:val="bottom"/>
          </w:tcPr>
          <w:p>
            <w:pPr>
              <w:pStyle w:val="yTableNAm"/>
              <w:jc w:val="center"/>
            </w:pPr>
            <w:r>
              <w:rPr>
                <w:szCs w:val="22"/>
              </w:rPr>
              <w:t>105.7</w:t>
            </w:r>
          </w:p>
        </w:tc>
        <w:tc>
          <w:tcPr>
            <w:tcW w:w="993" w:type="dxa"/>
            <w:vAlign w:val="bottom"/>
          </w:tcPr>
          <w:p>
            <w:pPr>
              <w:pStyle w:val="yTableNAm"/>
              <w:jc w:val="center"/>
            </w:pPr>
            <w:r>
              <w:rPr>
                <w:szCs w:val="22"/>
              </w:rPr>
              <w:t>105.7</w:t>
            </w:r>
          </w:p>
        </w:tc>
        <w:tc>
          <w:tcPr>
            <w:tcW w:w="992" w:type="dxa"/>
            <w:vAlign w:val="bottom"/>
          </w:tcPr>
          <w:p>
            <w:pPr>
              <w:pStyle w:val="yTableNAm"/>
              <w:jc w:val="center"/>
            </w:pPr>
            <w:r>
              <w:rPr>
                <w:szCs w:val="22"/>
              </w:rPr>
              <w:t>105.7</w:t>
            </w:r>
          </w:p>
        </w:tc>
        <w:tc>
          <w:tcPr>
            <w:tcW w:w="851" w:type="dxa"/>
            <w:vAlign w:val="bottom"/>
          </w:tcPr>
          <w:p>
            <w:pPr>
              <w:pStyle w:val="yTableNAm"/>
              <w:jc w:val="center"/>
            </w:pPr>
            <w:r>
              <w:rPr>
                <w:szCs w:val="22"/>
              </w:rPr>
              <w:t>105.7</w:t>
            </w:r>
          </w:p>
        </w:tc>
      </w:tr>
      <w:tr>
        <w:trPr>
          <w:cantSplit/>
        </w:trPr>
        <w:tc>
          <w:tcPr>
            <w:tcW w:w="1417" w:type="dxa"/>
          </w:tcPr>
          <w:p>
            <w:pPr>
              <w:pStyle w:val="yTableNAm"/>
            </w:pPr>
            <w:r>
              <w:rPr>
                <w:szCs w:val="22"/>
              </w:rPr>
              <w:t>Over 300 but not over 400</w:t>
            </w:r>
          </w:p>
        </w:tc>
        <w:tc>
          <w:tcPr>
            <w:tcW w:w="903" w:type="dxa"/>
            <w:vAlign w:val="bottom"/>
          </w:tcPr>
          <w:p>
            <w:pPr>
              <w:pStyle w:val="yTableNAm"/>
              <w:jc w:val="center"/>
            </w:pPr>
            <w:r>
              <w:rPr>
                <w:szCs w:val="22"/>
              </w:rPr>
              <w:t>85.3</w:t>
            </w:r>
          </w:p>
        </w:tc>
        <w:tc>
          <w:tcPr>
            <w:tcW w:w="992" w:type="dxa"/>
            <w:vAlign w:val="bottom"/>
          </w:tcPr>
          <w:p>
            <w:pPr>
              <w:pStyle w:val="yTableNAm"/>
              <w:jc w:val="center"/>
            </w:pPr>
            <w:r>
              <w:rPr>
                <w:szCs w:val="22"/>
              </w:rPr>
              <w:t>117.3</w:t>
            </w:r>
          </w:p>
        </w:tc>
        <w:tc>
          <w:tcPr>
            <w:tcW w:w="993" w:type="dxa"/>
            <w:vAlign w:val="bottom"/>
          </w:tcPr>
          <w:p>
            <w:pPr>
              <w:pStyle w:val="yTableNAm"/>
              <w:jc w:val="center"/>
            </w:pPr>
            <w:r>
              <w:rPr>
                <w:szCs w:val="22"/>
              </w:rPr>
              <w:t>156.3</w:t>
            </w:r>
          </w:p>
        </w:tc>
        <w:tc>
          <w:tcPr>
            <w:tcW w:w="992" w:type="dxa"/>
            <w:vAlign w:val="bottom"/>
          </w:tcPr>
          <w:p>
            <w:pPr>
              <w:pStyle w:val="yTableNAm"/>
              <w:jc w:val="center"/>
            </w:pPr>
            <w:r>
              <w:rPr>
                <w:szCs w:val="22"/>
              </w:rPr>
              <w:t>183.8</w:t>
            </w:r>
          </w:p>
        </w:tc>
        <w:tc>
          <w:tcPr>
            <w:tcW w:w="851" w:type="dxa"/>
            <w:vAlign w:val="bottom"/>
          </w:tcPr>
          <w:p>
            <w:pPr>
              <w:pStyle w:val="yTableNAm"/>
              <w:jc w:val="center"/>
            </w:pPr>
            <w:r>
              <w:rPr>
                <w:szCs w:val="22"/>
              </w:rPr>
              <w:t>216.2</w:t>
            </w:r>
          </w:p>
        </w:tc>
      </w:tr>
      <w:tr>
        <w:trPr>
          <w:cantSplit/>
        </w:trPr>
        <w:tc>
          <w:tcPr>
            <w:tcW w:w="1417" w:type="dxa"/>
          </w:tcPr>
          <w:p>
            <w:pPr>
              <w:pStyle w:val="yTableNAm"/>
            </w:pPr>
            <w:r>
              <w:rPr>
                <w:szCs w:val="22"/>
              </w:rPr>
              <w:t>Over 400 but not over 550</w:t>
            </w:r>
          </w:p>
        </w:tc>
        <w:tc>
          <w:tcPr>
            <w:tcW w:w="903" w:type="dxa"/>
            <w:vAlign w:val="bottom"/>
          </w:tcPr>
          <w:p>
            <w:pPr>
              <w:pStyle w:val="yTableNAm"/>
              <w:jc w:val="center"/>
            </w:pPr>
            <w:r>
              <w:rPr>
                <w:szCs w:val="22"/>
              </w:rPr>
              <w:t>170.6</w:t>
            </w:r>
          </w:p>
        </w:tc>
        <w:tc>
          <w:tcPr>
            <w:tcW w:w="992" w:type="dxa"/>
            <w:vAlign w:val="bottom"/>
          </w:tcPr>
          <w:p>
            <w:pPr>
              <w:pStyle w:val="yTableNAm"/>
              <w:jc w:val="center"/>
            </w:pPr>
            <w:r>
              <w:rPr>
                <w:szCs w:val="22"/>
              </w:rPr>
              <w:t>234.6</w:t>
            </w:r>
          </w:p>
        </w:tc>
        <w:tc>
          <w:tcPr>
            <w:tcW w:w="993" w:type="dxa"/>
            <w:vAlign w:val="bottom"/>
          </w:tcPr>
          <w:p>
            <w:pPr>
              <w:pStyle w:val="yTableNAm"/>
              <w:jc w:val="center"/>
            </w:pPr>
            <w:r>
              <w:rPr>
                <w:szCs w:val="22"/>
              </w:rPr>
              <w:t>312.6</w:t>
            </w:r>
          </w:p>
        </w:tc>
        <w:tc>
          <w:tcPr>
            <w:tcW w:w="992" w:type="dxa"/>
            <w:vAlign w:val="bottom"/>
          </w:tcPr>
          <w:p>
            <w:pPr>
              <w:pStyle w:val="yTableNAm"/>
              <w:jc w:val="center"/>
            </w:pPr>
            <w:r>
              <w:rPr>
                <w:szCs w:val="22"/>
              </w:rPr>
              <w:t>367.5</w:t>
            </w:r>
          </w:p>
        </w:tc>
        <w:tc>
          <w:tcPr>
            <w:tcW w:w="851" w:type="dxa"/>
            <w:vAlign w:val="bottom"/>
          </w:tcPr>
          <w:p>
            <w:pPr>
              <w:pStyle w:val="yTableNAm"/>
              <w:jc w:val="center"/>
            </w:pPr>
            <w:r>
              <w:rPr>
                <w:szCs w:val="22"/>
              </w:rPr>
              <w:t>432.4</w:t>
            </w:r>
          </w:p>
        </w:tc>
      </w:tr>
      <w:tr>
        <w:trPr>
          <w:cantSplit/>
        </w:trPr>
        <w:tc>
          <w:tcPr>
            <w:tcW w:w="1417" w:type="dxa"/>
            <w:tcBorders>
              <w:bottom w:val="single" w:sz="4" w:space="0" w:color="auto"/>
            </w:tcBorders>
          </w:tcPr>
          <w:p>
            <w:pPr>
              <w:pStyle w:val="yTableNAm"/>
            </w:pPr>
            <w:r>
              <w:rPr>
                <w:szCs w:val="22"/>
              </w:rPr>
              <w:t>Over 550</w:t>
            </w:r>
          </w:p>
        </w:tc>
        <w:tc>
          <w:tcPr>
            <w:tcW w:w="903" w:type="dxa"/>
            <w:tcBorders>
              <w:bottom w:val="single" w:sz="4" w:space="0" w:color="auto"/>
            </w:tcBorders>
            <w:vAlign w:val="bottom"/>
          </w:tcPr>
          <w:p>
            <w:pPr>
              <w:pStyle w:val="yTableNAm"/>
              <w:jc w:val="center"/>
            </w:pPr>
            <w:r>
              <w:rPr>
                <w:szCs w:val="22"/>
              </w:rPr>
              <w:t>199.1</w:t>
            </w:r>
          </w:p>
        </w:tc>
        <w:tc>
          <w:tcPr>
            <w:tcW w:w="992" w:type="dxa"/>
            <w:tcBorders>
              <w:bottom w:val="single" w:sz="4" w:space="0" w:color="auto"/>
            </w:tcBorders>
            <w:vAlign w:val="bottom"/>
          </w:tcPr>
          <w:p>
            <w:pPr>
              <w:pStyle w:val="yTableNAm"/>
              <w:jc w:val="center"/>
            </w:pPr>
            <w:r>
              <w:rPr>
                <w:szCs w:val="22"/>
              </w:rPr>
              <w:t>299.3</w:t>
            </w:r>
          </w:p>
        </w:tc>
        <w:tc>
          <w:tcPr>
            <w:tcW w:w="993" w:type="dxa"/>
            <w:tcBorders>
              <w:bottom w:val="single" w:sz="4" w:space="0" w:color="auto"/>
            </w:tcBorders>
            <w:vAlign w:val="bottom"/>
          </w:tcPr>
          <w:p>
            <w:pPr>
              <w:pStyle w:val="yTableNAm"/>
              <w:jc w:val="center"/>
            </w:pPr>
            <w:r>
              <w:rPr>
                <w:szCs w:val="22"/>
              </w:rPr>
              <w:t>398.5</w:t>
            </w:r>
          </w:p>
        </w:tc>
        <w:tc>
          <w:tcPr>
            <w:tcW w:w="992" w:type="dxa"/>
            <w:tcBorders>
              <w:bottom w:val="single" w:sz="4" w:space="0" w:color="auto"/>
            </w:tcBorders>
            <w:vAlign w:val="bottom"/>
          </w:tcPr>
          <w:p>
            <w:pPr>
              <w:pStyle w:val="yTableNAm"/>
              <w:jc w:val="center"/>
            </w:pPr>
            <w:r>
              <w:rPr>
                <w:szCs w:val="22"/>
              </w:rPr>
              <w:t>551.2</w:t>
            </w:r>
          </w:p>
        </w:tc>
        <w:tc>
          <w:tcPr>
            <w:tcW w:w="851" w:type="dxa"/>
            <w:tcBorders>
              <w:bottom w:val="single" w:sz="4" w:space="0" w:color="auto"/>
            </w:tcBorders>
            <w:vAlign w:val="bottom"/>
          </w:tcPr>
          <w:p>
            <w:pPr>
              <w:pStyle w:val="yTableNAm"/>
              <w:jc w:val="center"/>
            </w:pPr>
            <w:r>
              <w:rPr>
                <w:szCs w:val="22"/>
              </w:rPr>
              <w:t>743.4</w:t>
            </w:r>
          </w:p>
        </w:tc>
      </w:tr>
    </w:tbl>
    <w:p>
      <w:pPr>
        <w:pStyle w:val="yMiscellaneousBody"/>
        <w:tabs>
          <w:tab w:val="left" w:pos="284"/>
        </w:tabs>
        <w:spacing w:after="120"/>
        <w:ind w:left="851" w:hanging="851"/>
      </w:pPr>
      <w:r>
        <w:tab/>
        <w:t>(4)</w:t>
      </w:r>
      <w:r>
        <w:tab/>
        <w:t>Sub</w:t>
      </w:r>
      <w:r>
        <w:noBreakHyphen/>
        <w:t xml:space="preserve">item (3) applies unless the land is </w:t>
      </w:r>
      <w:r>
        <w:br/>
        <w:t>located —</w:t>
      </w:r>
    </w:p>
    <w:p>
      <w:pPr>
        <w:pStyle w:val="yMiscellaneousBody"/>
        <w:tabs>
          <w:tab w:val="left" w:pos="993"/>
        </w:tabs>
        <w:ind w:left="1560" w:hanging="1560"/>
        <w:rPr>
          <w:szCs w:val="22"/>
        </w:rPr>
      </w:pPr>
      <w:r>
        <w:rPr>
          <w:szCs w:val="22"/>
        </w:rPr>
        <w:tab/>
        <w:t>(a)</w:t>
      </w:r>
      <w:r>
        <w:rPr>
          <w:szCs w:val="22"/>
        </w:rPr>
        <w:tab/>
        <w:t xml:space="preserve">in the town of Cue, Laverton, Leonora, </w:t>
      </w:r>
      <w:r>
        <w:rPr>
          <w:szCs w:val="22"/>
        </w:rPr>
        <w:br/>
        <w:t xml:space="preserve">Meekatharra, Menzies, Mount Magnet, </w:t>
      </w:r>
      <w:r>
        <w:rPr>
          <w:szCs w:val="22"/>
        </w:rPr>
        <w:br/>
        <w:t xml:space="preserve">Mullewa, Sandstone, Wiluna or </w:t>
      </w:r>
      <w:r>
        <w:rPr>
          <w:szCs w:val="22"/>
        </w:rPr>
        <w:br/>
        <w:t>Yalgoo; or</w:t>
      </w:r>
    </w:p>
    <w:p>
      <w:pPr>
        <w:pStyle w:val="yMiscellaneousBody"/>
        <w:tabs>
          <w:tab w:val="left" w:pos="993"/>
        </w:tabs>
        <w:ind w:left="1560" w:hanging="1560"/>
        <w:rPr>
          <w:szCs w:val="22"/>
        </w:rPr>
      </w:pPr>
      <w:r>
        <w:rPr>
          <w:szCs w:val="22"/>
        </w:rPr>
        <w:tab/>
        <w:t>(b)</w:t>
      </w:r>
      <w:r>
        <w:rPr>
          <w:szCs w:val="22"/>
        </w:rPr>
        <w:tab/>
        <w:t>north of 26°S Latitude,</w:t>
      </w:r>
    </w:p>
    <w:p>
      <w:pPr>
        <w:pStyle w:val="yMiscellaneousBody"/>
        <w:tabs>
          <w:tab w:val="left" w:pos="284"/>
        </w:tabs>
        <w:spacing w:after="120"/>
        <w:ind w:left="851" w:hanging="851"/>
      </w:pPr>
      <w:r>
        <w:tab/>
      </w:r>
      <w:r>
        <w:tab/>
        <w:t xml:space="preserve">in which case the charge, according to the </w:t>
      </w:r>
      <w:r>
        <w:br/>
        <w:t xml:space="preserve">residential class of the town or area in which </w:t>
      </w:r>
      <w:r>
        <w:b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97"/>
        <w:gridCol w:w="986"/>
        <w:gridCol w:w="987"/>
        <w:gridCol w:w="987"/>
        <w:gridCol w:w="989"/>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897" w:type="dxa"/>
            <w:tcBorders>
              <w:top w:val="single" w:sz="4" w:space="0" w:color="auto"/>
              <w:bottom w:val="single" w:sz="4" w:space="0" w:color="auto"/>
            </w:tcBorders>
          </w:tcPr>
          <w:p>
            <w:pPr>
              <w:pStyle w:val="yTableNAm"/>
              <w:jc w:val="center"/>
            </w:pPr>
            <w:r>
              <w:rPr>
                <w:b/>
                <w:bCs/>
              </w:rPr>
              <w:t>Class 1 (cents)</w:t>
            </w:r>
          </w:p>
        </w:tc>
        <w:tc>
          <w:tcPr>
            <w:tcW w:w="986" w:type="dxa"/>
            <w:tcBorders>
              <w:top w:val="single" w:sz="4" w:space="0" w:color="auto"/>
              <w:bottom w:val="single" w:sz="4" w:space="0" w:color="auto"/>
            </w:tcBorders>
          </w:tcPr>
          <w:p>
            <w:pPr>
              <w:pStyle w:val="yTableNAm"/>
              <w:jc w:val="center"/>
            </w:pPr>
            <w:r>
              <w:rPr>
                <w:b/>
                <w:bCs/>
              </w:rPr>
              <w:t>Class 2 (cents)</w:t>
            </w:r>
          </w:p>
        </w:tc>
        <w:tc>
          <w:tcPr>
            <w:tcW w:w="987" w:type="dxa"/>
            <w:tcBorders>
              <w:top w:val="single" w:sz="4" w:space="0" w:color="auto"/>
              <w:bottom w:val="single" w:sz="4" w:space="0" w:color="auto"/>
            </w:tcBorders>
          </w:tcPr>
          <w:p>
            <w:pPr>
              <w:pStyle w:val="yTableNAm"/>
              <w:jc w:val="center"/>
            </w:pPr>
            <w:r>
              <w:rPr>
                <w:b/>
                <w:bCs/>
              </w:rPr>
              <w:t>Class 3 (cents)</w:t>
            </w:r>
          </w:p>
        </w:tc>
        <w:tc>
          <w:tcPr>
            <w:tcW w:w="987" w:type="dxa"/>
            <w:tcBorders>
              <w:top w:val="single" w:sz="4" w:space="0" w:color="auto"/>
              <w:bottom w:val="single" w:sz="4" w:space="0" w:color="auto"/>
            </w:tcBorders>
          </w:tcPr>
          <w:p>
            <w:pPr>
              <w:pStyle w:val="yTableNAm"/>
              <w:jc w:val="center"/>
            </w:pPr>
            <w:r>
              <w:rPr>
                <w:b/>
                <w:bCs/>
              </w:rPr>
              <w:t>Class 4 (cents)</w:t>
            </w:r>
          </w:p>
        </w:tc>
        <w:tc>
          <w:tcPr>
            <w:tcW w:w="989"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350</w:t>
            </w:r>
          </w:p>
        </w:tc>
        <w:tc>
          <w:tcPr>
            <w:tcW w:w="897" w:type="dxa"/>
            <w:vAlign w:val="bottom"/>
          </w:tcPr>
          <w:p>
            <w:pPr>
              <w:pStyle w:val="yTableNAm"/>
              <w:jc w:val="center"/>
            </w:pPr>
            <w:r>
              <w:rPr>
                <w:szCs w:val="22"/>
              </w:rPr>
              <w:t>60.6</w:t>
            </w:r>
          </w:p>
        </w:tc>
        <w:tc>
          <w:tcPr>
            <w:tcW w:w="986" w:type="dxa"/>
            <w:vAlign w:val="bottom"/>
          </w:tcPr>
          <w:p>
            <w:pPr>
              <w:pStyle w:val="yTableNAm"/>
              <w:jc w:val="center"/>
            </w:pPr>
            <w:r>
              <w:rPr>
                <w:szCs w:val="22"/>
              </w:rPr>
              <w:t>79.3</w:t>
            </w:r>
          </w:p>
        </w:tc>
        <w:tc>
          <w:tcPr>
            <w:tcW w:w="987" w:type="dxa"/>
            <w:vAlign w:val="bottom"/>
          </w:tcPr>
          <w:p>
            <w:pPr>
              <w:pStyle w:val="yTableNAm"/>
              <w:jc w:val="center"/>
            </w:pPr>
            <w:r>
              <w:rPr>
                <w:szCs w:val="22"/>
              </w:rPr>
              <w:t>79.3</w:t>
            </w:r>
          </w:p>
        </w:tc>
        <w:tc>
          <w:tcPr>
            <w:tcW w:w="987" w:type="dxa"/>
            <w:vAlign w:val="bottom"/>
          </w:tcPr>
          <w:p>
            <w:pPr>
              <w:pStyle w:val="yTableNAm"/>
              <w:jc w:val="center"/>
            </w:pPr>
            <w:r>
              <w:rPr>
                <w:szCs w:val="22"/>
              </w:rPr>
              <w:t>79.3</w:t>
            </w:r>
          </w:p>
        </w:tc>
        <w:tc>
          <w:tcPr>
            <w:tcW w:w="989" w:type="dxa"/>
            <w:vAlign w:val="bottom"/>
          </w:tcPr>
          <w:p>
            <w:pPr>
              <w:pStyle w:val="yTableNAm"/>
              <w:jc w:val="center"/>
            </w:pPr>
            <w:r>
              <w:rPr>
                <w:szCs w:val="22"/>
              </w:rPr>
              <w:t>79.3</w:t>
            </w:r>
          </w:p>
        </w:tc>
      </w:tr>
      <w:tr>
        <w:trPr>
          <w:cantSplit/>
        </w:trPr>
        <w:tc>
          <w:tcPr>
            <w:tcW w:w="1417" w:type="dxa"/>
          </w:tcPr>
          <w:p>
            <w:pPr>
              <w:pStyle w:val="yTableNAm"/>
            </w:pPr>
            <w:r>
              <w:t>Over 350 but not over 500</w:t>
            </w:r>
          </w:p>
        </w:tc>
        <w:tc>
          <w:tcPr>
            <w:tcW w:w="897" w:type="dxa"/>
            <w:vAlign w:val="bottom"/>
          </w:tcPr>
          <w:p>
            <w:pPr>
              <w:pStyle w:val="yTableNAm"/>
              <w:jc w:val="center"/>
            </w:pPr>
            <w:r>
              <w:rPr>
                <w:szCs w:val="22"/>
              </w:rPr>
              <w:t>80.6</w:t>
            </w:r>
          </w:p>
        </w:tc>
        <w:tc>
          <w:tcPr>
            <w:tcW w:w="986" w:type="dxa"/>
            <w:vAlign w:val="bottom"/>
          </w:tcPr>
          <w:p>
            <w:pPr>
              <w:pStyle w:val="yTableNAm"/>
              <w:jc w:val="center"/>
            </w:pPr>
            <w:r>
              <w:rPr>
                <w:szCs w:val="22"/>
              </w:rPr>
              <w:t>105.7</w:t>
            </w:r>
          </w:p>
        </w:tc>
        <w:tc>
          <w:tcPr>
            <w:tcW w:w="987" w:type="dxa"/>
            <w:vAlign w:val="bottom"/>
          </w:tcPr>
          <w:p>
            <w:pPr>
              <w:pStyle w:val="yTableNAm"/>
              <w:jc w:val="center"/>
            </w:pPr>
            <w:r>
              <w:rPr>
                <w:szCs w:val="22"/>
              </w:rPr>
              <w:t>105.7</w:t>
            </w:r>
          </w:p>
        </w:tc>
        <w:tc>
          <w:tcPr>
            <w:tcW w:w="987" w:type="dxa"/>
            <w:vAlign w:val="bottom"/>
          </w:tcPr>
          <w:p>
            <w:pPr>
              <w:pStyle w:val="yTableNAm"/>
              <w:jc w:val="center"/>
            </w:pPr>
            <w:r>
              <w:rPr>
                <w:szCs w:val="22"/>
              </w:rPr>
              <w:t>105.7</w:t>
            </w:r>
          </w:p>
        </w:tc>
        <w:tc>
          <w:tcPr>
            <w:tcW w:w="989" w:type="dxa"/>
            <w:vAlign w:val="bottom"/>
          </w:tcPr>
          <w:p>
            <w:pPr>
              <w:pStyle w:val="yTableNAm"/>
              <w:jc w:val="center"/>
            </w:pPr>
            <w:r>
              <w:rPr>
                <w:szCs w:val="22"/>
              </w:rPr>
              <w:t>105.7</w:t>
            </w:r>
          </w:p>
        </w:tc>
      </w:tr>
      <w:tr>
        <w:trPr>
          <w:cantSplit/>
        </w:trPr>
        <w:tc>
          <w:tcPr>
            <w:tcW w:w="1417" w:type="dxa"/>
          </w:tcPr>
          <w:p>
            <w:pPr>
              <w:pStyle w:val="yTableNAm"/>
            </w:pPr>
            <w:r>
              <w:t>Over 500 but not over 600</w:t>
            </w:r>
          </w:p>
        </w:tc>
        <w:tc>
          <w:tcPr>
            <w:tcW w:w="897" w:type="dxa"/>
            <w:vAlign w:val="bottom"/>
          </w:tcPr>
          <w:p>
            <w:pPr>
              <w:pStyle w:val="yTableNAm"/>
              <w:jc w:val="center"/>
            </w:pPr>
            <w:r>
              <w:rPr>
                <w:szCs w:val="22"/>
              </w:rPr>
              <w:t>85.3</w:t>
            </w:r>
          </w:p>
        </w:tc>
        <w:tc>
          <w:tcPr>
            <w:tcW w:w="986" w:type="dxa"/>
            <w:vAlign w:val="bottom"/>
          </w:tcPr>
          <w:p>
            <w:pPr>
              <w:pStyle w:val="yTableNAm"/>
              <w:jc w:val="center"/>
            </w:pPr>
            <w:r>
              <w:rPr>
                <w:szCs w:val="22"/>
              </w:rPr>
              <w:t>117.3</w:t>
            </w:r>
          </w:p>
        </w:tc>
        <w:tc>
          <w:tcPr>
            <w:tcW w:w="987" w:type="dxa"/>
            <w:vAlign w:val="bottom"/>
          </w:tcPr>
          <w:p>
            <w:pPr>
              <w:pStyle w:val="yTableNAm"/>
              <w:jc w:val="center"/>
            </w:pPr>
            <w:r>
              <w:rPr>
                <w:szCs w:val="22"/>
              </w:rPr>
              <w:t>156.3</w:t>
            </w:r>
          </w:p>
        </w:tc>
        <w:tc>
          <w:tcPr>
            <w:tcW w:w="987" w:type="dxa"/>
            <w:vAlign w:val="bottom"/>
          </w:tcPr>
          <w:p>
            <w:pPr>
              <w:pStyle w:val="yTableNAm"/>
              <w:jc w:val="center"/>
            </w:pPr>
            <w:r>
              <w:rPr>
                <w:szCs w:val="22"/>
              </w:rPr>
              <w:t>183.8</w:t>
            </w:r>
          </w:p>
        </w:tc>
        <w:tc>
          <w:tcPr>
            <w:tcW w:w="989" w:type="dxa"/>
            <w:vAlign w:val="bottom"/>
          </w:tcPr>
          <w:p>
            <w:pPr>
              <w:pStyle w:val="yTableNAm"/>
              <w:jc w:val="center"/>
            </w:pPr>
            <w:r>
              <w:rPr>
                <w:szCs w:val="22"/>
              </w:rPr>
              <w:t>216.2</w:t>
            </w:r>
          </w:p>
        </w:tc>
      </w:tr>
      <w:tr>
        <w:trPr>
          <w:cantSplit/>
        </w:trPr>
        <w:tc>
          <w:tcPr>
            <w:tcW w:w="1417" w:type="dxa"/>
          </w:tcPr>
          <w:p>
            <w:pPr>
              <w:pStyle w:val="yTableNAm"/>
            </w:pPr>
            <w:r>
              <w:t>Over 600 but not over 750</w:t>
            </w:r>
          </w:p>
        </w:tc>
        <w:tc>
          <w:tcPr>
            <w:tcW w:w="897" w:type="dxa"/>
            <w:vAlign w:val="bottom"/>
          </w:tcPr>
          <w:p>
            <w:pPr>
              <w:pStyle w:val="yTableNAm"/>
              <w:jc w:val="center"/>
            </w:pPr>
            <w:r>
              <w:rPr>
                <w:szCs w:val="22"/>
              </w:rPr>
              <w:t>170.6</w:t>
            </w:r>
          </w:p>
        </w:tc>
        <w:tc>
          <w:tcPr>
            <w:tcW w:w="986" w:type="dxa"/>
            <w:vAlign w:val="bottom"/>
          </w:tcPr>
          <w:p>
            <w:pPr>
              <w:pStyle w:val="yTableNAm"/>
              <w:jc w:val="center"/>
            </w:pPr>
            <w:r>
              <w:rPr>
                <w:szCs w:val="22"/>
              </w:rPr>
              <w:t>234.6</w:t>
            </w:r>
          </w:p>
        </w:tc>
        <w:tc>
          <w:tcPr>
            <w:tcW w:w="987" w:type="dxa"/>
            <w:vAlign w:val="bottom"/>
          </w:tcPr>
          <w:p>
            <w:pPr>
              <w:pStyle w:val="yTableNAm"/>
              <w:jc w:val="center"/>
            </w:pPr>
            <w:r>
              <w:rPr>
                <w:szCs w:val="22"/>
              </w:rPr>
              <w:t>312.6</w:t>
            </w:r>
          </w:p>
        </w:tc>
        <w:tc>
          <w:tcPr>
            <w:tcW w:w="987" w:type="dxa"/>
            <w:vAlign w:val="bottom"/>
          </w:tcPr>
          <w:p>
            <w:pPr>
              <w:pStyle w:val="yTableNAm"/>
              <w:jc w:val="center"/>
            </w:pPr>
            <w:r>
              <w:rPr>
                <w:szCs w:val="22"/>
              </w:rPr>
              <w:t>367.5</w:t>
            </w:r>
          </w:p>
        </w:tc>
        <w:tc>
          <w:tcPr>
            <w:tcW w:w="989" w:type="dxa"/>
            <w:vAlign w:val="bottom"/>
          </w:tcPr>
          <w:p>
            <w:pPr>
              <w:pStyle w:val="yTableNAm"/>
              <w:jc w:val="center"/>
            </w:pPr>
            <w:r>
              <w:rPr>
                <w:szCs w:val="22"/>
              </w:rPr>
              <w:t>432.4</w:t>
            </w:r>
          </w:p>
        </w:tc>
      </w:tr>
      <w:tr>
        <w:trPr>
          <w:cantSplit/>
        </w:trPr>
        <w:tc>
          <w:tcPr>
            <w:tcW w:w="1417" w:type="dxa"/>
            <w:tcBorders>
              <w:bottom w:val="single" w:sz="4" w:space="0" w:color="auto"/>
            </w:tcBorders>
          </w:tcPr>
          <w:p>
            <w:pPr>
              <w:pStyle w:val="yTableNAm"/>
            </w:pPr>
            <w:r>
              <w:t>Over 750</w:t>
            </w:r>
          </w:p>
        </w:tc>
        <w:tc>
          <w:tcPr>
            <w:tcW w:w="897" w:type="dxa"/>
            <w:tcBorders>
              <w:bottom w:val="single" w:sz="4" w:space="0" w:color="auto"/>
            </w:tcBorders>
            <w:vAlign w:val="bottom"/>
          </w:tcPr>
          <w:p>
            <w:pPr>
              <w:pStyle w:val="yTableNAm"/>
              <w:jc w:val="center"/>
            </w:pPr>
            <w:r>
              <w:rPr>
                <w:szCs w:val="22"/>
              </w:rPr>
              <w:t>199.1</w:t>
            </w:r>
          </w:p>
        </w:tc>
        <w:tc>
          <w:tcPr>
            <w:tcW w:w="986" w:type="dxa"/>
            <w:tcBorders>
              <w:bottom w:val="single" w:sz="4" w:space="0" w:color="auto"/>
            </w:tcBorders>
            <w:vAlign w:val="bottom"/>
          </w:tcPr>
          <w:p>
            <w:pPr>
              <w:pStyle w:val="yTableNAm"/>
              <w:jc w:val="center"/>
            </w:pPr>
            <w:r>
              <w:rPr>
                <w:szCs w:val="22"/>
              </w:rPr>
              <w:t>299.3</w:t>
            </w:r>
          </w:p>
        </w:tc>
        <w:tc>
          <w:tcPr>
            <w:tcW w:w="987" w:type="dxa"/>
            <w:tcBorders>
              <w:bottom w:val="single" w:sz="4" w:space="0" w:color="auto"/>
            </w:tcBorders>
            <w:vAlign w:val="bottom"/>
          </w:tcPr>
          <w:p>
            <w:pPr>
              <w:pStyle w:val="yTableNAm"/>
              <w:jc w:val="center"/>
            </w:pPr>
            <w:r>
              <w:rPr>
                <w:szCs w:val="22"/>
              </w:rPr>
              <w:t>398.5</w:t>
            </w:r>
          </w:p>
        </w:tc>
        <w:tc>
          <w:tcPr>
            <w:tcW w:w="987" w:type="dxa"/>
            <w:tcBorders>
              <w:bottom w:val="single" w:sz="4" w:space="0" w:color="auto"/>
            </w:tcBorders>
            <w:vAlign w:val="bottom"/>
          </w:tcPr>
          <w:p>
            <w:pPr>
              <w:pStyle w:val="yTableNAm"/>
              <w:jc w:val="center"/>
            </w:pPr>
            <w:r>
              <w:rPr>
                <w:szCs w:val="22"/>
              </w:rPr>
              <w:t>551.2</w:t>
            </w:r>
          </w:p>
        </w:tc>
        <w:tc>
          <w:tcPr>
            <w:tcW w:w="989" w:type="dxa"/>
            <w:tcBorders>
              <w:bottom w:val="single" w:sz="4" w:space="0" w:color="auto"/>
            </w:tcBorders>
            <w:vAlign w:val="bottom"/>
          </w:tcPr>
          <w:p>
            <w:pPr>
              <w:pStyle w:val="yTableNAm"/>
              <w:jc w:val="center"/>
            </w:pPr>
            <w:r>
              <w:rPr>
                <w:szCs w:val="22"/>
              </w:rPr>
              <w:t>743.4</w:t>
            </w:r>
          </w:p>
        </w:tc>
      </w:tr>
    </w:tbl>
    <w:p>
      <w:pPr>
        <w:pStyle w:val="yHeading5"/>
        <w:tabs>
          <w:tab w:val="clear" w:pos="879"/>
        </w:tabs>
        <w:ind w:left="851" w:hanging="851"/>
      </w:pPr>
      <w:bookmarkStart w:id="299" w:name="_Toc453243620"/>
      <w:bookmarkStart w:id="300" w:name="_Toc455404185"/>
      <w:r>
        <w:rPr>
          <w:rStyle w:val="CharSClsNo"/>
        </w:rPr>
        <w:t>30</w:t>
      </w:r>
      <w:r>
        <w:t>.</w:t>
      </w:r>
      <w:r>
        <w:tab/>
        <w:t>Non</w:t>
      </w:r>
      <w:r>
        <w:noBreakHyphen/>
        <w:t>metropolitan residential</w:t>
      </w:r>
      <w:bookmarkEnd w:id="299"/>
      <w:bookmarkEnd w:id="300"/>
    </w:p>
    <w:p>
      <w:pPr>
        <w:pStyle w:val="yMiscellaneousBody"/>
        <w:tabs>
          <w:tab w:val="left" w:pos="284"/>
        </w:tabs>
        <w:spacing w:after="120"/>
        <w:ind w:left="851" w:hanging="851"/>
      </w:pPr>
      <w:r>
        <w:tab/>
        <w:t>(1)</w:t>
      </w:r>
      <w:r>
        <w:tab/>
        <w:t xml:space="preserve">For each kilolitre of water supplied to land in </w:t>
      </w:r>
      <w:r>
        <w:br/>
        <w:t>the non</w:t>
      </w:r>
      <w:r>
        <w:noBreakHyphen/>
        <w:t xml:space="preserve">metropolitan area that is — </w:t>
      </w:r>
    </w:p>
    <w:p>
      <w:pPr>
        <w:pStyle w:val="yMiscellaneousBody"/>
        <w:tabs>
          <w:tab w:val="left" w:pos="993"/>
        </w:tabs>
        <w:ind w:left="1560" w:hanging="1560"/>
        <w:rPr>
          <w:szCs w:val="22"/>
        </w:rPr>
      </w:pPr>
      <w:r>
        <w:rPr>
          <w:szCs w:val="22"/>
        </w:rPr>
        <w:tab/>
        <w:t>(a)</w:t>
      </w:r>
      <w:r>
        <w:rPr>
          <w:szCs w:val="22"/>
        </w:rPr>
        <w:tab/>
        <w:t>a residential property; or</w:t>
      </w:r>
    </w:p>
    <w:p>
      <w:pPr>
        <w:pStyle w:val="yMiscellaneousBody"/>
        <w:tabs>
          <w:tab w:val="left" w:pos="993"/>
        </w:tabs>
        <w:ind w:left="1560" w:hanging="1560"/>
        <w:rPr>
          <w:szCs w:val="22"/>
        </w:rPr>
      </w:pPr>
      <w:r>
        <w:rPr>
          <w:szCs w:val="22"/>
        </w:rPr>
        <w:tab/>
        <w:t>(b)</w:t>
      </w:r>
      <w:r>
        <w:rPr>
          <w:szCs w:val="22"/>
        </w:rPr>
        <w:tab/>
        <w:t xml:space="preserve">classified as vacant land but held for </w:t>
      </w:r>
      <w:r>
        <w:rPr>
          <w:szCs w:val="22"/>
        </w:rPr>
        <w:br/>
        <w:t>residential purposes,</w:t>
      </w:r>
    </w:p>
    <w:p>
      <w:pPr>
        <w:pStyle w:val="yMiscellaneousBody"/>
        <w:tabs>
          <w:tab w:val="left" w:pos="284"/>
        </w:tabs>
        <w:spacing w:after="120"/>
        <w:ind w:left="851" w:hanging="851"/>
      </w:pPr>
      <w:r>
        <w:tab/>
      </w:r>
      <w:r>
        <w:tab/>
        <w:t xml:space="preserve">the charge, according to the residential class of </w:t>
      </w:r>
      <w:r>
        <w:br/>
        <w:t xml:space="preserve">the town or area in which the land is located, </w:t>
      </w:r>
      <w:r>
        <w:br/>
        <w:t xml:space="preserve">is — </w:t>
      </w:r>
    </w:p>
    <w:tbl>
      <w:tblPr>
        <w:tblW w:w="0" w:type="auto"/>
        <w:tblInd w:w="879" w:type="dxa"/>
        <w:tblCellMar>
          <w:left w:w="28" w:type="dxa"/>
          <w:right w:w="28" w:type="dxa"/>
        </w:tblCellMar>
        <w:tblLook w:val="0000" w:firstRow="0" w:lastRow="0" w:firstColumn="0" w:lastColumn="0" w:noHBand="0" w:noVBand="0"/>
      </w:tblPr>
      <w:tblGrid>
        <w:gridCol w:w="1417"/>
        <w:gridCol w:w="897"/>
        <w:gridCol w:w="987"/>
        <w:gridCol w:w="987"/>
        <w:gridCol w:w="987"/>
        <w:gridCol w:w="989"/>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897" w:type="dxa"/>
            <w:tcBorders>
              <w:top w:val="single" w:sz="4" w:space="0" w:color="auto"/>
              <w:bottom w:val="single" w:sz="4" w:space="0" w:color="auto"/>
            </w:tcBorders>
          </w:tcPr>
          <w:p>
            <w:pPr>
              <w:pStyle w:val="yTableNAm"/>
              <w:jc w:val="center"/>
            </w:pPr>
            <w:r>
              <w:rPr>
                <w:b/>
                <w:bCs/>
              </w:rPr>
              <w:t>Class 1 (cents)</w:t>
            </w:r>
          </w:p>
        </w:tc>
        <w:tc>
          <w:tcPr>
            <w:tcW w:w="987" w:type="dxa"/>
            <w:tcBorders>
              <w:top w:val="single" w:sz="4" w:space="0" w:color="auto"/>
              <w:bottom w:val="single" w:sz="4" w:space="0" w:color="auto"/>
            </w:tcBorders>
          </w:tcPr>
          <w:p>
            <w:pPr>
              <w:pStyle w:val="yTableNAm"/>
              <w:jc w:val="center"/>
            </w:pPr>
            <w:r>
              <w:rPr>
                <w:b/>
                <w:bCs/>
              </w:rPr>
              <w:t>Class 2 (cents)</w:t>
            </w:r>
          </w:p>
        </w:tc>
        <w:tc>
          <w:tcPr>
            <w:tcW w:w="987" w:type="dxa"/>
            <w:tcBorders>
              <w:top w:val="single" w:sz="4" w:space="0" w:color="auto"/>
              <w:bottom w:val="single" w:sz="4" w:space="0" w:color="auto"/>
            </w:tcBorders>
          </w:tcPr>
          <w:p>
            <w:pPr>
              <w:pStyle w:val="yTableNAm"/>
              <w:jc w:val="center"/>
            </w:pPr>
            <w:r>
              <w:rPr>
                <w:b/>
                <w:bCs/>
              </w:rPr>
              <w:t>Class 3 (cents)</w:t>
            </w:r>
          </w:p>
        </w:tc>
        <w:tc>
          <w:tcPr>
            <w:tcW w:w="987" w:type="dxa"/>
            <w:tcBorders>
              <w:top w:val="single" w:sz="4" w:space="0" w:color="auto"/>
              <w:bottom w:val="single" w:sz="4" w:space="0" w:color="auto"/>
            </w:tcBorders>
          </w:tcPr>
          <w:p>
            <w:pPr>
              <w:pStyle w:val="yTableNAm"/>
              <w:jc w:val="center"/>
            </w:pPr>
            <w:r>
              <w:rPr>
                <w:b/>
                <w:bCs/>
              </w:rPr>
              <w:t>Class 4 (cents)</w:t>
            </w:r>
          </w:p>
        </w:tc>
        <w:tc>
          <w:tcPr>
            <w:tcW w:w="989"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150</w:t>
            </w:r>
          </w:p>
        </w:tc>
        <w:tc>
          <w:tcPr>
            <w:tcW w:w="897" w:type="dxa"/>
            <w:vAlign w:val="bottom"/>
          </w:tcPr>
          <w:p>
            <w:pPr>
              <w:pStyle w:val="yTableNAm"/>
              <w:jc w:val="center"/>
            </w:pPr>
            <w:r>
              <w:rPr>
                <w:szCs w:val="22"/>
              </w:rPr>
              <w:t>121.1</w:t>
            </w:r>
          </w:p>
        </w:tc>
        <w:tc>
          <w:tcPr>
            <w:tcW w:w="987" w:type="dxa"/>
            <w:vAlign w:val="bottom"/>
          </w:tcPr>
          <w:p>
            <w:pPr>
              <w:pStyle w:val="yTableNAm"/>
              <w:jc w:val="center"/>
            </w:pPr>
            <w:r>
              <w:rPr>
                <w:szCs w:val="22"/>
              </w:rPr>
              <w:t>158.6</w:t>
            </w:r>
          </w:p>
        </w:tc>
        <w:tc>
          <w:tcPr>
            <w:tcW w:w="987" w:type="dxa"/>
            <w:vAlign w:val="bottom"/>
          </w:tcPr>
          <w:p>
            <w:pPr>
              <w:pStyle w:val="yTableNAm"/>
              <w:jc w:val="center"/>
            </w:pPr>
            <w:r>
              <w:rPr>
                <w:szCs w:val="22"/>
              </w:rPr>
              <w:t>158.6</w:t>
            </w:r>
          </w:p>
        </w:tc>
        <w:tc>
          <w:tcPr>
            <w:tcW w:w="987" w:type="dxa"/>
            <w:vAlign w:val="bottom"/>
          </w:tcPr>
          <w:p>
            <w:pPr>
              <w:pStyle w:val="yTableNAm"/>
              <w:jc w:val="center"/>
            </w:pPr>
            <w:r>
              <w:rPr>
                <w:szCs w:val="22"/>
              </w:rPr>
              <w:t>158.6</w:t>
            </w:r>
          </w:p>
        </w:tc>
        <w:tc>
          <w:tcPr>
            <w:tcW w:w="989" w:type="dxa"/>
            <w:vAlign w:val="bottom"/>
          </w:tcPr>
          <w:p>
            <w:pPr>
              <w:pStyle w:val="yTableNAm"/>
              <w:jc w:val="center"/>
            </w:pPr>
            <w:r>
              <w:rPr>
                <w:szCs w:val="22"/>
              </w:rPr>
              <w:t>158.6</w:t>
            </w:r>
          </w:p>
        </w:tc>
      </w:tr>
      <w:tr>
        <w:trPr>
          <w:cantSplit/>
        </w:trPr>
        <w:tc>
          <w:tcPr>
            <w:tcW w:w="1417" w:type="dxa"/>
          </w:tcPr>
          <w:p>
            <w:pPr>
              <w:pStyle w:val="yTableNAm"/>
            </w:pPr>
            <w:r>
              <w:t>Over 150 but not over 300</w:t>
            </w:r>
          </w:p>
        </w:tc>
        <w:tc>
          <w:tcPr>
            <w:tcW w:w="897" w:type="dxa"/>
            <w:vAlign w:val="bottom"/>
          </w:tcPr>
          <w:p>
            <w:pPr>
              <w:pStyle w:val="yTableNAm"/>
              <w:jc w:val="center"/>
            </w:pPr>
            <w:r>
              <w:rPr>
                <w:szCs w:val="22"/>
              </w:rPr>
              <w:t>161.2</w:t>
            </w:r>
          </w:p>
        </w:tc>
        <w:tc>
          <w:tcPr>
            <w:tcW w:w="987" w:type="dxa"/>
            <w:vAlign w:val="bottom"/>
          </w:tcPr>
          <w:p>
            <w:pPr>
              <w:pStyle w:val="yTableNAm"/>
              <w:jc w:val="center"/>
            </w:pPr>
            <w:r>
              <w:rPr>
                <w:szCs w:val="22"/>
              </w:rPr>
              <w:t>211.4</w:t>
            </w:r>
          </w:p>
        </w:tc>
        <w:tc>
          <w:tcPr>
            <w:tcW w:w="987" w:type="dxa"/>
            <w:vAlign w:val="bottom"/>
          </w:tcPr>
          <w:p>
            <w:pPr>
              <w:pStyle w:val="yTableNAm"/>
              <w:jc w:val="center"/>
            </w:pPr>
            <w:r>
              <w:rPr>
                <w:szCs w:val="22"/>
              </w:rPr>
              <w:t>211.4</w:t>
            </w:r>
          </w:p>
        </w:tc>
        <w:tc>
          <w:tcPr>
            <w:tcW w:w="987" w:type="dxa"/>
            <w:vAlign w:val="bottom"/>
          </w:tcPr>
          <w:p>
            <w:pPr>
              <w:pStyle w:val="yTableNAm"/>
              <w:jc w:val="center"/>
            </w:pPr>
            <w:r>
              <w:rPr>
                <w:szCs w:val="22"/>
              </w:rPr>
              <w:t>211.4</w:t>
            </w:r>
          </w:p>
        </w:tc>
        <w:tc>
          <w:tcPr>
            <w:tcW w:w="989" w:type="dxa"/>
            <w:vAlign w:val="bottom"/>
          </w:tcPr>
          <w:p>
            <w:pPr>
              <w:pStyle w:val="yTableNAm"/>
              <w:jc w:val="center"/>
            </w:pPr>
            <w:r>
              <w:rPr>
                <w:szCs w:val="22"/>
              </w:rPr>
              <w:t>211.4</w:t>
            </w:r>
          </w:p>
        </w:tc>
      </w:tr>
      <w:tr>
        <w:trPr>
          <w:cantSplit/>
        </w:trPr>
        <w:tc>
          <w:tcPr>
            <w:tcW w:w="1417" w:type="dxa"/>
          </w:tcPr>
          <w:p>
            <w:pPr>
              <w:pStyle w:val="yTableNAm"/>
            </w:pPr>
            <w:r>
              <w:t>Over 300 but not over 550</w:t>
            </w:r>
          </w:p>
        </w:tc>
        <w:tc>
          <w:tcPr>
            <w:tcW w:w="897" w:type="dxa"/>
            <w:vAlign w:val="bottom"/>
          </w:tcPr>
          <w:p>
            <w:pPr>
              <w:pStyle w:val="yTableNAm"/>
              <w:jc w:val="center"/>
            </w:pPr>
            <w:r>
              <w:rPr>
                <w:szCs w:val="22"/>
              </w:rPr>
              <w:t>170.6</w:t>
            </w:r>
          </w:p>
        </w:tc>
        <w:tc>
          <w:tcPr>
            <w:tcW w:w="987" w:type="dxa"/>
            <w:vAlign w:val="bottom"/>
          </w:tcPr>
          <w:p>
            <w:pPr>
              <w:pStyle w:val="yTableNAm"/>
              <w:jc w:val="center"/>
            </w:pPr>
            <w:r>
              <w:rPr>
                <w:szCs w:val="22"/>
              </w:rPr>
              <w:t>234.6</w:t>
            </w:r>
          </w:p>
        </w:tc>
        <w:tc>
          <w:tcPr>
            <w:tcW w:w="987" w:type="dxa"/>
            <w:vAlign w:val="bottom"/>
          </w:tcPr>
          <w:p>
            <w:pPr>
              <w:pStyle w:val="yTableNAm"/>
              <w:jc w:val="center"/>
            </w:pPr>
            <w:r>
              <w:rPr>
                <w:szCs w:val="22"/>
              </w:rPr>
              <w:t>312.6</w:t>
            </w:r>
          </w:p>
        </w:tc>
        <w:tc>
          <w:tcPr>
            <w:tcW w:w="987" w:type="dxa"/>
            <w:vAlign w:val="bottom"/>
          </w:tcPr>
          <w:p>
            <w:pPr>
              <w:pStyle w:val="yTableNAm"/>
              <w:jc w:val="center"/>
            </w:pPr>
            <w:r>
              <w:rPr>
                <w:szCs w:val="22"/>
              </w:rPr>
              <w:t>367.5</w:t>
            </w:r>
          </w:p>
        </w:tc>
        <w:tc>
          <w:tcPr>
            <w:tcW w:w="989" w:type="dxa"/>
            <w:vAlign w:val="bottom"/>
          </w:tcPr>
          <w:p>
            <w:pPr>
              <w:pStyle w:val="yTableNAm"/>
              <w:jc w:val="center"/>
            </w:pPr>
            <w:r>
              <w:rPr>
                <w:szCs w:val="22"/>
              </w:rPr>
              <w:t>432.4</w:t>
            </w:r>
          </w:p>
        </w:tc>
      </w:tr>
      <w:tr>
        <w:trPr>
          <w:cantSplit/>
        </w:trPr>
        <w:tc>
          <w:tcPr>
            <w:tcW w:w="1417" w:type="dxa"/>
            <w:tcBorders>
              <w:bottom w:val="single" w:sz="4" w:space="0" w:color="auto"/>
            </w:tcBorders>
          </w:tcPr>
          <w:p>
            <w:pPr>
              <w:pStyle w:val="yTableNAm"/>
            </w:pPr>
            <w:r>
              <w:t>Over 550</w:t>
            </w:r>
          </w:p>
        </w:tc>
        <w:tc>
          <w:tcPr>
            <w:tcW w:w="897" w:type="dxa"/>
            <w:tcBorders>
              <w:bottom w:val="single" w:sz="4" w:space="0" w:color="auto"/>
            </w:tcBorders>
            <w:vAlign w:val="bottom"/>
          </w:tcPr>
          <w:p>
            <w:pPr>
              <w:pStyle w:val="yTableNAm"/>
              <w:jc w:val="center"/>
            </w:pPr>
            <w:r>
              <w:rPr>
                <w:szCs w:val="22"/>
              </w:rPr>
              <w:t>199.1</w:t>
            </w:r>
          </w:p>
        </w:tc>
        <w:tc>
          <w:tcPr>
            <w:tcW w:w="987" w:type="dxa"/>
            <w:tcBorders>
              <w:bottom w:val="single" w:sz="4" w:space="0" w:color="auto"/>
            </w:tcBorders>
            <w:vAlign w:val="bottom"/>
          </w:tcPr>
          <w:p>
            <w:pPr>
              <w:pStyle w:val="yTableNAm"/>
              <w:jc w:val="center"/>
            </w:pPr>
            <w:r>
              <w:rPr>
                <w:szCs w:val="22"/>
              </w:rPr>
              <w:t>299.3</w:t>
            </w:r>
          </w:p>
        </w:tc>
        <w:tc>
          <w:tcPr>
            <w:tcW w:w="987" w:type="dxa"/>
            <w:tcBorders>
              <w:bottom w:val="single" w:sz="4" w:space="0" w:color="auto"/>
            </w:tcBorders>
            <w:vAlign w:val="bottom"/>
          </w:tcPr>
          <w:p>
            <w:pPr>
              <w:pStyle w:val="yTableNAm"/>
              <w:jc w:val="center"/>
            </w:pPr>
            <w:r>
              <w:rPr>
                <w:szCs w:val="22"/>
              </w:rPr>
              <w:t>398.5</w:t>
            </w:r>
          </w:p>
        </w:tc>
        <w:tc>
          <w:tcPr>
            <w:tcW w:w="987" w:type="dxa"/>
            <w:tcBorders>
              <w:bottom w:val="single" w:sz="4" w:space="0" w:color="auto"/>
            </w:tcBorders>
            <w:vAlign w:val="bottom"/>
          </w:tcPr>
          <w:p>
            <w:pPr>
              <w:pStyle w:val="yTableNAm"/>
              <w:jc w:val="center"/>
            </w:pPr>
            <w:r>
              <w:rPr>
                <w:szCs w:val="22"/>
              </w:rPr>
              <w:t>551.2</w:t>
            </w:r>
          </w:p>
        </w:tc>
        <w:tc>
          <w:tcPr>
            <w:tcW w:w="989" w:type="dxa"/>
            <w:tcBorders>
              <w:bottom w:val="single" w:sz="4" w:space="0" w:color="auto"/>
            </w:tcBorders>
            <w:vAlign w:val="bottom"/>
          </w:tcPr>
          <w:p>
            <w:pPr>
              <w:pStyle w:val="yTableNAm"/>
              <w:jc w:val="center"/>
            </w:pPr>
            <w:r>
              <w:rPr>
                <w:szCs w:val="22"/>
              </w:rPr>
              <w:t>743.4</w:t>
            </w:r>
          </w:p>
        </w:tc>
      </w:tr>
    </w:tbl>
    <w:p>
      <w:pPr>
        <w:pStyle w:val="yMiscellaneousBody"/>
        <w:tabs>
          <w:tab w:val="left" w:pos="284"/>
        </w:tabs>
        <w:spacing w:after="120"/>
        <w:ind w:left="851" w:hanging="851"/>
      </w:pPr>
      <w:r>
        <w:tab/>
        <w:t>(2)</w:t>
      </w:r>
      <w:r>
        <w:tab/>
        <w:t>Sub</w:t>
      </w:r>
      <w:r>
        <w:noBreakHyphen/>
        <w:t xml:space="preserve">item (1) applies unless the land is </w:t>
      </w:r>
      <w:r>
        <w:br/>
        <w:t xml:space="preserve">located — </w:t>
      </w:r>
    </w:p>
    <w:p>
      <w:pPr>
        <w:pStyle w:val="yMiscellaneousBody"/>
        <w:tabs>
          <w:tab w:val="left" w:pos="993"/>
        </w:tabs>
        <w:ind w:left="1560" w:hanging="1560"/>
        <w:rPr>
          <w:szCs w:val="22"/>
        </w:rPr>
      </w:pPr>
      <w:r>
        <w:rPr>
          <w:szCs w:val="22"/>
        </w:rPr>
        <w:tab/>
        <w:t>(a)</w:t>
      </w:r>
      <w:r>
        <w:rPr>
          <w:szCs w:val="22"/>
        </w:rPr>
        <w:tab/>
        <w:t xml:space="preserve">in the town of Cue, Laverton, Leonora, </w:t>
      </w:r>
      <w:r>
        <w:rPr>
          <w:szCs w:val="22"/>
        </w:rPr>
        <w:br/>
        <w:t xml:space="preserve">Meekatharra, Menzies, Mount Magnet, </w:t>
      </w:r>
      <w:r>
        <w:rPr>
          <w:szCs w:val="22"/>
        </w:rPr>
        <w:br/>
        <w:t xml:space="preserve">Mullewa, Sandstone, Wiluna or </w:t>
      </w:r>
      <w:r>
        <w:rPr>
          <w:szCs w:val="22"/>
        </w:rPr>
        <w:br/>
        <w:t>Yalgoo; or</w:t>
      </w:r>
    </w:p>
    <w:p>
      <w:pPr>
        <w:pStyle w:val="yMiscellaneousBody"/>
        <w:tabs>
          <w:tab w:val="left" w:pos="993"/>
        </w:tabs>
        <w:ind w:left="1560" w:hanging="1560"/>
        <w:rPr>
          <w:szCs w:val="22"/>
        </w:rPr>
      </w:pPr>
      <w:r>
        <w:rPr>
          <w:szCs w:val="22"/>
        </w:rPr>
        <w:tab/>
        <w:t>(b)</w:t>
      </w:r>
      <w:r>
        <w:rPr>
          <w:szCs w:val="22"/>
        </w:rPr>
        <w:tab/>
        <w:t>north of 26°S Latitude,</w:t>
      </w:r>
    </w:p>
    <w:p>
      <w:pPr>
        <w:pStyle w:val="yMiscellaneousBody"/>
        <w:tabs>
          <w:tab w:val="left" w:pos="284"/>
        </w:tabs>
        <w:spacing w:after="120"/>
        <w:ind w:left="851" w:hanging="851"/>
      </w:pPr>
      <w:r>
        <w:tab/>
      </w:r>
      <w:r>
        <w:tab/>
        <w:t xml:space="preserve">in which case the charge, according to the </w:t>
      </w:r>
      <w:r>
        <w:br/>
        <w:t xml:space="preserve">residential class of the town or area in which </w:t>
      </w:r>
      <w:r>
        <w:b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82"/>
        <w:gridCol w:w="972"/>
        <w:gridCol w:w="972"/>
        <w:gridCol w:w="972"/>
        <w:gridCol w:w="1048"/>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882" w:type="dxa"/>
            <w:tcBorders>
              <w:top w:val="single" w:sz="4" w:space="0" w:color="auto"/>
              <w:bottom w:val="single" w:sz="4" w:space="0" w:color="auto"/>
            </w:tcBorders>
          </w:tcPr>
          <w:p>
            <w:pPr>
              <w:pStyle w:val="yTableNAm"/>
              <w:jc w:val="center"/>
            </w:pPr>
            <w:r>
              <w:rPr>
                <w:b/>
                <w:bCs/>
              </w:rPr>
              <w:t>Class 1 (cents)</w:t>
            </w:r>
          </w:p>
        </w:tc>
        <w:tc>
          <w:tcPr>
            <w:tcW w:w="972" w:type="dxa"/>
            <w:tcBorders>
              <w:top w:val="single" w:sz="4" w:space="0" w:color="auto"/>
              <w:bottom w:val="single" w:sz="4" w:space="0" w:color="auto"/>
            </w:tcBorders>
          </w:tcPr>
          <w:p>
            <w:pPr>
              <w:pStyle w:val="yTableNAm"/>
              <w:jc w:val="center"/>
            </w:pPr>
            <w:r>
              <w:rPr>
                <w:b/>
                <w:bCs/>
              </w:rPr>
              <w:t>Class 2 (cents)</w:t>
            </w:r>
          </w:p>
        </w:tc>
        <w:tc>
          <w:tcPr>
            <w:tcW w:w="972" w:type="dxa"/>
            <w:tcBorders>
              <w:top w:val="single" w:sz="4" w:space="0" w:color="auto"/>
              <w:bottom w:val="single" w:sz="4" w:space="0" w:color="auto"/>
            </w:tcBorders>
          </w:tcPr>
          <w:p>
            <w:pPr>
              <w:pStyle w:val="yTableNAm"/>
              <w:jc w:val="center"/>
            </w:pPr>
            <w:r>
              <w:rPr>
                <w:b/>
                <w:bCs/>
              </w:rPr>
              <w:t>Class 3 (cents)</w:t>
            </w:r>
          </w:p>
        </w:tc>
        <w:tc>
          <w:tcPr>
            <w:tcW w:w="972" w:type="dxa"/>
            <w:tcBorders>
              <w:top w:val="single" w:sz="4" w:space="0" w:color="auto"/>
              <w:bottom w:val="single" w:sz="4" w:space="0" w:color="auto"/>
            </w:tcBorders>
          </w:tcPr>
          <w:p>
            <w:pPr>
              <w:pStyle w:val="yTableNAm"/>
              <w:jc w:val="center"/>
            </w:pPr>
            <w:r>
              <w:rPr>
                <w:b/>
                <w:bCs/>
              </w:rPr>
              <w:t>Class 4 (cents)</w:t>
            </w:r>
          </w:p>
        </w:tc>
        <w:tc>
          <w:tcPr>
            <w:tcW w:w="1048"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350</w:t>
            </w:r>
          </w:p>
        </w:tc>
        <w:tc>
          <w:tcPr>
            <w:tcW w:w="882" w:type="dxa"/>
            <w:vAlign w:val="bottom"/>
          </w:tcPr>
          <w:p>
            <w:pPr>
              <w:pStyle w:val="yTableNAm"/>
              <w:jc w:val="center"/>
            </w:pPr>
            <w:r>
              <w:rPr>
                <w:szCs w:val="22"/>
              </w:rPr>
              <w:t>121.1</w:t>
            </w:r>
          </w:p>
        </w:tc>
        <w:tc>
          <w:tcPr>
            <w:tcW w:w="972" w:type="dxa"/>
            <w:vAlign w:val="bottom"/>
          </w:tcPr>
          <w:p>
            <w:pPr>
              <w:pStyle w:val="yTableNAm"/>
              <w:jc w:val="center"/>
            </w:pPr>
            <w:r>
              <w:rPr>
                <w:szCs w:val="22"/>
              </w:rPr>
              <w:t>158.6</w:t>
            </w:r>
          </w:p>
        </w:tc>
        <w:tc>
          <w:tcPr>
            <w:tcW w:w="972" w:type="dxa"/>
            <w:vAlign w:val="bottom"/>
          </w:tcPr>
          <w:p>
            <w:pPr>
              <w:pStyle w:val="yTableNAm"/>
              <w:jc w:val="center"/>
            </w:pPr>
            <w:r>
              <w:rPr>
                <w:szCs w:val="22"/>
              </w:rPr>
              <w:t>158.6</w:t>
            </w:r>
          </w:p>
        </w:tc>
        <w:tc>
          <w:tcPr>
            <w:tcW w:w="972" w:type="dxa"/>
            <w:vAlign w:val="bottom"/>
          </w:tcPr>
          <w:p>
            <w:pPr>
              <w:pStyle w:val="yTableNAm"/>
              <w:jc w:val="center"/>
            </w:pPr>
            <w:r>
              <w:rPr>
                <w:szCs w:val="22"/>
              </w:rPr>
              <w:t>158.6</w:t>
            </w:r>
          </w:p>
        </w:tc>
        <w:tc>
          <w:tcPr>
            <w:tcW w:w="1048" w:type="dxa"/>
            <w:vAlign w:val="bottom"/>
          </w:tcPr>
          <w:p>
            <w:pPr>
              <w:pStyle w:val="yTableNAm"/>
              <w:jc w:val="center"/>
            </w:pPr>
            <w:r>
              <w:rPr>
                <w:szCs w:val="22"/>
              </w:rPr>
              <w:t>158.6</w:t>
            </w:r>
          </w:p>
        </w:tc>
      </w:tr>
      <w:tr>
        <w:trPr>
          <w:cantSplit/>
        </w:trPr>
        <w:tc>
          <w:tcPr>
            <w:tcW w:w="1417" w:type="dxa"/>
          </w:tcPr>
          <w:p>
            <w:pPr>
              <w:pStyle w:val="yTableNAm"/>
            </w:pPr>
            <w:r>
              <w:t>Over 350 but not over 500</w:t>
            </w:r>
          </w:p>
        </w:tc>
        <w:tc>
          <w:tcPr>
            <w:tcW w:w="882" w:type="dxa"/>
            <w:vAlign w:val="bottom"/>
          </w:tcPr>
          <w:p>
            <w:pPr>
              <w:pStyle w:val="yTableNAm"/>
              <w:jc w:val="center"/>
            </w:pPr>
            <w:r>
              <w:rPr>
                <w:szCs w:val="22"/>
              </w:rPr>
              <w:t>161.2</w:t>
            </w:r>
          </w:p>
        </w:tc>
        <w:tc>
          <w:tcPr>
            <w:tcW w:w="972" w:type="dxa"/>
            <w:vAlign w:val="bottom"/>
          </w:tcPr>
          <w:p>
            <w:pPr>
              <w:pStyle w:val="yTableNAm"/>
              <w:jc w:val="center"/>
            </w:pPr>
            <w:r>
              <w:rPr>
                <w:szCs w:val="22"/>
              </w:rPr>
              <w:t>211.4</w:t>
            </w:r>
          </w:p>
        </w:tc>
        <w:tc>
          <w:tcPr>
            <w:tcW w:w="972" w:type="dxa"/>
            <w:vAlign w:val="bottom"/>
          </w:tcPr>
          <w:p>
            <w:pPr>
              <w:pStyle w:val="yTableNAm"/>
              <w:jc w:val="center"/>
            </w:pPr>
            <w:r>
              <w:rPr>
                <w:szCs w:val="22"/>
              </w:rPr>
              <w:t>211.4</w:t>
            </w:r>
          </w:p>
        </w:tc>
        <w:tc>
          <w:tcPr>
            <w:tcW w:w="972" w:type="dxa"/>
            <w:vAlign w:val="bottom"/>
          </w:tcPr>
          <w:p>
            <w:pPr>
              <w:pStyle w:val="yTableNAm"/>
              <w:jc w:val="center"/>
            </w:pPr>
            <w:r>
              <w:rPr>
                <w:szCs w:val="22"/>
              </w:rPr>
              <w:t>211.4</w:t>
            </w:r>
          </w:p>
        </w:tc>
        <w:tc>
          <w:tcPr>
            <w:tcW w:w="1048" w:type="dxa"/>
            <w:vAlign w:val="bottom"/>
          </w:tcPr>
          <w:p>
            <w:pPr>
              <w:pStyle w:val="yTableNAm"/>
              <w:jc w:val="center"/>
            </w:pPr>
            <w:r>
              <w:rPr>
                <w:szCs w:val="22"/>
              </w:rPr>
              <w:t>211.4</w:t>
            </w:r>
          </w:p>
        </w:tc>
      </w:tr>
      <w:tr>
        <w:trPr>
          <w:cantSplit/>
        </w:trPr>
        <w:tc>
          <w:tcPr>
            <w:tcW w:w="1417" w:type="dxa"/>
          </w:tcPr>
          <w:p>
            <w:pPr>
              <w:pStyle w:val="yTableNAm"/>
            </w:pPr>
            <w:r>
              <w:t>Over 500 but not over 750</w:t>
            </w:r>
          </w:p>
        </w:tc>
        <w:tc>
          <w:tcPr>
            <w:tcW w:w="882" w:type="dxa"/>
            <w:vAlign w:val="bottom"/>
          </w:tcPr>
          <w:p>
            <w:pPr>
              <w:pStyle w:val="yTableNAm"/>
              <w:jc w:val="center"/>
            </w:pPr>
            <w:r>
              <w:rPr>
                <w:szCs w:val="22"/>
              </w:rPr>
              <w:t>170.6</w:t>
            </w:r>
          </w:p>
        </w:tc>
        <w:tc>
          <w:tcPr>
            <w:tcW w:w="972" w:type="dxa"/>
            <w:vAlign w:val="bottom"/>
          </w:tcPr>
          <w:p>
            <w:pPr>
              <w:pStyle w:val="yTableNAm"/>
              <w:jc w:val="center"/>
            </w:pPr>
            <w:r>
              <w:rPr>
                <w:szCs w:val="22"/>
              </w:rPr>
              <w:t>234.6</w:t>
            </w:r>
          </w:p>
        </w:tc>
        <w:tc>
          <w:tcPr>
            <w:tcW w:w="972" w:type="dxa"/>
            <w:vAlign w:val="bottom"/>
          </w:tcPr>
          <w:p>
            <w:pPr>
              <w:pStyle w:val="yTableNAm"/>
              <w:jc w:val="center"/>
            </w:pPr>
            <w:r>
              <w:rPr>
                <w:szCs w:val="22"/>
              </w:rPr>
              <w:t>312.6</w:t>
            </w:r>
          </w:p>
        </w:tc>
        <w:tc>
          <w:tcPr>
            <w:tcW w:w="972" w:type="dxa"/>
            <w:vAlign w:val="bottom"/>
          </w:tcPr>
          <w:p>
            <w:pPr>
              <w:pStyle w:val="yTableNAm"/>
              <w:jc w:val="center"/>
            </w:pPr>
            <w:r>
              <w:rPr>
                <w:szCs w:val="22"/>
              </w:rPr>
              <w:t>367.5</w:t>
            </w:r>
          </w:p>
        </w:tc>
        <w:tc>
          <w:tcPr>
            <w:tcW w:w="1048" w:type="dxa"/>
            <w:vAlign w:val="bottom"/>
          </w:tcPr>
          <w:p>
            <w:pPr>
              <w:pStyle w:val="yTableNAm"/>
              <w:jc w:val="center"/>
            </w:pPr>
            <w:r>
              <w:rPr>
                <w:szCs w:val="22"/>
              </w:rPr>
              <w:t>432.4</w:t>
            </w:r>
          </w:p>
        </w:tc>
      </w:tr>
      <w:tr>
        <w:trPr>
          <w:cantSplit/>
        </w:trPr>
        <w:tc>
          <w:tcPr>
            <w:tcW w:w="1417" w:type="dxa"/>
            <w:tcBorders>
              <w:bottom w:val="single" w:sz="4" w:space="0" w:color="auto"/>
            </w:tcBorders>
          </w:tcPr>
          <w:p>
            <w:pPr>
              <w:pStyle w:val="yTableNAm"/>
            </w:pPr>
            <w:r>
              <w:t>Over 750</w:t>
            </w:r>
          </w:p>
        </w:tc>
        <w:tc>
          <w:tcPr>
            <w:tcW w:w="882" w:type="dxa"/>
            <w:tcBorders>
              <w:bottom w:val="single" w:sz="4" w:space="0" w:color="auto"/>
            </w:tcBorders>
            <w:vAlign w:val="bottom"/>
          </w:tcPr>
          <w:p>
            <w:pPr>
              <w:pStyle w:val="yTableNAm"/>
              <w:jc w:val="center"/>
            </w:pPr>
            <w:r>
              <w:rPr>
                <w:szCs w:val="22"/>
              </w:rPr>
              <w:t>199.1</w:t>
            </w:r>
          </w:p>
        </w:tc>
        <w:tc>
          <w:tcPr>
            <w:tcW w:w="972" w:type="dxa"/>
            <w:tcBorders>
              <w:bottom w:val="single" w:sz="4" w:space="0" w:color="auto"/>
            </w:tcBorders>
            <w:vAlign w:val="bottom"/>
          </w:tcPr>
          <w:p>
            <w:pPr>
              <w:pStyle w:val="yTableNAm"/>
              <w:jc w:val="center"/>
            </w:pPr>
            <w:r>
              <w:rPr>
                <w:szCs w:val="22"/>
              </w:rPr>
              <w:t>299.3</w:t>
            </w:r>
          </w:p>
        </w:tc>
        <w:tc>
          <w:tcPr>
            <w:tcW w:w="972" w:type="dxa"/>
            <w:tcBorders>
              <w:bottom w:val="single" w:sz="4" w:space="0" w:color="auto"/>
            </w:tcBorders>
            <w:vAlign w:val="bottom"/>
          </w:tcPr>
          <w:p>
            <w:pPr>
              <w:pStyle w:val="yTableNAm"/>
              <w:jc w:val="center"/>
            </w:pPr>
            <w:r>
              <w:rPr>
                <w:szCs w:val="22"/>
              </w:rPr>
              <w:t>398.5</w:t>
            </w:r>
          </w:p>
        </w:tc>
        <w:tc>
          <w:tcPr>
            <w:tcW w:w="972" w:type="dxa"/>
            <w:tcBorders>
              <w:bottom w:val="single" w:sz="4" w:space="0" w:color="auto"/>
            </w:tcBorders>
            <w:vAlign w:val="bottom"/>
          </w:tcPr>
          <w:p>
            <w:pPr>
              <w:pStyle w:val="yTableNAm"/>
              <w:jc w:val="center"/>
            </w:pPr>
            <w:r>
              <w:rPr>
                <w:szCs w:val="22"/>
              </w:rPr>
              <w:t>551.2</w:t>
            </w:r>
          </w:p>
        </w:tc>
        <w:tc>
          <w:tcPr>
            <w:tcW w:w="1048" w:type="dxa"/>
            <w:tcBorders>
              <w:bottom w:val="single" w:sz="4" w:space="0" w:color="auto"/>
            </w:tcBorders>
            <w:vAlign w:val="bottom"/>
          </w:tcPr>
          <w:p>
            <w:pPr>
              <w:pStyle w:val="yTableNAm"/>
              <w:jc w:val="center"/>
            </w:pPr>
            <w:r>
              <w:rPr>
                <w:szCs w:val="22"/>
              </w:rPr>
              <w:t>743.4</w:t>
            </w:r>
          </w:p>
        </w:tc>
      </w:tr>
    </w:tbl>
    <w:p>
      <w:pPr>
        <w:pStyle w:val="yMiscellaneousBody"/>
        <w:tabs>
          <w:tab w:val="left" w:pos="284"/>
        </w:tabs>
        <w:spacing w:after="120"/>
        <w:ind w:left="851" w:hanging="851"/>
      </w:pPr>
      <w:r>
        <w:tab/>
        <w:t>(3)</w:t>
      </w:r>
      <w:r>
        <w:tab/>
        <w:t>A charge under sub</w:t>
      </w:r>
      <w:r>
        <w:noBreakHyphen/>
        <w:t xml:space="preserve">item (1) or (2) does not </w:t>
      </w:r>
      <w:r>
        <w:br/>
        <w:t xml:space="preserve">apply to the supply of water for which a more </w:t>
      </w:r>
      <w:r>
        <w:br/>
        <w:t>specific charge is provided in this Subdivision.</w:t>
      </w:r>
    </w:p>
    <w:p>
      <w:pPr>
        <w:pStyle w:val="yHeading5"/>
        <w:tabs>
          <w:tab w:val="clear" w:pos="879"/>
        </w:tabs>
        <w:ind w:left="851" w:hanging="851"/>
      </w:pPr>
      <w:bookmarkStart w:id="301" w:name="_Toc453243621"/>
      <w:bookmarkStart w:id="302" w:name="_Toc455404186"/>
      <w:r>
        <w:rPr>
          <w:rStyle w:val="CharSClsNo"/>
        </w:rPr>
        <w:t>31</w:t>
      </w:r>
      <w:r>
        <w:t>.</w:t>
      </w:r>
      <w:r>
        <w:tab/>
        <w:t>Non</w:t>
      </w:r>
      <w:r>
        <w:noBreakHyphen/>
        <w:t>metropolitan non</w:t>
      </w:r>
      <w:r>
        <w:noBreakHyphen/>
        <w:t>residential</w:t>
      </w:r>
      <w:bookmarkEnd w:id="301"/>
      <w:bookmarkEnd w:id="302"/>
    </w:p>
    <w:p>
      <w:pPr>
        <w:pStyle w:val="yMiscellaneousBody"/>
        <w:tabs>
          <w:tab w:val="left" w:pos="284"/>
        </w:tabs>
        <w:spacing w:after="120"/>
        <w:ind w:left="851" w:hanging="851"/>
      </w:pPr>
      <w:r>
        <w:tab/>
        <w:t>(1)</w:t>
      </w:r>
      <w:r>
        <w:tab/>
        <w:t xml:space="preserve">For each kilolitre of water supplied to land in </w:t>
      </w:r>
      <w:r>
        <w:br/>
        <w:t>the non</w:t>
      </w:r>
      <w:r>
        <w:noBreakHyphen/>
        <w:t xml:space="preserve">metropolitan area that is neither </w:t>
      </w:r>
      <w:r>
        <w:br/>
        <w:t xml:space="preserve">classified as residential nor classified as vacant </w:t>
      </w:r>
      <w:r>
        <w:br/>
        <w:t xml:space="preserve">land but held for residential purposes, the </w:t>
      </w:r>
      <w:r>
        <w:br/>
        <w:t>charge is —</w:t>
      </w:r>
    </w:p>
    <w:p>
      <w:pPr>
        <w:pStyle w:val="yMiscellaneousBody"/>
        <w:tabs>
          <w:tab w:val="left" w:pos="993"/>
          <w:tab w:val="right" w:leader="dot" w:pos="6804"/>
        </w:tabs>
        <w:ind w:left="1701" w:hanging="1701"/>
      </w:pPr>
      <w:r>
        <w:tab/>
        <w:t>(a)</w:t>
      </w:r>
      <w:r>
        <w:tab/>
        <w:t xml:space="preserve">if </w:t>
      </w:r>
      <w:r>
        <w:rPr>
          <w:szCs w:val="22"/>
        </w:rPr>
        <w:t>the</w:t>
      </w:r>
      <w:r>
        <w:t xml:space="preserve"> land is classified as local </w:t>
      </w:r>
      <w:r>
        <w:br/>
        <w:t xml:space="preserve">government, institutional public </w:t>
      </w:r>
      <w:r>
        <w:br/>
        <w:t xml:space="preserve">or charitable purposes </w:t>
      </w:r>
      <w:r>
        <w:tab/>
        <w:t xml:space="preserve"> </w:t>
      </w:r>
      <w:r>
        <w:rPr>
          <w:szCs w:val="22"/>
        </w:rPr>
        <w:t>225.6</w:t>
      </w:r>
      <w:r>
        <w:t xml:space="preserve"> cents</w:t>
      </w:r>
    </w:p>
    <w:p>
      <w:pPr>
        <w:pStyle w:val="yMiscellaneousBody"/>
        <w:tabs>
          <w:tab w:val="left" w:pos="993"/>
          <w:tab w:val="right" w:leader="dot" w:pos="6804"/>
        </w:tabs>
        <w:ind w:left="1701" w:hanging="1701"/>
      </w:pPr>
      <w:r>
        <w:tab/>
        <w:t>(b)</w:t>
      </w:r>
      <w:r>
        <w:tab/>
        <w:t xml:space="preserve">if the land is classified as farmland </w:t>
      </w:r>
      <w:r>
        <w:tab/>
        <w:t xml:space="preserve"> </w:t>
      </w:r>
      <w:r>
        <w:rPr>
          <w:szCs w:val="22"/>
        </w:rPr>
        <w:t>225.6</w:t>
      </w:r>
      <w:r>
        <w:t xml:space="preserve"> cents</w:t>
      </w:r>
    </w:p>
    <w:p>
      <w:pPr>
        <w:pStyle w:val="yMiscellaneousBody"/>
        <w:tabs>
          <w:tab w:val="left" w:pos="993"/>
          <w:tab w:val="right" w:leader="dot" w:pos="6804"/>
        </w:tabs>
        <w:ind w:left="1701" w:hanging="1701"/>
        <w:rPr>
          <w:szCs w:val="22"/>
        </w:rPr>
      </w:pPr>
      <w:r>
        <w:rPr>
          <w:szCs w:val="22"/>
        </w:rPr>
        <w:tab/>
        <w:t>(c)</w:t>
      </w:r>
      <w:r>
        <w:rPr>
          <w:szCs w:val="22"/>
        </w:rPr>
        <w:tab/>
        <w:t xml:space="preserve">if the land is classified as mining — the </w:t>
      </w:r>
      <w:r>
        <w:rPr>
          <w:szCs w:val="22"/>
        </w:rPr>
        <w:br/>
        <w:t xml:space="preserve">charge applicable in the Table in </w:t>
      </w:r>
      <w:r>
        <w:rPr>
          <w:szCs w:val="22"/>
        </w:rPr>
        <w:br/>
        <w:t>item 25 according to the non</w:t>
      </w:r>
      <w:r>
        <w:rPr>
          <w:szCs w:val="22"/>
        </w:rPr>
        <w:noBreakHyphen/>
        <w:t xml:space="preserve">residential </w:t>
      </w:r>
      <w:r>
        <w:rPr>
          <w:szCs w:val="22"/>
        </w:rPr>
        <w:br/>
        <w:t xml:space="preserve">class of the town or area in which the </w:t>
      </w:r>
      <w:r>
        <w:rPr>
          <w:szCs w:val="22"/>
        </w:rPr>
        <w:br/>
        <w:t xml:space="preserve">land is located, except that the Table is </w:t>
      </w:r>
      <w:r>
        <w:rPr>
          <w:szCs w:val="22"/>
        </w:rPr>
        <w:br/>
        <w:t xml:space="preserve">to have effect as if the charge for </w:t>
      </w:r>
      <w:r>
        <w:rPr>
          <w:szCs w:val="22"/>
        </w:rPr>
        <w:br/>
        <w:t>classes 10 to 15 were 596.4 cents;</w:t>
      </w:r>
    </w:p>
    <w:p>
      <w:pPr>
        <w:pStyle w:val="yMiscellaneousBody"/>
        <w:tabs>
          <w:tab w:val="left" w:pos="993"/>
        </w:tabs>
        <w:ind w:left="1560" w:hanging="1560"/>
        <w:rPr>
          <w:szCs w:val="22"/>
        </w:rPr>
      </w:pPr>
      <w:r>
        <w:rPr>
          <w:szCs w:val="22"/>
        </w:rPr>
        <w:tab/>
        <w:t>(d)</w:t>
      </w:r>
      <w:r>
        <w:rPr>
          <w:szCs w:val="22"/>
        </w:rPr>
        <w:tab/>
        <w:t xml:space="preserve">if the land is classified as </w:t>
      </w:r>
      <w:r>
        <w:rPr>
          <w:szCs w:val="22"/>
        </w:rPr>
        <w:br/>
        <w:t>non</w:t>
      </w:r>
      <w:r>
        <w:rPr>
          <w:szCs w:val="22"/>
        </w:rPr>
        <w:noBreakHyphen/>
        <w:t xml:space="preserve">residential or vacant land — the </w:t>
      </w:r>
      <w:r>
        <w:rPr>
          <w:szCs w:val="22"/>
        </w:rPr>
        <w:br/>
        <w:t xml:space="preserve">charge applicable in the Table in </w:t>
      </w:r>
      <w:r>
        <w:rPr>
          <w:szCs w:val="22"/>
        </w:rPr>
        <w:br/>
        <w:t>item 25 according to the non</w:t>
      </w:r>
      <w:r>
        <w:rPr>
          <w:szCs w:val="22"/>
        </w:rPr>
        <w:noBreakHyphen/>
        <w:t xml:space="preserve">residential </w:t>
      </w:r>
      <w:r>
        <w:rPr>
          <w:szCs w:val="22"/>
        </w:rPr>
        <w:br/>
        <w:t xml:space="preserve">class of the town or area in which the </w:t>
      </w:r>
      <w:r>
        <w:rPr>
          <w:szCs w:val="22"/>
        </w:rPr>
        <w:br/>
        <w:t>land is located;</w:t>
      </w:r>
    </w:p>
    <w:p>
      <w:pPr>
        <w:pStyle w:val="yMiscellaneousBody"/>
        <w:tabs>
          <w:tab w:val="left" w:pos="993"/>
        </w:tabs>
        <w:ind w:left="1560" w:hanging="1560"/>
        <w:rPr>
          <w:szCs w:val="22"/>
        </w:rPr>
      </w:pPr>
      <w:r>
        <w:rPr>
          <w:szCs w:val="22"/>
        </w:rPr>
        <w:tab/>
        <w:t>(e)</w:t>
      </w:r>
      <w:r>
        <w:rPr>
          <w:szCs w:val="22"/>
        </w:rPr>
        <w:tab/>
        <w:t xml:space="preserve">if the land is classified as commercial </w:t>
      </w:r>
      <w:r>
        <w:rPr>
          <w:szCs w:val="22"/>
        </w:rPr>
        <w:br/>
        <w:t>residential —</w:t>
      </w:r>
    </w:p>
    <w:p>
      <w:pPr>
        <w:pStyle w:val="yMiscellaneousBody"/>
        <w:tabs>
          <w:tab w:val="right" w:leader="dot" w:pos="6804"/>
        </w:tabs>
        <w:ind w:left="1701" w:hanging="2409"/>
        <w:rPr>
          <w:szCs w:val="22"/>
        </w:rPr>
      </w:pPr>
      <w:r>
        <w:tab/>
        <w:t xml:space="preserve">up to 150 kL </w:t>
      </w:r>
      <w:r>
        <w:tab/>
        <w:t xml:space="preserve"> </w:t>
      </w:r>
      <w:r>
        <w:rPr>
          <w:szCs w:val="22"/>
        </w:rPr>
        <w:t>158.6 cents</w:t>
      </w:r>
    </w:p>
    <w:p>
      <w:pPr>
        <w:pStyle w:val="yMiscellaneousBody"/>
        <w:tabs>
          <w:tab w:val="right" w:leader="dot" w:pos="6804"/>
        </w:tabs>
        <w:ind w:left="1701" w:hanging="2409"/>
        <w:rPr>
          <w:szCs w:val="22"/>
        </w:rPr>
      </w:pPr>
      <w:r>
        <w:tab/>
        <w:t>over 150 kL</w:t>
      </w:r>
      <w:r>
        <w:rPr>
          <w:szCs w:val="22"/>
        </w:rPr>
        <w:t xml:space="preserve"> — the charge applicable </w:t>
      </w:r>
      <w:r>
        <w:rPr>
          <w:szCs w:val="22"/>
        </w:rPr>
        <w:br/>
        <w:t xml:space="preserve">in the Table in item 25 according to </w:t>
      </w:r>
      <w:r>
        <w:rPr>
          <w:szCs w:val="22"/>
        </w:rPr>
        <w:br/>
        <w:t>the non</w:t>
      </w:r>
      <w:r>
        <w:rPr>
          <w:szCs w:val="22"/>
        </w:rPr>
        <w:noBreakHyphen/>
        <w:t xml:space="preserve">residential class of the town </w:t>
      </w:r>
      <w:r>
        <w:rPr>
          <w:szCs w:val="22"/>
        </w:rPr>
        <w:br/>
        <w:t>or area in which the land is located.</w:t>
      </w:r>
    </w:p>
    <w:p>
      <w:pPr>
        <w:pStyle w:val="yMiscellaneousBody"/>
        <w:tabs>
          <w:tab w:val="left" w:pos="284"/>
        </w:tabs>
        <w:spacing w:after="120"/>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tabs>
          <w:tab w:val="clear" w:pos="879"/>
        </w:tabs>
        <w:ind w:left="851" w:hanging="851"/>
      </w:pPr>
      <w:bookmarkStart w:id="303" w:name="_Toc453243622"/>
      <w:bookmarkStart w:id="304" w:name="_Toc455404187"/>
      <w:r>
        <w:rPr>
          <w:rStyle w:val="CharSClsNo"/>
        </w:rPr>
        <w:t>32</w:t>
      </w:r>
      <w:r>
        <w:t>.</w:t>
      </w:r>
      <w:r>
        <w:tab/>
        <w:t>Non</w:t>
      </w:r>
      <w:r>
        <w:noBreakHyphen/>
        <w:t>metropolitan residential concessional</w:t>
      </w:r>
      <w:bookmarkEnd w:id="303"/>
      <w:bookmarkEnd w:id="304"/>
    </w:p>
    <w:p>
      <w:pPr>
        <w:pStyle w:val="yMiscellaneousBody"/>
        <w:tabs>
          <w:tab w:val="left" w:pos="284"/>
          <w:tab w:val="right" w:leader="dot" w:pos="6804"/>
        </w:tabs>
        <w:ind w:left="851" w:hanging="851"/>
      </w:pPr>
      <w:r>
        <w:tab/>
        <w:t>(1)</w:t>
      </w:r>
      <w:r>
        <w:tab/>
      </w:r>
      <w:r>
        <w:rPr>
          <w:szCs w:val="22"/>
        </w:rPr>
        <w:t xml:space="preserve">For each </w:t>
      </w:r>
      <w:r>
        <w:t xml:space="preserve">kilolitre of water supplied to </w:t>
      </w:r>
      <w:r>
        <w:br/>
        <w:t>concessional land in the non</w:t>
      </w:r>
      <w:r>
        <w:noBreakHyphen/>
        <w:t>metropolitan</w:t>
      </w:r>
      <w:r>
        <w:rPr>
          <w:szCs w:val="22"/>
        </w:rPr>
        <w:t xml:space="preserve"> area </w:t>
      </w:r>
      <w:r>
        <w:rPr>
          <w:szCs w:val="22"/>
        </w:rPr>
        <w:br/>
      </w:r>
      <w:r>
        <w:t xml:space="preserve">that is contained in a </w:t>
      </w:r>
      <w:r>
        <w:rPr>
          <w:szCs w:val="22"/>
        </w:rPr>
        <w:t xml:space="preserve">residential </w:t>
      </w:r>
      <w:r>
        <w:t>property</w:t>
      </w:r>
      <w:r>
        <w:rPr>
          <w:szCs w:val="22"/>
        </w:rPr>
        <w:t xml:space="preserve">, the </w:t>
      </w:r>
      <w:r>
        <w:rPr>
          <w:szCs w:val="22"/>
        </w:rPr>
        <w:br/>
        <w:t xml:space="preserve">charge is </w:t>
      </w:r>
      <w:r>
        <w:rPr>
          <w:szCs w:val="22"/>
        </w:rPr>
        <w:tab/>
        <w:t xml:space="preserve"> 225.6</w:t>
      </w:r>
      <w:r>
        <w:t xml:space="preserve"> cents</w:t>
      </w:r>
    </w:p>
    <w:p>
      <w:pPr>
        <w:pStyle w:val="yMiscellaneousBody"/>
        <w:tabs>
          <w:tab w:val="left" w:pos="284"/>
        </w:tabs>
        <w:spacing w:after="120"/>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tabs>
          <w:tab w:val="clear" w:pos="879"/>
        </w:tabs>
        <w:ind w:left="851" w:hanging="851"/>
      </w:pPr>
      <w:bookmarkStart w:id="305" w:name="_Toc453243623"/>
      <w:bookmarkStart w:id="306" w:name="_Toc455404188"/>
      <w:r>
        <w:rPr>
          <w:rStyle w:val="CharSClsNo"/>
        </w:rPr>
        <w:t>33</w:t>
      </w:r>
      <w:r>
        <w:t>.</w:t>
      </w:r>
      <w:r>
        <w:tab/>
        <w:t>Strata</w:t>
      </w:r>
      <w:r>
        <w:noBreakHyphen/>
        <w:t>titled or long</w:t>
      </w:r>
      <w:r>
        <w:noBreakHyphen/>
        <w:t>term residential caravan bays</w:t>
      </w:r>
      <w:bookmarkEnd w:id="305"/>
      <w:bookmarkEnd w:id="306"/>
    </w:p>
    <w:p>
      <w:pPr>
        <w:pStyle w:val="yMiscellaneousBody"/>
        <w:tabs>
          <w:tab w:val="left" w:pos="284"/>
        </w:tabs>
        <w:spacing w:after="120"/>
        <w:ind w:left="851" w:hanging="851"/>
      </w:pPr>
      <w:r>
        <w:tab/>
        <w:t>(1)</w:t>
      </w:r>
      <w:r>
        <w:tab/>
        <w:t xml:space="preserve">For each kilolitre of water supplied to a </w:t>
      </w:r>
      <w:r>
        <w:br/>
        <w:t>strata</w:t>
      </w:r>
      <w:r>
        <w:noBreakHyphen/>
        <w:t>titled caravan bay, or a long</w:t>
      </w:r>
      <w:r>
        <w:noBreakHyphen/>
        <w:t xml:space="preserve">term </w:t>
      </w:r>
      <w:r>
        <w:br/>
        <w:t xml:space="preserve">residential caravan bay, in the metropolitan </w:t>
      </w:r>
      <w:r>
        <w:br/>
        <w:t xml:space="preserve">area, the charge is — </w:t>
      </w:r>
    </w:p>
    <w:p>
      <w:pPr>
        <w:pStyle w:val="yMiscellaneousBody"/>
        <w:tabs>
          <w:tab w:val="right" w:leader="dot" w:pos="6804"/>
        </w:tabs>
        <w:ind w:left="1134" w:hanging="1842"/>
      </w:pPr>
      <w:r>
        <w:tab/>
        <w:t xml:space="preserve">up to 150 kL </w:t>
      </w:r>
      <w:r>
        <w:tab/>
        <w:t xml:space="preserve"> </w:t>
      </w:r>
      <w:r>
        <w:rPr>
          <w:szCs w:val="22"/>
        </w:rPr>
        <w:t>158.6</w:t>
      </w:r>
      <w:r>
        <w:t xml:space="preserve"> cents</w:t>
      </w:r>
    </w:p>
    <w:p>
      <w:pPr>
        <w:pStyle w:val="yMiscellaneousBody"/>
        <w:tabs>
          <w:tab w:val="right" w:leader="dot" w:pos="6804"/>
        </w:tabs>
        <w:ind w:left="1134" w:hanging="1842"/>
      </w:pPr>
      <w:r>
        <w:tab/>
        <w:t xml:space="preserve">over 150 kL </w:t>
      </w:r>
      <w:r>
        <w:tab/>
        <w:t xml:space="preserve"> </w:t>
      </w:r>
      <w:r>
        <w:rPr>
          <w:szCs w:val="22"/>
        </w:rPr>
        <w:t>218.7</w:t>
      </w:r>
      <w:r>
        <w:t xml:space="preserve"> cents</w:t>
      </w:r>
    </w:p>
    <w:p>
      <w:pPr>
        <w:pStyle w:val="yMiscellaneousBody"/>
        <w:tabs>
          <w:tab w:val="left" w:pos="284"/>
        </w:tabs>
        <w:spacing w:after="120"/>
        <w:ind w:left="851" w:hanging="851"/>
      </w:pPr>
      <w:r>
        <w:tab/>
        <w:t>(2)</w:t>
      </w:r>
      <w:r>
        <w:tab/>
        <w:t xml:space="preserve">For each kilolitre of water supplied to a </w:t>
      </w:r>
      <w:r>
        <w:br/>
        <w:t>strata</w:t>
      </w:r>
      <w:r>
        <w:noBreakHyphen/>
        <w:t>titled caravan bay, or a long</w:t>
      </w:r>
      <w:r>
        <w:noBreakHyphen/>
        <w:t xml:space="preserve">term </w:t>
      </w:r>
      <w:r>
        <w:br/>
        <w:t>residential caravan bay, in the non</w:t>
      </w:r>
      <w:r>
        <w:noBreakHyphen/>
        <w:t xml:space="preserve">metropolitan </w:t>
      </w:r>
      <w:r>
        <w:br/>
        <w:t xml:space="preserve">area, the charge is — </w:t>
      </w:r>
    </w:p>
    <w:p>
      <w:pPr>
        <w:pStyle w:val="yMiscellaneousBody"/>
        <w:tabs>
          <w:tab w:val="right" w:leader="dot" w:pos="6804"/>
        </w:tabs>
        <w:ind w:left="1134" w:hanging="1842"/>
      </w:pPr>
      <w:r>
        <w:tab/>
        <w:t xml:space="preserve">up to 150 kL </w:t>
      </w:r>
      <w:r>
        <w:tab/>
        <w:t xml:space="preserve"> </w:t>
      </w:r>
      <w:r>
        <w:rPr>
          <w:szCs w:val="22"/>
        </w:rPr>
        <w:t>158.6</w:t>
      </w:r>
      <w:r>
        <w:t xml:space="preserve"> cents</w:t>
      </w:r>
    </w:p>
    <w:p>
      <w:pPr>
        <w:pStyle w:val="yMiscellaneousBody"/>
        <w:ind w:left="1134" w:hanging="1134"/>
      </w:pPr>
      <w:r>
        <w:tab/>
        <w:t xml:space="preserve">over 150 kL — the charge applicable in the </w:t>
      </w:r>
      <w:r>
        <w:br/>
        <w:t xml:space="preserve">Table in item 25 according to the residential </w:t>
      </w:r>
      <w:r>
        <w:br/>
        <w:t xml:space="preserve">class of the town or area in which the bay is </w:t>
      </w:r>
      <w:r>
        <w:br/>
        <w:t>located.</w:t>
      </w:r>
    </w:p>
    <w:p>
      <w:pPr>
        <w:pStyle w:val="yMiscellaneousBody"/>
        <w:tabs>
          <w:tab w:val="left" w:pos="284"/>
        </w:tabs>
        <w:spacing w:after="120"/>
        <w:ind w:left="851" w:hanging="851"/>
      </w:pPr>
      <w:r>
        <w:tab/>
        <w:t>(3)</w:t>
      </w:r>
      <w:r>
        <w:tab/>
        <w:t>Sub</w:t>
      </w:r>
      <w:r>
        <w:noBreakHyphen/>
        <w:t>items (1) and (2) do not apply to long</w:t>
      </w:r>
      <w:r>
        <w:noBreakHyphen/>
        <w:t xml:space="preserve">term </w:t>
      </w:r>
      <w:r>
        <w:br/>
        <w:t xml:space="preserve">residential caravan bays referred to in </w:t>
      </w:r>
      <w:r>
        <w:br/>
        <w:t>regulation 27(2)(a).</w:t>
      </w:r>
    </w:p>
    <w:p>
      <w:pPr>
        <w:pStyle w:val="yHeading5"/>
        <w:tabs>
          <w:tab w:val="clear" w:pos="879"/>
        </w:tabs>
        <w:ind w:left="851" w:hanging="851"/>
      </w:pPr>
      <w:bookmarkStart w:id="307" w:name="_Toc453243624"/>
      <w:bookmarkStart w:id="308" w:name="_Toc455404189"/>
      <w:r>
        <w:rPr>
          <w:rStyle w:val="CharSClsNo"/>
        </w:rPr>
        <w:t>34</w:t>
      </w:r>
      <w:r>
        <w:t>.</w:t>
      </w:r>
      <w:r>
        <w:tab/>
        <w:t>Government trading organisations and non</w:t>
      </w:r>
      <w:r>
        <w:noBreakHyphen/>
        <w:t>commercial government property</w:t>
      </w:r>
      <w:bookmarkEnd w:id="307"/>
      <w:bookmarkEnd w:id="308"/>
    </w:p>
    <w:p>
      <w:pPr>
        <w:pStyle w:val="yMiscellaneousBody"/>
        <w:tabs>
          <w:tab w:val="left" w:pos="284"/>
        </w:tabs>
        <w:spacing w:after="120"/>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in </w:t>
      </w:r>
      <w:r>
        <w:br/>
        <w:t xml:space="preserve">respect of which a water service charge set out </w:t>
      </w:r>
      <w:r>
        <w:br/>
        <w:t xml:space="preserve">in item 28 or 31(1)(a) would, but for this item, </w:t>
      </w:r>
      <w:r>
        <w:br/>
        <w:t>apply.</w:t>
      </w:r>
    </w:p>
    <w:p>
      <w:pPr>
        <w:pStyle w:val="yMiscellaneousBody"/>
        <w:tabs>
          <w:tab w:val="left" w:pos="284"/>
        </w:tabs>
        <w:spacing w:after="120"/>
        <w:ind w:left="851" w:hanging="851"/>
      </w:pPr>
      <w:r>
        <w:tab/>
        <w:t>(2)</w:t>
      </w:r>
      <w:r>
        <w:tab/>
        <w:t xml:space="preserve">This item does not apply to public land or land </w:t>
      </w:r>
      <w:r>
        <w:br/>
        <w:t>classified as vacant land.</w:t>
      </w:r>
    </w:p>
    <w:p>
      <w:pPr>
        <w:pStyle w:val="yMiscellaneousBody"/>
        <w:tabs>
          <w:tab w:val="left" w:pos="284"/>
        </w:tabs>
        <w:spacing w:after="120"/>
        <w:ind w:left="851" w:hanging="851"/>
      </w:pPr>
      <w:r>
        <w:tab/>
        <w:t>(3)</w:t>
      </w:r>
      <w:r>
        <w:tab/>
        <w:t xml:space="preserve">In respect of land to which this item applies, </w:t>
      </w:r>
      <w:r>
        <w:br/>
        <w:t>the charge under sub</w:t>
      </w:r>
      <w:r>
        <w:noBreakHyphen/>
        <w:t xml:space="preserve">item (4) or (5) applies </w:t>
      </w:r>
      <w:r>
        <w:br/>
        <w:t>instead of the charge referred to in sub</w:t>
      </w:r>
      <w:r>
        <w:noBreakHyphen/>
        <w:t>item (1).</w:t>
      </w:r>
    </w:p>
    <w:p>
      <w:pPr>
        <w:pStyle w:val="yMiscellaneousBody"/>
        <w:tabs>
          <w:tab w:val="left" w:pos="284"/>
          <w:tab w:val="right" w:leader="dot" w:pos="6804"/>
        </w:tabs>
        <w:ind w:left="851" w:hanging="851"/>
      </w:pPr>
      <w:r>
        <w:tab/>
        <w:t>(4)</w:t>
      </w:r>
      <w:r>
        <w:tab/>
        <w:t xml:space="preserve">For each kilolitre of water supplied to land in </w:t>
      </w:r>
      <w:r>
        <w:br/>
        <w:t xml:space="preserve">the metropolitan area, the charge is </w:t>
      </w:r>
      <w:r>
        <w:tab/>
        <w:t xml:space="preserve"> </w:t>
      </w:r>
      <w:r>
        <w:rPr>
          <w:szCs w:val="22"/>
        </w:rPr>
        <w:t>218.7</w:t>
      </w:r>
      <w:r>
        <w:t xml:space="preserve"> cents</w:t>
      </w:r>
    </w:p>
    <w:p>
      <w:pPr>
        <w:pStyle w:val="yMiscellaneousBody"/>
        <w:tabs>
          <w:tab w:val="left" w:pos="284"/>
        </w:tabs>
        <w:spacing w:after="120"/>
        <w:ind w:left="851" w:hanging="851"/>
      </w:pPr>
      <w:r>
        <w:tab/>
        <w:t>(5)</w:t>
      </w:r>
      <w:r>
        <w:tab/>
        <w:t xml:space="preserve">For each kilolitre of water supplied to land in </w:t>
      </w:r>
      <w:r>
        <w:br/>
        <w:t>the non</w:t>
      </w:r>
      <w:r>
        <w:noBreakHyphen/>
        <w:t xml:space="preserve">metropolitan area, the charge is the </w:t>
      </w:r>
      <w:r>
        <w:br/>
        <w:t xml:space="preserve">charge applicable in the Table in item 25 </w:t>
      </w:r>
      <w:r>
        <w:br/>
        <w:t>according to the non</w:t>
      </w:r>
      <w:r>
        <w:noBreakHyphen/>
        <w:t xml:space="preserve">residential class of the </w:t>
      </w:r>
      <w:r>
        <w:br/>
        <w:t>town or area in which the land is located.</w:t>
      </w:r>
    </w:p>
    <w:p>
      <w:pPr>
        <w:pStyle w:val="yHeading5"/>
        <w:tabs>
          <w:tab w:val="clear" w:pos="879"/>
        </w:tabs>
        <w:ind w:left="851" w:hanging="851"/>
      </w:pPr>
      <w:bookmarkStart w:id="309" w:name="_Toc453243625"/>
      <w:bookmarkStart w:id="310" w:name="_Toc455404190"/>
      <w:r>
        <w:rPr>
          <w:rStyle w:val="CharSClsNo"/>
        </w:rPr>
        <w:t>35</w:t>
      </w:r>
      <w:r>
        <w:t>.</w:t>
      </w:r>
      <w:r>
        <w:tab/>
        <w:t>Coral Bay desalinated</w:t>
      </w:r>
      <w:bookmarkEnd w:id="309"/>
      <w:bookmarkEnd w:id="310"/>
    </w:p>
    <w:p>
      <w:pPr>
        <w:pStyle w:val="yMiscellaneousBody"/>
        <w:tabs>
          <w:tab w:val="left" w:pos="284"/>
          <w:tab w:val="right" w:leader="dot" w:pos="6804"/>
        </w:tabs>
        <w:ind w:left="851" w:hanging="851"/>
      </w:pPr>
      <w:r>
        <w:tab/>
      </w:r>
      <w:r>
        <w:tab/>
        <w:t xml:space="preserve">For each kilolitre of desalinated water supplied </w:t>
      </w:r>
      <w:r>
        <w:br/>
        <w:t xml:space="preserve">to land in Coral Bay that is not classified as </w:t>
      </w:r>
      <w:r>
        <w:br/>
        <w:t xml:space="preserve">residential, the charge is </w:t>
      </w:r>
      <w:r>
        <w:tab/>
        <w:t xml:space="preserve"> </w:t>
      </w:r>
      <w:r>
        <w:rPr>
          <w:szCs w:val="22"/>
        </w:rPr>
        <w:t>712.9</w:t>
      </w:r>
      <w:r>
        <w:t xml:space="preserve"> cents</w:t>
      </w:r>
    </w:p>
    <w:p>
      <w:pPr>
        <w:pStyle w:val="yHeading5"/>
      </w:pPr>
      <w:bookmarkStart w:id="311" w:name="_Toc453243626"/>
      <w:bookmarkStart w:id="312" w:name="_Toc455404191"/>
      <w:r>
        <w:rPr>
          <w:rStyle w:val="CharSClsNo"/>
        </w:rPr>
        <w:t>36</w:t>
      </w:r>
      <w:r>
        <w:t>.</w:t>
      </w:r>
      <w:r>
        <w:tab/>
        <w:t>Denham desalinated</w:t>
      </w:r>
      <w:bookmarkEnd w:id="311"/>
      <w:bookmarkEnd w:id="312"/>
    </w:p>
    <w:p>
      <w:pPr>
        <w:pStyle w:val="yMiscellaneousBody"/>
        <w:tabs>
          <w:tab w:val="left" w:pos="284"/>
        </w:tabs>
        <w:spacing w:after="120"/>
        <w:ind w:left="851" w:hanging="851"/>
      </w:pPr>
      <w:r>
        <w:tab/>
        <w:t>(1)</w:t>
      </w:r>
      <w:r>
        <w:tab/>
        <w:t xml:space="preserve">For each kilolitre of desalinated water supplied, </w:t>
      </w:r>
      <w:r>
        <w:br/>
        <w:t xml:space="preserve">in a charge period, to land in Denham that is </w:t>
      </w:r>
      <w:r>
        <w:br/>
        <w:t>classified as residential, the charge is —</w:t>
      </w:r>
    </w:p>
    <w:p>
      <w:pPr>
        <w:pStyle w:val="yMiscellaneousBody"/>
        <w:tabs>
          <w:tab w:val="right" w:leader="dot" w:pos="6804"/>
        </w:tabs>
        <w:ind w:left="1134" w:hanging="1842"/>
      </w:pPr>
      <w:r>
        <w:tab/>
        <w:t xml:space="preserve">up to quota </w:t>
      </w:r>
      <w:r>
        <w:tab/>
        <w:t xml:space="preserve"> </w:t>
      </w:r>
      <w:r>
        <w:rPr>
          <w:szCs w:val="22"/>
        </w:rPr>
        <w:t>65.6</w:t>
      </w:r>
      <w:r>
        <w:t xml:space="preserve"> cents</w:t>
      </w:r>
    </w:p>
    <w:p>
      <w:pPr>
        <w:pStyle w:val="yMiscellaneousBody"/>
        <w:tabs>
          <w:tab w:val="right" w:leader="dot" w:pos="6804"/>
        </w:tabs>
        <w:ind w:left="1134" w:hanging="1842"/>
      </w:pPr>
      <w:r>
        <w:tab/>
        <w:t xml:space="preserve">over quota but by not more than the shoulder </w:t>
      </w:r>
      <w:r>
        <w:br/>
        <w:t xml:space="preserve">amount </w:t>
      </w:r>
      <w:r>
        <w:tab/>
        <w:t xml:space="preserve"> </w:t>
      </w:r>
      <w:r>
        <w:rPr>
          <w:szCs w:val="22"/>
        </w:rPr>
        <w:t>482.1</w:t>
      </w:r>
      <w:r>
        <w:t xml:space="preserve"> cents</w:t>
      </w:r>
    </w:p>
    <w:p>
      <w:pPr>
        <w:pStyle w:val="yMiscellaneousBody"/>
        <w:tabs>
          <w:tab w:val="right" w:leader="dot" w:pos="6804"/>
        </w:tabs>
        <w:ind w:left="1134" w:hanging="1842"/>
      </w:pPr>
      <w:r>
        <w:tab/>
        <w:t xml:space="preserve">over quota by more than the shoulder </w:t>
      </w:r>
      <w:r>
        <w:br/>
        <w:t xml:space="preserve">amount </w:t>
      </w:r>
      <w:r>
        <w:tab/>
        <w:t xml:space="preserve"> </w:t>
      </w:r>
      <w:r>
        <w:rPr>
          <w:szCs w:val="22"/>
        </w:rPr>
        <w:t>1 502.2</w:t>
      </w:r>
      <w:r>
        <w:t xml:space="preserve"> cents</w:t>
      </w:r>
    </w:p>
    <w:p>
      <w:pPr>
        <w:pStyle w:val="yMiscellaneousBody"/>
        <w:tabs>
          <w:tab w:val="left" w:pos="284"/>
        </w:tabs>
        <w:spacing w:after="120"/>
        <w:ind w:left="851" w:hanging="851"/>
      </w:pPr>
      <w:r>
        <w:tab/>
        <w:t>(2)</w:t>
      </w:r>
      <w:r>
        <w:tab/>
        <w:t>In sub</w:t>
      </w:r>
      <w:r>
        <w:noBreakHyphen/>
        <w:t xml:space="preserve">item (1) — </w:t>
      </w:r>
    </w:p>
    <w:p>
      <w:pPr>
        <w:pStyle w:val="yMiscellaneousBody"/>
        <w:tabs>
          <w:tab w:val="left" w:pos="993"/>
        </w:tabs>
        <w:ind w:left="1560" w:hanging="1560"/>
        <w:rPr>
          <w:szCs w:val="22"/>
        </w:rPr>
      </w:pPr>
      <w:r>
        <w:rPr>
          <w:szCs w:val="22"/>
        </w:rPr>
        <w:tab/>
        <w:t>(a)</w:t>
      </w:r>
      <w:r>
        <w:rPr>
          <w:szCs w:val="22"/>
        </w:rPr>
        <w:tab/>
        <w:t xml:space="preserve">the quota for the charge period is 18 kL </w:t>
      </w:r>
      <w:r>
        <w:rPr>
          <w:szCs w:val="22"/>
        </w:rPr>
        <w:br/>
        <w:t xml:space="preserve">plus 4 kL for each resident on the land </w:t>
      </w:r>
      <w:r>
        <w:rPr>
          <w:szCs w:val="22"/>
        </w:rPr>
        <w:br/>
        <w:t>in excess of 4; and</w:t>
      </w:r>
    </w:p>
    <w:p>
      <w:pPr>
        <w:pStyle w:val="yMiscellaneousBody"/>
        <w:tabs>
          <w:tab w:val="left" w:pos="993"/>
        </w:tabs>
        <w:ind w:left="1560" w:hanging="1560"/>
        <w:rPr>
          <w:szCs w:val="22"/>
        </w:rPr>
      </w:pPr>
      <w:r>
        <w:rPr>
          <w:szCs w:val="22"/>
        </w:rPr>
        <w:tab/>
        <w:t>(b)</w:t>
      </w:r>
      <w:r>
        <w:rPr>
          <w:szCs w:val="22"/>
        </w:rPr>
        <w:tab/>
        <w:t xml:space="preserve">the shoulder amount for the charge </w:t>
      </w:r>
      <w:r>
        <w:rPr>
          <w:szCs w:val="22"/>
        </w:rPr>
        <w:br/>
        <w:t xml:space="preserve">period is 3 kL plus 1 kL for each </w:t>
      </w:r>
      <w:r>
        <w:rPr>
          <w:szCs w:val="22"/>
        </w:rPr>
        <w:br/>
        <w:t>resident on the land in excess of 4.</w:t>
      </w:r>
    </w:p>
    <w:p>
      <w:pPr>
        <w:pStyle w:val="yMiscellaneousBody"/>
        <w:tabs>
          <w:tab w:val="left" w:pos="284"/>
        </w:tabs>
        <w:spacing w:after="120"/>
        <w:ind w:left="851" w:hanging="851"/>
      </w:pPr>
      <w:r>
        <w:tab/>
        <w:t>(3)</w:t>
      </w:r>
      <w:r>
        <w:tab/>
        <w:t xml:space="preserve">For each kilolitre of desalinated water supplied </w:t>
      </w:r>
      <w:r>
        <w:br/>
        <w:t xml:space="preserve">to land in Denham that is not classified as </w:t>
      </w:r>
      <w:r>
        <w:br/>
        <w:t>residential, the charge is —</w:t>
      </w:r>
    </w:p>
    <w:p>
      <w:pPr>
        <w:pStyle w:val="yMiscellaneousBody"/>
        <w:tabs>
          <w:tab w:val="right" w:leader="dot" w:pos="6804"/>
        </w:tabs>
        <w:ind w:left="1134" w:hanging="1842"/>
      </w:pPr>
      <w:r>
        <w:tab/>
        <w:t xml:space="preserve">up to quota </w:t>
      </w:r>
      <w:r>
        <w:tab/>
        <w:t xml:space="preserve"> </w:t>
      </w:r>
      <w:r>
        <w:rPr>
          <w:szCs w:val="22"/>
        </w:rPr>
        <w:t>65.6</w:t>
      </w:r>
      <w:r>
        <w:t xml:space="preserve"> cents</w:t>
      </w:r>
    </w:p>
    <w:p>
      <w:pPr>
        <w:pStyle w:val="yMiscellaneousBody"/>
        <w:tabs>
          <w:tab w:val="right" w:leader="dot" w:pos="6804"/>
        </w:tabs>
        <w:ind w:left="1134" w:hanging="1842"/>
      </w:pPr>
      <w:r>
        <w:tab/>
        <w:t xml:space="preserve">over quota </w:t>
      </w:r>
      <w:r>
        <w:tab/>
        <w:t xml:space="preserve"> </w:t>
      </w:r>
      <w:r>
        <w:rPr>
          <w:szCs w:val="22"/>
        </w:rPr>
        <w:t>1 502.2</w:t>
      </w:r>
      <w:r>
        <w:t xml:space="preserve"> cents</w:t>
      </w:r>
    </w:p>
    <w:p>
      <w:pPr>
        <w:pStyle w:val="yMiscellaneousBody"/>
        <w:tabs>
          <w:tab w:val="left" w:pos="284"/>
        </w:tabs>
        <w:spacing w:after="120"/>
        <w:ind w:left="851" w:hanging="851"/>
      </w:pPr>
      <w:r>
        <w:tab/>
        <w:t>(4)</w:t>
      </w:r>
      <w:r>
        <w:tab/>
        <w:t>In sub</w:t>
      </w:r>
      <w:r>
        <w:noBreakHyphen/>
        <w:t xml:space="preserve">item (3), the quota for the land for the </w:t>
      </w:r>
      <w:r>
        <w:br/>
        <w:t xml:space="preserve">current consumption year is 108 kL or a greater </w:t>
      </w:r>
      <w:r>
        <w:br/>
        <w:t xml:space="preserve">amount specified for the land for the year by </w:t>
      </w:r>
      <w:r>
        <w:br/>
        <w:t>the Water Corporation.</w:t>
      </w:r>
    </w:p>
    <w:p>
      <w:pPr>
        <w:pStyle w:val="yHeading5"/>
        <w:tabs>
          <w:tab w:val="clear" w:pos="879"/>
        </w:tabs>
        <w:ind w:left="851" w:hanging="851"/>
      </w:pPr>
      <w:bookmarkStart w:id="313" w:name="_Toc453243627"/>
      <w:bookmarkStart w:id="314" w:name="_Toc455404192"/>
      <w:r>
        <w:rPr>
          <w:rStyle w:val="CharSClsNo"/>
        </w:rPr>
        <w:t>37</w:t>
      </w:r>
      <w:r>
        <w:t>.</w:t>
      </w:r>
      <w:r>
        <w:tab/>
        <w:t>Garden supply: Mulataga</w:t>
      </w:r>
      <w:bookmarkEnd w:id="313"/>
      <w:bookmarkEnd w:id="314"/>
    </w:p>
    <w:p>
      <w:pPr>
        <w:pStyle w:val="yMiscellaneousBody"/>
        <w:tabs>
          <w:tab w:val="left" w:pos="284"/>
          <w:tab w:val="right" w:leader="dot" w:pos="6804"/>
        </w:tabs>
        <w:ind w:left="851" w:hanging="851"/>
      </w:pPr>
      <w:r>
        <w:tab/>
      </w:r>
      <w:r>
        <w:tab/>
        <w:t xml:space="preserve">For each kilolitre of water supplied to land in </w:t>
      </w:r>
      <w:r>
        <w:br/>
        <w:t xml:space="preserve">the suburb of Mulataga (in Karratha) under a </w:t>
      </w:r>
      <w:r>
        <w:br/>
        <w:t xml:space="preserve">water supply described in item 15(4), the </w:t>
      </w:r>
      <w:r>
        <w:br/>
        <w:t xml:space="preserve">charge is </w:t>
      </w:r>
      <w:r>
        <w:tab/>
        <w:t xml:space="preserve"> </w:t>
      </w:r>
      <w:r>
        <w:rPr>
          <w:szCs w:val="22"/>
        </w:rPr>
        <w:t>158.6</w:t>
      </w:r>
      <w:r>
        <w:t xml:space="preserve"> cents</w:t>
      </w:r>
    </w:p>
    <w:p>
      <w:pPr>
        <w:pStyle w:val="yHeading4"/>
      </w:pPr>
      <w:bookmarkStart w:id="315" w:name="_Toc453239574"/>
      <w:bookmarkStart w:id="316" w:name="_Toc453239745"/>
      <w:bookmarkStart w:id="317" w:name="_Toc453239922"/>
      <w:bookmarkStart w:id="318" w:name="_Toc453240135"/>
      <w:bookmarkStart w:id="319" w:name="_Toc453243628"/>
      <w:bookmarkStart w:id="320" w:name="_Toc455155302"/>
      <w:bookmarkStart w:id="321" w:name="_Toc455404193"/>
      <w:r>
        <w:t>Subdivision 3 — Other consumption charges</w:t>
      </w:r>
      <w:bookmarkEnd w:id="315"/>
      <w:bookmarkEnd w:id="316"/>
      <w:bookmarkEnd w:id="317"/>
      <w:bookmarkEnd w:id="318"/>
      <w:bookmarkEnd w:id="319"/>
      <w:bookmarkEnd w:id="320"/>
      <w:bookmarkEnd w:id="321"/>
    </w:p>
    <w:p>
      <w:pPr>
        <w:pStyle w:val="yFootnoteheading"/>
      </w:pPr>
      <w:r>
        <w:tab/>
        <w:t>[Heading inserted in Gazette 27 Jun 2016 p. 2562.]</w:t>
      </w:r>
    </w:p>
    <w:p>
      <w:pPr>
        <w:pStyle w:val="yHeading5"/>
      </w:pPr>
      <w:bookmarkStart w:id="322" w:name="_Toc453243629"/>
      <w:bookmarkStart w:id="323" w:name="_Toc455404194"/>
      <w:r>
        <w:rPr>
          <w:rStyle w:val="CharSClsNo"/>
        </w:rPr>
        <w:t>38</w:t>
      </w:r>
      <w:r>
        <w:t>.</w:t>
      </w:r>
      <w:r>
        <w:tab/>
        <w:t>Local government standpipes</w:t>
      </w:r>
      <w:bookmarkEnd w:id="322"/>
      <w:bookmarkEnd w:id="323"/>
    </w:p>
    <w:p>
      <w:pPr>
        <w:pStyle w:val="yMiscellaneousBody"/>
        <w:tabs>
          <w:tab w:val="left" w:pos="284"/>
          <w:tab w:val="right" w:leader="dot" w:pos="6804"/>
        </w:tabs>
        <w:ind w:left="851" w:hanging="851"/>
      </w:pPr>
      <w:r>
        <w:tab/>
      </w:r>
      <w:r>
        <w:tab/>
        <w:t xml:space="preserve">For each kilolitre of water supplied through a </w:t>
      </w:r>
      <w:r>
        <w:br/>
        <w:t xml:space="preserve">local government standpipe, the charge is </w:t>
      </w:r>
      <w:r>
        <w:tab/>
        <w:t xml:space="preserve"> </w:t>
      </w:r>
      <w:r>
        <w:rPr>
          <w:szCs w:val="22"/>
        </w:rPr>
        <w:t>225.6</w:t>
      </w:r>
      <w:r>
        <w:t xml:space="preserve"> cents</w:t>
      </w:r>
    </w:p>
    <w:p>
      <w:pPr>
        <w:pStyle w:val="yHeading5"/>
        <w:tabs>
          <w:tab w:val="clear" w:pos="879"/>
        </w:tabs>
        <w:ind w:left="851" w:hanging="851"/>
      </w:pPr>
      <w:bookmarkStart w:id="324" w:name="_Toc453243630"/>
      <w:bookmarkStart w:id="325" w:name="_Toc455404195"/>
      <w:r>
        <w:rPr>
          <w:rStyle w:val="CharSClsNo"/>
        </w:rPr>
        <w:t>39</w:t>
      </w:r>
      <w:r>
        <w:t>.</w:t>
      </w:r>
      <w:r>
        <w:tab/>
        <w:t>Shipping</w:t>
      </w:r>
      <w:bookmarkEnd w:id="324"/>
      <w:bookmarkEnd w:id="325"/>
    </w:p>
    <w:p>
      <w:pPr>
        <w:pStyle w:val="yMiscellaneousBody"/>
        <w:ind w:left="851" w:hanging="851"/>
      </w:pPr>
      <w:r>
        <w:tab/>
        <w:t xml:space="preserve">For each kilolitre of water supplied for the </w:t>
      </w:r>
      <w:r>
        <w:br/>
        <w:t xml:space="preserve">purpose of being taken on board any ship in </w:t>
      </w:r>
      <w:r>
        <w:br/>
        <w:t>port —</w:t>
      </w:r>
    </w:p>
    <w:p>
      <w:pPr>
        <w:pStyle w:val="yMiscellaneousBody"/>
        <w:tabs>
          <w:tab w:val="left" w:pos="993"/>
          <w:tab w:val="right" w:leader="dot" w:pos="6804"/>
        </w:tabs>
        <w:ind w:left="1560" w:hanging="1560"/>
      </w:pPr>
      <w:r>
        <w:tab/>
        <w:t>(a)</w:t>
      </w:r>
      <w:r>
        <w:tab/>
        <w:t xml:space="preserve">for a port in the metropolitan area, </w:t>
      </w:r>
      <w:r>
        <w:br/>
        <w:t xml:space="preserve">the charge is </w:t>
      </w:r>
      <w:r>
        <w:tab/>
        <w:t xml:space="preserve"> </w:t>
      </w:r>
      <w:r>
        <w:rPr>
          <w:szCs w:val="22"/>
        </w:rPr>
        <w:t>218.7</w:t>
      </w:r>
      <w:r>
        <w:t xml:space="preserve"> cents</w:t>
      </w:r>
    </w:p>
    <w:p>
      <w:pPr>
        <w:pStyle w:val="yMiscellaneousBody"/>
        <w:tabs>
          <w:tab w:val="left" w:pos="993"/>
        </w:tabs>
        <w:ind w:left="1560" w:hanging="1560"/>
        <w:rPr>
          <w:szCs w:val="22"/>
        </w:rPr>
      </w:pPr>
      <w:r>
        <w:rPr>
          <w:szCs w:val="22"/>
        </w:rPr>
        <w:tab/>
        <w:t>(b)</w:t>
      </w:r>
      <w:r>
        <w:rPr>
          <w:szCs w:val="22"/>
        </w:rPr>
        <w:tab/>
        <w:t>for a port in the non</w:t>
      </w:r>
      <w:r>
        <w:rPr>
          <w:szCs w:val="22"/>
        </w:rPr>
        <w:noBreakHyphen/>
        <w:t xml:space="preserve">metropolitan area, </w:t>
      </w:r>
      <w:r>
        <w:rPr>
          <w:szCs w:val="22"/>
        </w:rPr>
        <w:br/>
        <w:t xml:space="preserve">the charge is the charge applicable in </w:t>
      </w:r>
      <w:r>
        <w:rPr>
          <w:szCs w:val="22"/>
        </w:rPr>
        <w:br/>
        <w:t xml:space="preserve">the Table in item 25 according to the </w:t>
      </w:r>
      <w:r>
        <w:rPr>
          <w:szCs w:val="22"/>
        </w:rPr>
        <w:br/>
        <w:t>non</w:t>
      </w:r>
      <w:r>
        <w:rPr>
          <w:szCs w:val="22"/>
        </w:rPr>
        <w:noBreakHyphen/>
        <w:t xml:space="preserve">residential class of the town or area </w:t>
      </w:r>
      <w:r>
        <w:rPr>
          <w:szCs w:val="22"/>
        </w:rPr>
        <w:br/>
        <w:t>in which the port is located.</w:t>
      </w:r>
    </w:p>
    <w:p>
      <w:pPr>
        <w:pStyle w:val="yHeading5"/>
        <w:tabs>
          <w:tab w:val="clear" w:pos="879"/>
        </w:tabs>
        <w:ind w:left="851" w:hanging="851"/>
      </w:pPr>
      <w:bookmarkStart w:id="326" w:name="_Toc453243631"/>
      <w:bookmarkStart w:id="327" w:name="_Toc455404196"/>
      <w:r>
        <w:rPr>
          <w:rStyle w:val="CharSClsNo"/>
        </w:rPr>
        <w:t>40</w:t>
      </w:r>
      <w:r>
        <w:t>.</w:t>
      </w:r>
      <w:r>
        <w:tab/>
        <w:t>Stock</w:t>
      </w:r>
      <w:bookmarkEnd w:id="326"/>
      <w:bookmarkEnd w:id="327"/>
    </w:p>
    <w:p>
      <w:pPr>
        <w:pStyle w:val="yMiscellaneousBody"/>
        <w:tabs>
          <w:tab w:val="left" w:pos="284"/>
          <w:tab w:val="right" w:leader="dot" w:pos="6804"/>
        </w:tabs>
        <w:ind w:left="851" w:hanging="851"/>
      </w:pPr>
      <w:r>
        <w:tab/>
      </w:r>
      <w:r>
        <w:tab/>
        <w:t xml:space="preserve">For each kilolitre of water supplied through a </w:t>
      </w:r>
      <w:r>
        <w:br/>
        <w:t xml:space="preserve">water supply connection solely for the purpose </w:t>
      </w:r>
      <w:r>
        <w:br/>
        <w:t xml:space="preserve">of watering stock, the charge is </w:t>
      </w:r>
      <w:r>
        <w:tab/>
        <w:t xml:space="preserve"> </w:t>
      </w:r>
      <w:r>
        <w:rPr>
          <w:szCs w:val="22"/>
        </w:rPr>
        <w:t>225.6</w:t>
      </w:r>
      <w:r>
        <w:t xml:space="preserve"> cents</w:t>
      </w:r>
    </w:p>
    <w:p>
      <w:pPr>
        <w:pStyle w:val="yHeading5"/>
        <w:tabs>
          <w:tab w:val="clear" w:pos="879"/>
        </w:tabs>
        <w:ind w:left="851" w:hanging="851"/>
      </w:pPr>
      <w:bookmarkStart w:id="328" w:name="_Toc453243632"/>
      <w:bookmarkStart w:id="329" w:name="_Toc455404197"/>
      <w:r>
        <w:rPr>
          <w:rStyle w:val="CharSClsNo"/>
        </w:rPr>
        <w:t>41</w:t>
      </w:r>
      <w:r>
        <w:t>.</w:t>
      </w:r>
      <w:r>
        <w:tab/>
        <w:t>Hydrant standpipes</w:t>
      </w:r>
      <w:bookmarkEnd w:id="328"/>
      <w:bookmarkEnd w:id="329"/>
    </w:p>
    <w:p>
      <w:pPr>
        <w:pStyle w:val="yMiscellaneousBody"/>
        <w:tabs>
          <w:tab w:val="left" w:pos="284"/>
          <w:tab w:val="right" w:leader="dot" w:pos="6804"/>
        </w:tabs>
        <w:ind w:left="851" w:hanging="851"/>
      </w:pPr>
      <w:r>
        <w:tab/>
      </w:r>
      <w:r>
        <w:tab/>
        <w:t xml:space="preserve">For each kilolitre of water supplied through a </w:t>
      </w:r>
      <w:r>
        <w:br/>
        <w:t xml:space="preserve">hydrant standpipe, the charge is </w:t>
      </w:r>
      <w:r>
        <w:tab/>
        <w:t xml:space="preserve"> </w:t>
      </w:r>
      <w:r>
        <w:rPr>
          <w:szCs w:val="22"/>
        </w:rPr>
        <w:t>218.7</w:t>
      </w:r>
      <w:r>
        <w:t xml:space="preserve"> cents</w:t>
      </w:r>
    </w:p>
    <w:p>
      <w:pPr>
        <w:pStyle w:val="yFootnotesection"/>
      </w:pPr>
      <w:r>
        <w:tab/>
        <w:t>[Division 2 inserted in Gazette 27 Jun 2016 p. 2553</w:t>
      </w:r>
      <w:r>
        <w:noBreakHyphen/>
        <w:t>62.]</w:t>
      </w:r>
    </w:p>
    <w:p>
      <w:pPr>
        <w:pStyle w:val="yScheduleHeading"/>
      </w:pPr>
      <w:bookmarkStart w:id="330" w:name="_Toc453239579"/>
      <w:bookmarkStart w:id="331" w:name="_Toc453239750"/>
      <w:bookmarkStart w:id="332" w:name="_Toc453239927"/>
      <w:bookmarkStart w:id="333" w:name="_Toc453240140"/>
      <w:bookmarkStart w:id="334" w:name="_Toc453243633"/>
      <w:bookmarkStart w:id="335" w:name="_Toc455155307"/>
      <w:bookmarkStart w:id="336" w:name="_Toc455404198"/>
      <w:r>
        <w:rPr>
          <w:rStyle w:val="CharSchNo"/>
        </w:rPr>
        <w:t>Schedule 4</w:t>
      </w:r>
      <w:r>
        <w:t> — </w:t>
      </w:r>
      <w:r>
        <w:rPr>
          <w:rStyle w:val="CharSchText"/>
        </w:rPr>
        <w:t>Sewerage charges for the Water Corporation</w:t>
      </w:r>
      <w:bookmarkEnd w:id="330"/>
      <w:bookmarkEnd w:id="331"/>
      <w:bookmarkEnd w:id="332"/>
      <w:bookmarkEnd w:id="333"/>
      <w:bookmarkEnd w:id="334"/>
      <w:bookmarkEnd w:id="335"/>
      <w:bookmarkEnd w:id="336"/>
    </w:p>
    <w:p>
      <w:pPr>
        <w:pStyle w:val="yShoulderClause"/>
      </w:pPr>
      <w:r>
        <w:t>[r. 39]</w:t>
      </w:r>
    </w:p>
    <w:p>
      <w:pPr>
        <w:pStyle w:val="yFootnoteheading"/>
      </w:pPr>
      <w:r>
        <w:tab/>
        <w:t>[Heading inserted in Gazette 27 Jun 2016 p. 2563.]</w:t>
      </w:r>
    </w:p>
    <w:p>
      <w:pPr>
        <w:pStyle w:val="yHeading3"/>
        <w:rPr>
          <w:b w:val="0"/>
        </w:rPr>
      </w:pPr>
      <w:bookmarkStart w:id="337" w:name="_Toc453239580"/>
      <w:bookmarkStart w:id="338" w:name="_Toc453239751"/>
      <w:bookmarkStart w:id="339" w:name="_Toc453239928"/>
      <w:bookmarkStart w:id="340" w:name="_Toc453240141"/>
      <w:bookmarkStart w:id="341" w:name="_Toc453243634"/>
      <w:bookmarkStart w:id="342" w:name="_Toc455155308"/>
      <w:bookmarkStart w:id="343" w:name="_Toc455404199"/>
      <w:r>
        <w:rPr>
          <w:rStyle w:val="CharSDivNo"/>
        </w:rPr>
        <w:t>Division 1</w:t>
      </w:r>
      <w:r>
        <w:rPr>
          <w:b w:val="0"/>
        </w:rPr>
        <w:t> — </w:t>
      </w:r>
      <w:r>
        <w:rPr>
          <w:rStyle w:val="CharSDivText"/>
        </w:rPr>
        <w:t>Service charges</w:t>
      </w:r>
      <w:bookmarkEnd w:id="337"/>
      <w:bookmarkEnd w:id="338"/>
      <w:bookmarkEnd w:id="339"/>
      <w:bookmarkEnd w:id="340"/>
      <w:bookmarkEnd w:id="341"/>
      <w:bookmarkEnd w:id="342"/>
      <w:bookmarkEnd w:id="343"/>
    </w:p>
    <w:p>
      <w:pPr>
        <w:pStyle w:val="yFootnoteheading"/>
      </w:pPr>
      <w:r>
        <w:tab/>
        <w:t>[Heading inserted in Gazette 27 Jun 2016 p. 2563.]</w:t>
      </w:r>
    </w:p>
    <w:p>
      <w:pPr>
        <w:pStyle w:val="yHeading5"/>
        <w:tabs>
          <w:tab w:val="clear" w:pos="879"/>
        </w:tabs>
        <w:ind w:left="851" w:hanging="851"/>
      </w:pPr>
      <w:bookmarkStart w:id="344" w:name="_Toc453243635"/>
      <w:bookmarkStart w:id="345" w:name="_Toc455404200"/>
      <w:r>
        <w:rPr>
          <w:rStyle w:val="CharSClsNo"/>
        </w:rPr>
        <w:t>1</w:t>
      </w:r>
      <w:r>
        <w:t>.</w:t>
      </w:r>
      <w:r>
        <w:tab/>
        <w:t>Service charges for 2016/17 year and subsequent years</w:t>
      </w:r>
      <w:bookmarkEnd w:id="344"/>
      <w:bookmarkEnd w:id="345"/>
    </w:p>
    <w:p>
      <w:pPr>
        <w:pStyle w:val="yMiscellaneousBody"/>
        <w:ind w:left="851" w:hanging="851"/>
      </w:pPr>
      <w:r>
        <w:tab/>
        <w:t xml:space="preserve">The charges set out in this Division apply for sewerage services provided in the </w:t>
      </w:r>
      <w:r>
        <w:rPr>
          <w:szCs w:val="22"/>
        </w:rPr>
        <w:t>2016/17</w:t>
      </w:r>
      <w:r>
        <w:t> financial year and each subsequent year.</w:t>
      </w:r>
    </w:p>
    <w:p>
      <w:pPr>
        <w:pStyle w:val="yHeading5"/>
      </w:pPr>
      <w:bookmarkStart w:id="346" w:name="_Toc453243636"/>
      <w:bookmarkStart w:id="347" w:name="_Toc455404201"/>
      <w:r>
        <w:rPr>
          <w:rStyle w:val="CharSClsNo"/>
        </w:rPr>
        <w:t>2</w:t>
      </w:r>
      <w:r>
        <w:t>.</w:t>
      </w:r>
      <w:r>
        <w:tab/>
        <w:t>Metropolitan residential</w:t>
      </w:r>
      <w:bookmarkEnd w:id="346"/>
      <w:bookmarkEnd w:id="347"/>
    </w:p>
    <w:p>
      <w:pPr>
        <w:pStyle w:val="yMiscellaneousBody"/>
        <w:tabs>
          <w:tab w:val="left" w:pos="284"/>
        </w:tabs>
        <w:ind w:left="851" w:hanging="851"/>
      </w:pPr>
      <w:r>
        <w:tab/>
        <w:t>(1)</w:t>
      </w:r>
      <w:r>
        <w:tab/>
        <w:t xml:space="preserve">In respect of each residential property in the </w:t>
      </w:r>
      <w:r>
        <w:br/>
        <w:t>metropolitan area that —</w:t>
      </w:r>
    </w:p>
    <w:p>
      <w:pPr>
        <w:pStyle w:val="yMiscellaneousBody"/>
        <w:tabs>
          <w:tab w:val="left" w:pos="1134"/>
        </w:tabs>
        <w:ind w:left="1560" w:hanging="1560"/>
        <w:rPr>
          <w:szCs w:val="22"/>
        </w:rPr>
      </w:pPr>
      <w:r>
        <w:rPr>
          <w:szCs w:val="22"/>
        </w:rPr>
        <w:tab/>
        <w:t>(a)</w:t>
      </w:r>
      <w:r>
        <w:rPr>
          <w:szCs w:val="22"/>
        </w:rPr>
        <w:tab/>
        <w:t>is not covered by item 4 or 5; and</w:t>
      </w:r>
    </w:p>
    <w:p>
      <w:pPr>
        <w:pStyle w:val="yMiscellaneousBody"/>
        <w:tabs>
          <w:tab w:val="left" w:pos="1134"/>
        </w:tabs>
        <w:ind w:left="1560" w:hanging="1560"/>
        <w:rPr>
          <w:szCs w:val="22"/>
        </w:rPr>
      </w:pPr>
      <w:r>
        <w:rPr>
          <w:szCs w:val="22"/>
        </w:rPr>
        <w:tab/>
        <w:t>(b)</w:t>
      </w:r>
      <w:r>
        <w:rPr>
          <w:szCs w:val="22"/>
        </w:rPr>
        <w:tab/>
        <w:t>is not a caravan park or a nursing home,</w:t>
      </w:r>
    </w:p>
    <w:p>
      <w:pPr>
        <w:pStyle w:val="yMiscellaneousBody"/>
        <w:ind w:hanging="851"/>
      </w:pPr>
      <w:r>
        <w:tab/>
      </w:r>
      <w:r>
        <w:tab/>
        <w:t>the charge is —</w:t>
      </w:r>
    </w:p>
    <w:p>
      <w:pPr>
        <w:pStyle w:val="yMiscellaneousBody"/>
        <w:tabs>
          <w:tab w:val="right" w:leader="dot" w:pos="6804"/>
        </w:tabs>
        <w:ind w:left="1134" w:hanging="1842"/>
      </w:pPr>
      <w:r>
        <w:tab/>
        <w:t xml:space="preserve">up to $21 100 GRV </w:t>
      </w:r>
      <w:r>
        <w:tab/>
        <w:t xml:space="preserve"> </w:t>
      </w:r>
      <w:r>
        <w:rPr>
          <w:szCs w:val="22"/>
        </w:rPr>
        <w:t>3.960</w:t>
      </w:r>
      <w:r>
        <w:t xml:space="preserve"> cents/$</w:t>
      </w:r>
    </w:p>
    <w:p>
      <w:pPr>
        <w:pStyle w:val="yMiscellaneousBody"/>
        <w:tabs>
          <w:tab w:val="left" w:pos="6096"/>
        </w:tabs>
        <w:spacing w:before="0"/>
      </w:pPr>
      <w:r>
        <w:tab/>
        <w:t>of GRV</w:t>
      </w:r>
    </w:p>
    <w:p>
      <w:pPr>
        <w:pStyle w:val="yMiscellaneousBody"/>
        <w:tabs>
          <w:tab w:val="right" w:leader="dot" w:pos="6804"/>
        </w:tabs>
        <w:ind w:left="1134" w:hanging="1842"/>
      </w:pPr>
      <w:r>
        <w:tab/>
        <w:t xml:space="preserve">over $21 100 GRV </w:t>
      </w:r>
      <w:r>
        <w:tab/>
        <w:t xml:space="preserve"> </w:t>
      </w:r>
      <w:r>
        <w:rPr>
          <w:szCs w:val="22"/>
        </w:rPr>
        <w:t>0.900</w:t>
      </w:r>
      <w:r>
        <w:t xml:space="preserve"> cents/$</w:t>
      </w:r>
    </w:p>
    <w:p>
      <w:pPr>
        <w:pStyle w:val="yMiscellaneousBody"/>
        <w:tabs>
          <w:tab w:val="left" w:pos="6096"/>
        </w:tabs>
        <w:spacing w:before="0"/>
      </w:pPr>
      <w:r>
        <w:tab/>
        <w:t>of GRV</w:t>
      </w:r>
    </w:p>
    <w:p>
      <w:pPr>
        <w:pStyle w:val="yMiscellaneousBody"/>
        <w:tabs>
          <w:tab w:val="left" w:pos="284"/>
          <w:tab w:val="right" w:leader="dot" w:pos="6804"/>
        </w:tabs>
        <w:ind w:left="851" w:hanging="851"/>
        <w:rPr>
          <w:szCs w:val="22"/>
        </w:rPr>
      </w:pPr>
      <w:r>
        <w:tab/>
        <w:t>(2)</w:t>
      </w:r>
      <w:r>
        <w:tab/>
        <w:t xml:space="preserve">The minimum charge under this item is </w:t>
      </w:r>
      <w:r>
        <w:tab/>
        <w:t xml:space="preserve"> </w:t>
      </w:r>
      <w:r>
        <w:rPr>
          <w:szCs w:val="22"/>
        </w:rPr>
        <w:t>$381.26</w:t>
      </w:r>
    </w:p>
    <w:p>
      <w:pPr>
        <w:pStyle w:val="yHeading5"/>
        <w:tabs>
          <w:tab w:val="clear" w:pos="879"/>
        </w:tabs>
        <w:ind w:left="851" w:hanging="851"/>
      </w:pPr>
      <w:bookmarkStart w:id="348" w:name="_Toc453243637"/>
      <w:bookmarkStart w:id="349" w:name="_Toc455404202"/>
      <w:r>
        <w:rPr>
          <w:rStyle w:val="CharSClsNo"/>
        </w:rPr>
        <w:t>3</w:t>
      </w:r>
      <w:r>
        <w:t>.</w:t>
      </w:r>
      <w:r>
        <w:tab/>
        <w:t>Metropolitan vacant land</w:t>
      </w:r>
      <w:bookmarkEnd w:id="348"/>
      <w:bookmarkEnd w:id="349"/>
    </w:p>
    <w:p>
      <w:pPr>
        <w:pStyle w:val="yMiscellaneousBody"/>
        <w:tabs>
          <w:tab w:val="left" w:pos="284"/>
          <w:tab w:val="right" w:leader="dot" w:pos="6804"/>
        </w:tabs>
        <w:ind w:left="851" w:hanging="851"/>
      </w:pPr>
      <w:r>
        <w:tab/>
        <w:t>(1)</w:t>
      </w:r>
      <w:r>
        <w:tab/>
        <w:t xml:space="preserve">In respect of land in the metropolitan area that </w:t>
      </w:r>
      <w:r>
        <w:br/>
        <w:t xml:space="preserve">is classified as vacant land, the charge is </w:t>
      </w:r>
      <w:r>
        <w:tab/>
        <w:t xml:space="preserve"> 2.401 cents/$</w:t>
      </w:r>
    </w:p>
    <w:p>
      <w:pPr>
        <w:pStyle w:val="yMiscellaneousBody"/>
        <w:tabs>
          <w:tab w:val="left" w:pos="6096"/>
        </w:tabs>
        <w:spacing w:before="0"/>
      </w:pPr>
      <w:r>
        <w:tab/>
        <w:t>of GRV</w:t>
      </w:r>
    </w:p>
    <w:p>
      <w:pPr>
        <w:pStyle w:val="yMiscellaneousBody"/>
        <w:tabs>
          <w:tab w:val="left" w:pos="284"/>
          <w:tab w:val="right" w:leader="dot" w:pos="6804"/>
        </w:tabs>
        <w:ind w:left="851" w:hanging="851"/>
      </w:pPr>
      <w:r>
        <w:tab/>
        <w:t>(2)</w:t>
      </w:r>
      <w:r>
        <w:tab/>
        <w:t xml:space="preserve">The minimum charge under this item is </w:t>
      </w:r>
      <w:r>
        <w:tab/>
        <w:t xml:space="preserve"> </w:t>
      </w:r>
      <w:r>
        <w:rPr>
          <w:szCs w:val="22"/>
        </w:rPr>
        <w:t>$286.67</w:t>
      </w:r>
    </w:p>
    <w:p>
      <w:pPr>
        <w:pStyle w:val="yHeading5"/>
        <w:tabs>
          <w:tab w:val="clear" w:pos="879"/>
        </w:tabs>
        <w:ind w:left="851" w:hanging="851"/>
      </w:pPr>
      <w:bookmarkStart w:id="350" w:name="_Toc453243638"/>
      <w:bookmarkStart w:id="351" w:name="_Toc455404203"/>
      <w:r>
        <w:rPr>
          <w:rStyle w:val="CharSClsNo"/>
        </w:rPr>
        <w:t>4</w:t>
      </w:r>
      <w:r>
        <w:t>.</w:t>
      </w:r>
      <w:r>
        <w:tab/>
        <w:t>Metropolitan concessional</w:t>
      </w:r>
      <w:bookmarkEnd w:id="350"/>
      <w:bookmarkEnd w:id="351"/>
    </w:p>
    <w:p>
      <w:pPr>
        <w:pStyle w:val="yMiscellaneousBody"/>
        <w:ind w:left="851" w:hanging="851"/>
      </w:pPr>
      <w:r>
        <w:tab/>
        <w:t xml:space="preserve">In respect of land in the metropolitan area that </w:t>
      </w:r>
      <w:r>
        <w:br/>
        <w:t>is classified as —</w:t>
      </w:r>
    </w:p>
    <w:p>
      <w:pPr>
        <w:pStyle w:val="yMiscellaneousBody"/>
        <w:tabs>
          <w:tab w:val="left" w:pos="1134"/>
        </w:tabs>
        <w:ind w:left="1560" w:hanging="1560"/>
        <w:rPr>
          <w:szCs w:val="22"/>
        </w:rPr>
      </w:pPr>
      <w:r>
        <w:rPr>
          <w:szCs w:val="22"/>
        </w:rPr>
        <w:tab/>
        <w:t>(a)</w:t>
      </w:r>
      <w:r>
        <w:rPr>
          <w:szCs w:val="22"/>
        </w:rPr>
        <w:tab/>
        <w:t>aged home; or</w:t>
      </w:r>
    </w:p>
    <w:p>
      <w:pPr>
        <w:pStyle w:val="yMiscellaneousBody"/>
        <w:tabs>
          <w:tab w:val="left" w:pos="1134"/>
        </w:tabs>
        <w:ind w:left="1560" w:hanging="1560"/>
        <w:rPr>
          <w:szCs w:val="22"/>
        </w:rPr>
      </w:pPr>
      <w:r>
        <w:rPr>
          <w:szCs w:val="22"/>
        </w:rPr>
        <w:tab/>
        <w:t>(b)</w:t>
      </w:r>
      <w:r>
        <w:rPr>
          <w:szCs w:val="22"/>
        </w:rPr>
        <w:tab/>
        <w:t xml:space="preserve">charitable purposes or community </w:t>
      </w:r>
      <w:r>
        <w:rPr>
          <w:szCs w:val="22"/>
        </w:rPr>
        <w:br/>
        <w:t>purpose,</w:t>
      </w:r>
    </w:p>
    <w:p>
      <w:pPr>
        <w:pStyle w:val="yMiscellaneousBody"/>
        <w:ind w:left="851" w:hanging="851"/>
      </w:pPr>
      <w:r>
        <w:tab/>
        <w:t xml:space="preserve">the charge, according to the number of major </w:t>
      </w:r>
      <w:r>
        <w:br/>
        <w:t xml:space="preserve">fixtures on the land, is the sum of the charges, </w:t>
      </w:r>
      <w:r>
        <w:br/>
        <w:t xml:space="preserve">less the corresponding discounts, for each </w:t>
      </w:r>
      <w:r>
        <w:br/>
        <w:t>fixture, as set out in the Table.</w:t>
      </w:r>
    </w:p>
    <w:p>
      <w:pPr>
        <w:pStyle w:val="yTHeadingNAm"/>
      </w:pPr>
      <w:r>
        <w:t>Table of major fixture</w:t>
      </w:r>
      <w:r>
        <w:noBreakHyphen/>
        <w:t>based charges and discounts</w:t>
      </w:r>
    </w:p>
    <w:tbl>
      <w:tblPr>
        <w:tblW w:w="5616" w:type="dxa"/>
        <w:jc w:val="center"/>
        <w:tblInd w:w="624" w:type="dxa"/>
        <w:tblLayout w:type="fixed"/>
        <w:tblLook w:val="0000" w:firstRow="0" w:lastRow="0" w:firstColumn="0" w:lastColumn="0" w:noHBand="0" w:noVBand="0"/>
      </w:tblPr>
      <w:tblGrid>
        <w:gridCol w:w="16"/>
        <w:gridCol w:w="1376"/>
        <w:gridCol w:w="8"/>
        <w:gridCol w:w="1236"/>
        <w:gridCol w:w="1490"/>
        <w:gridCol w:w="1490"/>
      </w:tblGrid>
      <w:tr>
        <w:trPr>
          <w:cantSplit/>
          <w:tblHeader/>
          <w:jc w:val="center"/>
        </w:trPr>
        <w:tc>
          <w:tcPr>
            <w:tcW w:w="1392" w:type="dxa"/>
            <w:gridSpan w:val="2"/>
            <w:tcBorders>
              <w:top w:val="single" w:sz="4" w:space="0" w:color="auto"/>
            </w:tcBorders>
            <w:noWrap/>
            <w:tcMar>
              <w:left w:w="397" w:type="dxa"/>
              <w:right w:w="11" w:type="dxa"/>
            </w:tcMar>
          </w:tcPr>
          <w:p>
            <w:pPr>
              <w:pStyle w:val="zyTableNAm"/>
              <w:spacing w:before="80" w:after="60"/>
              <w:jc w:val="center"/>
            </w:pPr>
          </w:p>
        </w:tc>
        <w:tc>
          <w:tcPr>
            <w:tcW w:w="1244" w:type="dxa"/>
            <w:gridSpan w:val="2"/>
            <w:tcBorders>
              <w:top w:val="single" w:sz="4" w:space="0" w:color="auto"/>
            </w:tcBorders>
          </w:tcPr>
          <w:p>
            <w:pPr>
              <w:pStyle w:val="yTableNAm"/>
              <w:jc w:val="center"/>
            </w:pPr>
            <w:r>
              <w:rPr>
                <w:b/>
                <w:bCs/>
              </w:rPr>
              <w:t>Charge</w:t>
            </w:r>
          </w:p>
        </w:tc>
        <w:tc>
          <w:tcPr>
            <w:tcW w:w="2980" w:type="dxa"/>
            <w:gridSpan w:val="2"/>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392" w:type="dxa"/>
            <w:gridSpan w:val="2"/>
            <w:tcBorders>
              <w:bottom w:val="single" w:sz="4" w:space="0" w:color="auto"/>
            </w:tcBorders>
            <w:noWrap/>
            <w:tcMar>
              <w:left w:w="397" w:type="dxa"/>
              <w:right w:w="11" w:type="dxa"/>
            </w:tcMar>
          </w:tcPr>
          <w:p>
            <w:pPr>
              <w:pStyle w:val="zyTableNAm"/>
              <w:spacing w:before="60" w:after="60"/>
              <w:jc w:val="center"/>
            </w:pPr>
          </w:p>
        </w:tc>
        <w:tc>
          <w:tcPr>
            <w:tcW w:w="1244" w:type="dxa"/>
            <w:gridSpan w:val="2"/>
            <w:tcBorders>
              <w:bottom w:val="single" w:sz="4" w:space="0" w:color="auto"/>
            </w:tcBorders>
          </w:tcPr>
          <w:p>
            <w:pPr>
              <w:pStyle w:val="zyTableNAm"/>
              <w:spacing w:before="60" w:after="60"/>
              <w:jc w:val="center"/>
              <w:rPr>
                <w:b/>
                <w:bCs/>
              </w:rPr>
            </w:pPr>
          </w:p>
        </w:tc>
        <w:tc>
          <w:tcPr>
            <w:tcW w:w="1490" w:type="dxa"/>
            <w:tcBorders>
              <w:top w:val="single" w:sz="4" w:space="0" w:color="auto"/>
              <w:bottom w:val="single" w:sz="4" w:space="0" w:color="auto"/>
            </w:tcBorders>
          </w:tcPr>
          <w:p>
            <w:pPr>
              <w:pStyle w:val="yTableNAm"/>
              <w:jc w:val="center"/>
            </w:pPr>
            <w:r>
              <w:rPr>
                <w:b/>
                <w:bCs/>
              </w:rPr>
              <w:t>par. (a)</w:t>
            </w:r>
          </w:p>
        </w:tc>
        <w:tc>
          <w:tcPr>
            <w:tcW w:w="1490" w:type="dxa"/>
            <w:tcBorders>
              <w:top w:val="single" w:sz="4" w:space="0" w:color="auto"/>
              <w:bottom w:val="single" w:sz="4" w:space="0" w:color="auto"/>
            </w:tcBorders>
          </w:tcPr>
          <w:p>
            <w:pPr>
              <w:pStyle w:val="yTableNAm"/>
              <w:jc w:val="center"/>
            </w:pPr>
            <w:r>
              <w:rPr>
                <w:b/>
                <w:bCs/>
              </w:rPr>
              <w:t>par. (b)</w:t>
            </w:r>
          </w:p>
        </w:tc>
      </w:tr>
      <w:tr>
        <w:trPr>
          <w:gridBefore w:val="1"/>
          <w:wBefore w:w="16" w:type="dxa"/>
          <w:cantSplit/>
          <w:jc w:val="center"/>
        </w:trPr>
        <w:tc>
          <w:tcPr>
            <w:tcW w:w="1384" w:type="dxa"/>
            <w:gridSpan w:val="2"/>
            <w:noWrap/>
            <w:tcMar>
              <w:left w:w="397" w:type="dxa"/>
              <w:right w:w="11" w:type="dxa"/>
            </w:tcMar>
          </w:tcPr>
          <w:p>
            <w:pPr>
              <w:pStyle w:val="yTableNAm"/>
              <w:ind w:left="-297"/>
            </w:pPr>
            <w:r>
              <w:t>1</w:t>
            </w:r>
            <w:r>
              <w:rPr>
                <w:vertAlign w:val="superscript"/>
              </w:rPr>
              <w:t>st</w:t>
            </w:r>
            <w:r>
              <w:t xml:space="preserve"> fixture</w:t>
            </w:r>
          </w:p>
        </w:tc>
        <w:tc>
          <w:tcPr>
            <w:tcW w:w="1236" w:type="dxa"/>
            <w:vAlign w:val="bottom"/>
          </w:tcPr>
          <w:p>
            <w:pPr>
              <w:pStyle w:val="yTableNAm"/>
              <w:jc w:val="center"/>
            </w:pPr>
            <w:r>
              <w:rPr>
                <w:szCs w:val="22"/>
              </w:rPr>
              <w:t>$886.68</w:t>
            </w:r>
          </w:p>
        </w:tc>
        <w:tc>
          <w:tcPr>
            <w:tcW w:w="1490" w:type="dxa"/>
          </w:tcPr>
          <w:p>
            <w:pPr>
              <w:pStyle w:val="yTableNAm"/>
              <w:jc w:val="center"/>
            </w:pPr>
            <w:r>
              <w:t>73.132</w:t>
            </w:r>
          </w:p>
        </w:tc>
        <w:tc>
          <w:tcPr>
            <w:tcW w:w="1490" w:type="dxa"/>
          </w:tcPr>
          <w:p>
            <w:pPr>
              <w:pStyle w:val="yTableNAm"/>
              <w:jc w:val="center"/>
            </w:pPr>
            <w:r>
              <w:t>73.132</w:t>
            </w:r>
          </w:p>
        </w:tc>
      </w:tr>
      <w:tr>
        <w:trPr>
          <w:gridBefore w:val="1"/>
          <w:wBefore w:w="16" w:type="dxa"/>
          <w:cantSplit/>
          <w:jc w:val="center"/>
        </w:trPr>
        <w:tc>
          <w:tcPr>
            <w:tcW w:w="1384" w:type="dxa"/>
            <w:gridSpan w:val="2"/>
            <w:noWrap/>
            <w:tcMar>
              <w:left w:w="397" w:type="dxa"/>
              <w:right w:w="11" w:type="dxa"/>
            </w:tcMar>
          </w:tcPr>
          <w:p>
            <w:pPr>
              <w:pStyle w:val="yTableNAm"/>
              <w:ind w:left="-297"/>
            </w:pPr>
            <w:r>
              <w:t>2</w:t>
            </w:r>
            <w:r>
              <w:rPr>
                <w:vertAlign w:val="superscript"/>
              </w:rPr>
              <w:t>nd</w:t>
            </w:r>
            <w:r>
              <w:t xml:space="preserve"> fixture</w:t>
            </w:r>
          </w:p>
        </w:tc>
        <w:tc>
          <w:tcPr>
            <w:tcW w:w="1236" w:type="dxa"/>
            <w:vAlign w:val="bottom"/>
          </w:tcPr>
          <w:p>
            <w:pPr>
              <w:pStyle w:val="yTableNAm"/>
              <w:jc w:val="center"/>
            </w:pPr>
            <w:r>
              <w:rPr>
                <w:szCs w:val="22"/>
              </w:rPr>
              <w:t>$379.55</w:t>
            </w:r>
          </w:p>
        </w:tc>
        <w:tc>
          <w:tcPr>
            <w:tcW w:w="1490" w:type="dxa"/>
          </w:tcPr>
          <w:p>
            <w:pPr>
              <w:pStyle w:val="yTableNAm"/>
              <w:jc w:val="center"/>
            </w:pPr>
            <w:r>
              <w:t>72.385</w:t>
            </w:r>
          </w:p>
        </w:tc>
        <w:tc>
          <w:tcPr>
            <w:tcW w:w="1490" w:type="dxa"/>
          </w:tcPr>
          <w:p>
            <w:pPr>
              <w:pStyle w:val="yTableNAm"/>
              <w:jc w:val="center"/>
            </w:pPr>
            <w:r>
              <w:t>37.234</w:t>
            </w:r>
          </w:p>
        </w:tc>
      </w:tr>
      <w:tr>
        <w:trPr>
          <w:gridBefore w:val="1"/>
          <w:wBefore w:w="16" w:type="dxa"/>
          <w:cantSplit/>
          <w:jc w:val="center"/>
        </w:trPr>
        <w:tc>
          <w:tcPr>
            <w:tcW w:w="1384" w:type="dxa"/>
            <w:gridSpan w:val="2"/>
            <w:noWrap/>
            <w:tcMar>
              <w:left w:w="397" w:type="dxa"/>
              <w:right w:w="11" w:type="dxa"/>
            </w:tcMar>
          </w:tcPr>
          <w:p>
            <w:pPr>
              <w:pStyle w:val="yTableNAm"/>
              <w:ind w:left="-297"/>
            </w:pPr>
            <w:r>
              <w:t>3</w:t>
            </w:r>
            <w:r>
              <w:rPr>
                <w:vertAlign w:val="superscript"/>
              </w:rPr>
              <w:t>rd</w:t>
            </w:r>
            <w:r>
              <w:t xml:space="preserve"> fixture</w:t>
            </w:r>
          </w:p>
        </w:tc>
        <w:tc>
          <w:tcPr>
            <w:tcW w:w="1236" w:type="dxa"/>
            <w:vAlign w:val="bottom"/>
          </w:tcPr>
          <w:p>
            <w:pPr>
              <w:pStyle w:val="yTableNAm"/>
              <w:jc w:val="center"/>
            </w:pPr>
            <w:r>
              <w:rPr>
                <w:szCs w:val="22"/>
              </w:rPr>
              <w:t>$506.88</w:t>
            </w:r>
          </w:p>
        </w:tc>
        <w:tc>
          <w:tcPr>
            <w:tcW w:w="1490" w:type="dxa"/>
          </w:tcPr>
          <w:p>
            <w:pPr>
              <w:pStyle w:val="yTableNAm"/>
              <w:jc w:val="center"/>
            </w:pPr>
            <w:r>
              <w:t>79.322</w:t>
            </w:r>
          </w:p>
        </w:tc>
        <w:tc>
          <w:tcPr>
            <w:tcW w:w="1490" w:type="dxa"/>
          </w:tcPr>
          <w:p>
            <w:pPr>
              <w:pStyle w:val="yTableNAm"/>
              <w:jc w:val="center"/>
            </w:pPr>
            <w:r>
              <w:t>53.001</w:t>
            </w:r>
          </w:p>
        </w:tc>
      </w:tr>
      <w:tr>
        <w:trPr>
          <w:gridBefore w:val="1"/>
          <w:wBefore w:w="16" w:type="dxa"/>
          <w:cantSplit/>
          <w:jc w:val="center"/>
        </w:trPr>
        <w:tc>
          <w:tcPr>
            <w:tcW w:w="1384" w:type="dxa"/>
            <w:gridSpan w:val="2"/>
            <w:tcBorders>
              <w:bottom w:val="single" w:sz="4" w:space="0" w:color="auto"/>
            </w:tcBorders>
            <w:noWrap/>
            <w:tcMar>
              <w:left w:w="397" w:type="dxa"/>
              <w:right w:w="11" w:type="dxa"/>
            </w:tcMar>
          </w:tcPr>
          <w:p>
            <w:pPr>
              <w:pStyle w:val="yTableNAm"/>
              <w:ind w:left="-14" w:hanging="283"/>
            </w:pPr>
            <w:r>
              <w:t>4</w:t>
            </w:r>
            <w:r>
              <w:rPr>
                <w:vertAlign w:val="superscript"/>
              </w:rPr>
              <w:t>th</w:t>
            </w:r>
            <w:r>
              <w:t xml:space="preserve"> and subsequent fixtures</w:t>
            </w:r>
          </w:p>
        </w:tc>
        <w:tc>
          <w:tcPr>
            <w:tcW w:w="1236" w:type="dxa"/>
            <w:tcBorders>
              <w:bottom w:val="single" w:sz="4" w:space="0" w:color="auto"/>
            </w:tcBorders>
          </w:tcPr>
          <w:p>
            <w:pPr>
              <w:pStyle w:val="yTableNAm"/>
              <w:jc w:val="center"/>
            </w:pPr>
            <w:r>
              <w:rPr>
                <w:szCs w:val="22"/>
              </w:rPr>
              <w:t>$551.20</w:t>
            </w:r>
          </w:p>
        </w:tc>
        <w:tc>
          <w:tcPr>
            <w:tcW w:w="1490" w:type="dxa"/>
            <w:tcBorders>
              <w:bottom w:val="single" w:sz="4" w:space="0" w:color="auto"/>
            </w:tcBorders>
          </w:tcPr>
          <w:p>
            <w:pPr>
              <w:pStyle w:val="yTableNAm"/>
              <w:jc w:val="center"/>
            </w:pPr>
            <w:r>
              <w:t>80.985</w:t>
            </w:r>
          </w:p>
        </w:tc>
        <w:tc>
          <w:tcPr>
            <w:tcW w:w="1490" w:type="dxa"/>
            <w:tcBorders>
              <w:bottom w:val="single" w:sz="4" w:space="0" w:color="auto"/>
            </w:tcBorders>
          </w:tcPr>
          <w:p>
            <w:pPr>
              <w:pStyle w:val="yTableNAm"/>
              <w:jc w:val="center"/>
            </w:pPr>
            <w:r>
              <w:t>56.780</w:t>
            </w:r>
          </w:p>
        </w:tc>
      </w:tr>
    </w:tbl>
    <w:p>
      <w:pPr>
        <w:pStyle w:val="yHeading5"/>
        <w:tabs>
          <w:tab w:val="clear" w:pos="879"/>
        </w:tabs>
        <w:ind w:left="851" w:hanging="851"/>
      </w:pPr>
      <w:bookmarkStart w:id="352" w:name="_Toc453243639"/>
      <w:bookmarkStart w:id="353" w:name="_Toc455404204"/>
      <w:r>
        <w:rPr>
          <w:rStyle w:val="CharSClsNo"/>
        </w:rPr>
        <w:t>5</w:t>
      </w:r>
      <w:r>
        <w:t>.</w:t>
      </w:r>
      <w:r>
        <w:tab/>
        <w:t>Strata</w:t>
      </w:r>
      <w:r>
        <w:noBreakHyphen/>
        <w:t>titled caravan bay</w:t>
      </w:r>
      <w:bookmarkEnd w:id="352"/>
      <w:bookmarkEnd w:id="353"/>
    </w:p>
    <w:p>
      <w:pPr>
        <w:pStyle w:val="yMiscellaneousBody"/>
        <w:tabs>
          <w:tab w:val="left" w:pos="284"/>
          <w:tab w:val="right" w:leader="dot" w:pos="6804"/>
        </w:tabs>
        <w:ind w:left="851" w:hanging="851"/>
      </w:pPr>
      <w:r>
        <w:rPr>
          <w:szCs w:val="22"/>
        </w:rPr>
        <w:tab/>
      </w:r>
      <w:r>
        <w:rPr>
          <w:szCs w:val="22"/>
        </w:rPr>
        <w:tab/>
        <w:t>In respect of a strata</w:t>
      </w:r>
      <w:r>
        <w:rPr>
          <w:szCs w:val="22"/>
        </w:rPr>
        <w:noBreakHyphen/>
        <w:t xml:space="preserve">titled caravan bay, the </w:t>
      </w:r>
      <w:r>
        <w:rPr>
          <w:szCs w:val="22"/>
        </w:rPr>
        <w:br/>
        <w:t xml:space="preserve">charge is </w:t>
      </w:r>
      <w:r>
        <w:rPr>
          <w:szCs w:val="22"/>
        </w:rPr>
        <w:tab/>
        <w:t xml:space="preserve"> $292.77</w:t>
      </w:r>
    </w:p>
    <w:p>
      <w:pPr>
        <w:pStyle w:val="yHeading5"/>
        <w:tabs>
          <w:tab w:val="clear" w:pos="879"/>
        </w:tabs>
        <w:ind w:left="851" w:hanging="851"/>
      </w:pPr>
      <w:bookmarkStart w:id="354" w:name="_Toc453243640"/>
      <w:bookmarkStart w:id="355" w:name="_Toc455404205"/>
      <w:r>
        <w:rPr>
          <w:rStyle w:val="CharSClsNo"/>
        </w:rPr>
        <w:t>6</w:t>
      </w:r>
      <w:r>
        <w:t>.</w:t>
      </w:r>
      <w:r>
        <w:tab/>
        <w:t>Strata</w:t>
      </w:r>
      <w:r>
        <w:noBreakHyphen/>
        <w:t>titled storage unit or strata</w:t>
      </w:r>
      <w:r>
        <w:noBreakHyphen/>
        <w:t>titled parking bay</w:t>
      </w:r>
      <w:bookmarkEnd w:id="354"/>
      <w:bookmarkEnd w:id="355"/>
    </w:p>
    <w:p>
      <w:pPr>
        <w:pStyle w:val="yMiscellaneousBody"/>
        <w:tabs>
          <w:tab w:val="left" w:pos="284"/>
          <w:tab w:val="right" w:leader="dot" w:pos="6804"/>
        </w:tabs>
        <w:ind w:left="851" w:hanging="851"/>
      </w:pPr>
      <w:r>
        <w:rPr>
          <w:szCs w:val="22"/>
        </w:rPr>
        <w:tab/>
      </w:r>
      <w:r>
        <w:rPr>
          <w:szCs w:val="22"/>
        </w:rPr>
        <w:tab/>
        <w:t xml:space="preserve">In respect of a lot that is used for storage </w:t>
      </w:r>
      <w:r>
        <w:rPr>
          <w:szCs w:val="22"/>
        </w:rPr>
        <w:br/>
        <w:t xml:space="preserve">purposes or as a parking bay, the </w:t>
      </w:r>
      <w:r>
        <w:t>charge</w:t>
      </w:r>
      <w:r>
        <w:rPr>
          <w:szCs w:val="22"/>
        </w:rPr>
        <w:t xml:space="preserve"> is </w:t>
      </w:r>
      <w:r>
        <w:rPr>
          <w:szCs w:val="22"/>
        </w:rPr>
        <w:tab/>
        <w:t xml:space="preserve"> $87.88</w:t>
      </w:r>
    </w:p>
    <w:p>
      <w:pPr>
        <w:pStyle w:val="yHeading5"/>
        <w:tabs>
          <w:tab w:val="clear" w:pos="879"/>
        </w:tabs>
        <w:ind w:left="851" w:hanging="851"/>
      </w:pPr>
      <w:bookmarkStart w:id="356" w:name="_Toc453243641"/>
      <w:bookmarkStart w:id="357" w:name="_Toc455404206"/>
      <w:r>
        <w:rPr>
          <w:rStyle w:val="CharSClsNo"/>
        </w:rPr>
        <w:t>7</w:t>
      </w:r>
      <w:r>
        <w:t>.</w:t>
      </w:r>
      <w:r>
        <w:tab/>
        <w:t>Land from which trade waste is discharged into sewer</w:t>
      </w:r>
      <w:bookmarkEnd w:id="356"/>
      <w:bookmarkEnd w:id="357"/>
    </w:p>
    <w:p>
      <w:pPr>
        <w:pStyle w:val="yMiscellaneousBody"/>
        <w:tabs>
          <w:tab w:val="left" w:pos="284"/>
          <w:tab w:val="right" w:leader="dot" w:pos="6804"/>
        </w:tabs>
        <w:ind w:left="851" w:hanging="851"/>
      </w:pPr>
      <w:r>
        <w:tab/>
        <w:t>(1)</w:t>
      </w:r>
      <w:r>
        <w:tab/>
        <w:t xml:space="preserve">In respect of land from which there is a </w:t>
      </w:r>
      <w:r>
        <w:br/>
        <w:t xml:space="preserve">discharge of trade waste into a sewer of the </w:t>
      </w:r>
      <w:r>
        <w:br/>
        <w:t xml:space="preserve">Water Corporation under an approval of the </w:t>
      </w:r>
      <w:r>
        <w:br/>
        <w:t xml:space="preserve">Water Corporation, the charge, for the period </w:t>
      </w:r>
      <w:r>
        <w:br/>
        <w:t xml:space="preserve">for which the approval has effect, is </w:t>
      </w:r>
      <w:r>
        <w:tab/>
        <w:t xml:space="preserve"> </w:t>
      </w:r>
      <w:r>
        <w:rPr>
          <w:szCs w:val="22"/>
        </w:rPr>
        <w:t>$229.46</w:t>
      </w:r>
    </w:p>
    <w:p>
      <w:pPr>
        <w:pStyle w:val="yMiscellaneousBody"/>
        <w:tabs>
          <w:tab w:val="left" w:pos="284"/>
          <w:tab w:val="right" w:leader="dot" w:pos="6804"/>
        </w:tabs>
        <w:ind w:left="851" w:hanging="851"/>
      </w:pPr>
      <w:r>
        <w:tab/>
        <w:t>(2)</w:t>
      </w:r>
      <w:r>
        <w:tab/>
        <w:t xml:space="preserve">The charge under this item is in addition to any </w:t>
      </w:r>
      <w:r>
        <w:br/>
        <w:t xml:space="preserve">other charge applicable to the land under this </w:t>
      </w:r>
      <w:r>
        <w:br/>
        <w:t>Schedule.</w:t>
      </w:r>
    </w:p>
    <w:p>
      <w:pPr>
        <w:pStyle w:val="yHeading5"/>
        <w:tabs>
          <w:tab w:val="clear" w:pos="879"/>
        </w:tabs>
        <w:ind w:left="851" w:hanging="851"/>
      </w:pPr>
      <w:bookmarkStart w:id="358" w:name="_Toc453243642"/>
      <w:bookmarkStart w:id="359" w:name="_Toc455404207"/>
      <w:r>
        <w:rPr>
          <w:rStyle w:val="CharSClsNo"/>
        </w:rPr>
        <w:t>8</w:t>
      </w:r>
      <w:r>
        <w:t>.</w:t>
      </w:r>
      <w:r>
        <w:tab/>
        <w:t>Land from which trade waste is discharged into sewer through grease arrestor</w:t>
      </w:r>
      <w:bookmarkEnd w:id="358"/>
      <w:bookmarkEnd w:id="359"/>
    </w:p>
    <w:p>
      <w:pPr>
        <w:pStyle w:val="yMiscellaneousBody"/>
        <w:tabs>
          <w:tab w:val="left" w:pos="284"/>
          <w:tab w:val="right" w:leader="dot" w:pos="6804"/>
        </w:tabs>
        <w:ind w:left="851" w:hanging="851"/>
      </w:pPr>
      <w:r>
        <w:tab/>
        <w:t>(1)</w:t>
      </w:r>
      <w:r>
        <w:tab/>
        <w:t>In this item —</w:t>
      </w:r>
    </w:p>
    <w:p>
      <w:pPr>
        <w:pStyle w:val="yDefstart"/>
      </w:pPr>
      <w:r>
        <w:tab/>
      </w:r>
      <w:r>
        <w:rPr>
          <w:rStyle w:val="CharDefText"/>
        </w:rPr>
        <w:t>shared grease arrestor</w:t>
      </w:r>
      <w:r>
        <w:t xml:space="preserve"> means a grease arrestor through which trade waste is discharged into a sewer of the Water Corporation under an approval of the Water Corporation from the land the subject of the charge and from other land.</w:t>
      </w:r>
    </w:p>
    <w:p>
      <w:pPr>
        <w:pStyle w:val="yMiscellaneousBody"/>
        <w:tabs>
          <w:tab w:val="left" w:pos="284"/>
          <w:tab w:val="right" w:leader="dot" w:pos="6804"/>
        </w:tabs>
        <w:ind w:left="851" w:hanging="851"/>
      </w:pPr>
      <w:r>
        <w:tab/>
        <w:t>(2)</w:t>
      </w:r>
      <w:r>
        <w:tab/>
        <w:t xml:space="preserve">In respect of land from which there is a </w:t>
      </w:r>
      <w:r>
        <w:br/>
        <w:t xml:space="preserve">discharge of trade waste into a sewer of the </w:t>
      </w:r>
      <w:r>
        <w:br/>
        <w:t xml:space="preserve">Water Corporation through one or more grease </w:t>
      </w:r>
      <w:r>
        <w:br/>
        <w:t xml:space="preserve">arrestors under an approval of the Water </w:t>
      </w:r>
      <w:r>
        <w:br/>
        <w:t xml:space="preserve">Corporation, the charge, for the period for </w:t>
      </w:r>
      <w:r>
        <w:br/>
        <w:t>which the approval has effect, is —</w:t>
      </w:r>
    </w:p>
    <w:p>
      <w:pPr>
        <w:pStyle w:val="yMiscellaneousBody"/>
        <w:tabs>
          <w:tab w:val="left" w:pos="1134"/>
          <w:tab w:val="right" w:leader="dot" w:pos="6804"/>
        </w:tabs>
        <w:ind w:left="1560" w:hanging="1560"/>
      </w:pPr>
      <w:r>
        <w:tab/>
        <w:t>(a)</w:t>
      </w:r>
      <w:r>
        <w:tab/>
        <w:t xml:space="preserve">in respect of each grease arrestor other </w:t>
      </w:r>
      <w:r>
        <w:br/>
        <w:t xml:space="preserve">than a shared grease arrestor </w:t>
      </w:r>
      <w:r>
        <w:tab/>
        <w:t xml:space="preserve"> $100.81</w:t>
      </w:r>
    </w:p>
    <w:p>
      <w:pPr>
        <w:pStyle w:val="yMiscellaneousBody"/>
        <w:tabs>
          <w:tab w:val="left" w:pos="1134"/>
          <w:tab w:val="right" w:leader="dot" w:pos="6804"/>
        </w:tabs>
        <w:ind w:left="1560" w:hanging="1560"/>
      </w:pPr>
      <w:r>
        <w:tab/>
        <w:t>(b)</w:t>
      </w:r>
      <w:r>
        <w:tab/>
        <w:t>in respect of each shared grease</w:t>
      </w:r>
      <w:r>
        <w:br/>
        <w:t xml:space="preserve">arrestor </w:t>
      </w:r>
      <w:r>
        <w:tab/>
        <w:t xml:space="preserve"> $55.06</w:t>
      </w:r>
    </w:p>
    <w:p>
      <w:pPr>
        <w:pStyle w:val="yMiscellaneousBody"/>
        <w:tabs>
          <w:tab w:val="left" w:pos="284"/>
          <w:tab w:val="right" w:leader="dot" w:pos="6804"/>
        </w:tabs>
        <w:ind w:left="851" w:hanging="851"/>
      </w:pPr>
      <w:r>
        <w:tab/>
        <w:t>(3)</w:t>
      </w:r>
      <w:r>
        <w:tab/>
        <w:t xml:space="preserve">The charge under this item is in addition to any </w:t>
      </w:r>
      <w:r>
        <w:br/>
        <w:t xml:space="preserve">other charge applicable to the land under this </w:t>
      </w:r>
      <w:r>
        <w:br/>
        <w:t>Schedule.</w:t>
      </w:r>
    </w:p>
    <w:p>
      <w:pPr>
        <w:pStyle w:val="yHeading5"/>
        <w:tabs>
          <w:tab w:val="clear" w:pos="879"/>
        </w:tabs>
        <w:ind w:left="851" w:hanging="851"/>
      </w:pPr>
      <w:bookmarkStart w:id="360" w:name="_Toc453243643"/>
      <w:bookmarkStart w:id="361" w:name="_Toc455404208"/>
      <w:r>
        <w:rPr>
          <w:rStyle w:val="CharSClsNo"/>
        </w:rPr>
        <w:t>9</w:t>
      </w:r>
      <w:r>
        <w:t>.</w:t>
      </w:r>
      <w:r>
        <w:tab/>
        <w:t>Trade waste discharged from open area</w:t>
      </w:r>
      <w:bookmarkEnd w:id="360"/>
      <w:bookmarkEnd w:id="361"/>
    </w:p>
    <w:p>
      <w:pPr>
        <w:pStyle w:val="yMiscellaneousBody"/>
        <w:tabs>
          <w:tab w:val="left" w:pos="284"/>
          <w:tab w:val="right" w:leader="dot" w:pos="6804"/>
        </w:tabs>
        <w:ind w:left="851" w:hanging="851"/>
      </w:pPr>
      <w:r>
        <w:tab/>
        <w:t>(1)</w:t>
      </w:r>
      <w:r>
        <w:tab/>
        <w:t xml:space="preserve">In respect of land from which there is a </w:t>
      </w:r>
      <w:r>
        <w:br/>
        <w:t xml:space="preserve">discharge of trade waste from an open area </w:t>
      </w:r>
      <w:r>
        <w:br/>
        <w:t xml:space="preserve">under an approval of the Water Corporation, </w:t>
      </w:r>
      <w:r>
        <w:br/>
        <w:t xml:space="preserve">the charge, for the period for which the </w:t>
      </w:r>
      <w:r>
        <w:br/>
        <w:t xml:space="preserve">approval has effect, is </w:t>
      </w:r>
      <w:r>
        <w:tab/>
        <w:t xml:space="preserve"> </w:t>
      </w:r>
      <w:r>
        <w:rPr>
          <w:szCs w:val="22"/>
        </w:rPr>
        <w:t>$1.53</w:t>
      </w:r>
      <w:r>
        <w:t>/m</w:t>
      </w:r>
      <w:r>
        <w:rPr>
          <w:vertAlign w:val="superscript"/>
        </w:rPr>
        <w:t>2</w:t>
      </w:r>
    </w:p>
    <w:p>
      <w:pPr>
        <w:pStyle w:val="yMiscellaneousBody"/>
        <w:tabs>
          <w:tab w:val="left" w:pos="5812"/>
        </w:tabs>
        <w:spacing w:before="0"/>
      </w:pPr>
      <w:r>
        <w:tab/>
        <w:t>of open area</w:t>
      </w:r>
    </w:p>
    <w:p>
      <w:pPr>
        <w:pStyle w:val="yMiscellaneousBody"/>
        <w:tabs>
          <w:tab w:val="left" w:pos="284"/>
          <w:tab w:val="right" w:leader="dot" w:pos="6804"/>
        </w:tabs>
        <w:ind w:left="851" w:hanging="851"/>
      </w:pPr>
      <w:r>
        <w:tab/>
        <w:t>(2)</w:t>
      </w:r>
      <w:r>
        <w:tab/>
        <w:t xml:space="preserve">The charge under this item is in addition to any </w:t>
      </w:r>
      <w:r>
        <w:br/>
        <w:t xml:space="preserve">other charge applicable to the land under this </w:t>
      </w:r>
      <w:r>
        <w:br/>
        <w:t>Schedule.</w:t>
      </w:r>
    </w:p>
    <w:p>
      <w:pPr>
        <w:pStyle w:val="yHeading5"/>
        <w:tabs>
          <w:tab w:val="clear" w:pos="879"/>
        </w:tabs>
        <w:ind w:left="851" w:hanging="851"/>
      </w:pPr>
      <w:bookmarkStart w:id="362" w:name="_Toc453243644"/>
      <w:bookmarkStart w:id="363" w:name="_Toc455404209"/>
      <w:r>
        <w:rPr>
          <w:rStyle w:val="CharSClsNo"/>
        </w:rPr>
        <w:t>10</w:t>
      </w:r>
      <w:r>
        <w:t>.</w:t>
      </w:r>
      <w:r>
        <w:tab/>
        <w:t>Non</w:t>
      </w:r>
      <w:r>
        <w:noBreakHyphen/>
        <w:t>metropolitan concessional</w:t>
      </w:r>
      <w:bookmarkEnd w:id="362"/>
      <w:bookmarkEnd w:id="363"/>
    </w:p>
    <w:p>
      <w:pPr>
        <w:pStyle w:val="yMiscellaneousBody"/>
        <w:ind w:left="851" w:hanging="851"/>
      </w:pPr>
      <w:r>
        <w:tab/>
        <w:t>In respect of land in the non</w:t>
      </w:r>
      <w:r>
        <w:noBreakHyphen/>
        <w:t xml:space="preserve">metropolitan area </w:t>
      </w:r>
      <w:r>
        <w:br/>
        <w:t>that is classified as —</w:t>
      </w:r>
    </w:p>
    <w:p>
      <w:pPr>
        <w:pStyle w:val="yMiscellaneousBody"/>
        <w:tabs>
          <w:tab w:val="left" w:pos="1134"/>
        </w:tabs>
        <w:ind w:left="1560" w:hanging="1560"/>
        <w:rPr>
          <w:szCs w:val="22"/>
        </w:rPr>
      </w:pPr>
      <w:r>
        <w:rPr>
          <w:szCs w:val="22"/>
        </w:rPr>
        <w:tab/>
        <w:t>(a)</w:t>
      </w:r>
      <w:r>
        <w:rPr>
          <w:szCs w:val="22"/>
        </w:rPr>
        <w:tab/>
      </w:r>
      <w:r>
        <w:t>community</w:t>
      </w:r>
      <w:r>
        <w:rPr>
          <w:szCs w:val="22"/>
        </w:rPr>
        <w:t xml:space="preserve"> residential; or</w:t>
      </w:r>
    </w:p>
    <w:p>
      <w:pPr>
        <w:pStyle w:val="yMiscellaneousBody"/>
        <w:tabs>
          <w:tab w:val="left" w:pos="1134"/>
        </w:tabs>
        <w:ind w:left="1560" w:hanging="1560"/>
        <w:rPr>
          <w:szCs w:val="22"/>
        </w:rPr>
      </w:pPr>
      <w:r>
        <w:rPr>
          <w:szCs w:val="22"/>
        </w:rPr>
        <w:tab/>
        <w:t>(b)</w:t>
      </w:r>
      <w:r>
        <w:rPr>
          <w:szCs w:val="22"/>
        </w:rPr>
        <w:tab/>
      </w:r>
      <w:r>
        <w:t>aged</w:t>
      </w:r>
      <w:r>
        <w:rPr>
          <w:szCs w:val="22"/>
        </w:rPr>
        <w:t xml:space="preserve"> home, charitable purposes, </w:t>
      </w:r>
      <w:r>
        <w:rPr>
          <w:szCs w:val="22"/>
        </w:rPr>
        <w:br/>
        <w:t xml:space="preserve">community purpose, institutional public </w:t>
      </w:r>
      <w:r>
        <w:rPr>
          <w:szCs w:val="22"/>
        </w:rPr>
        <w:br/>
        <w:t>or local government,</w:t>
      </w:r>
    </w:p>
    <w:p>
      <w:pPr>
        <w:pStyle w:val="yMiscellaneousBody"/>
        <w:ind w:left="851" w:hanging="851"/>
      </w:pPr>
      <w:r>
        <w:tab/>
        <w:t xml:space="preserve">the charge, according to the number of major </w:t>
      </w:r>
      <w:r>
        <w:br/>
        <w:t xml:space="preserve">fixtures on the land, is the sum of the charges, </w:t>
      </w:r>
      <w:r>
        <w:br/>
        <w:t xml:space="preserve">less the corresponding discounts, for each </w:t>
      </w:r>
      <w:r>
        <w:br/>
        <w:t>fixture, as set out in the Table.</w:t>
      </w:r>
    </w:p>
    <w:p>
      <w:pPr>
        <w:pStyle w:val="yTHeadingNAm"/>
      </w:pPr>
      <w:r>
        <w:t>Table of charges and discounts</w:t>
      </w:r>
    </w:p>
    <w:tbl>
      <w:tblPr>
        <w:tblW w:w="5025" w:type="dxa"/>
        <w:jc w:val="center"/>
        <w:tblLayout w:type="fixed"/>
        <w:tblLook w:val="0000" w:firstRow="0" w:lastRow="0" w:firstColumn="0" w:lastColumn="0" w:noHBand="0" w:noVBand="0"/>
      </w:tblPr>
      <w:tblGrid>
        <w:gridCol w:w="1765"/>
        <w:gridCol w:w="1134"/>
        <w:gridCol w:w="1134"/>
        <w:gridCol w:w="992"/>
      </w:tblGrid>
      <w:tr>
        <w:trPr>
          <w:cantSplit/>
          <w:tblHeader/>
          <w:jc w:val="center"/>
        </w:trPr>
        <w:tc>
          <w:tcPr>
            <w:tcW w:w="1765" w:type="dxa"/>
            <w:tcBorders>
              <w:top w:val="single" w:sz="4" w:space="0" w:color="auto"/>
            </w:tcBorders>
          </w:tcPr>
          <w:p>
            <w:pPr>
              <w:pStyle w:val="zyTableNAm"/>
              <w:spacing w:before="80" w:after="60"/>
              <w:jc w:val="center"/>
            </w:pPr>
          </w:p>
        </w:tc>
        <w:tc>
          <w:tcPr>
            <w:tcW w:w="1134" w:type="dxa"/>
            <w:tcBorders>
              <w:top w:val="single" w:sz="4" w:space="0" w:color="auto"/>
            </w:tcBorders>
          </w:tcPr>
          <w:p>
            <w:pPr>
              <w:pStyle w:val="yTableNAm"/>
              <w:jc w:val="center"/>
            </w:pPr>
            <w:r>
              <w:rPr>
                <w:b/>
                <w:bCs/>
              </w:rPr>
              <w:t>Charge</w:t>
            </w:r>
          </w:p>
        </w:tc>
        <w:tc>
          <w:tcPr>
            <w:tcW w:w="2126" w:type="dxa"/>
            <w:gridSpan w:val="2"/>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765" w:type="dxa"/>
            <w:tcBorders>
              <w:bottom w:val="single" w:sz="4" w:space="0" w:color="auto"/>
            </w:tcBorders>
          </w:tcPr>
          <w:p>
            <w:pPr>
              <w:pStyle w:val="zyTableNAm"/>
              <w:spacing w:before="60" w:after="60"/>
              <w:ind w:firstLine="177"/>
            </w:pPr>
          </w:p>
        </w:tc>
        <w:tc>
          <w:tcPr>
            <w:tcW w:w="1134" w:type="dxa"/>
            <w:tcBorders>
              <w:bottom w:val="single" w:sz="4" w:space="0" w:color="auto"/>
            </w:tcBorders>
          </w:tcPr>
          <w:p>
            <w:pPr>
              <w:pStyle w:val="zyTableNAm"/>
              <w:spacing w:before="60" w:after="60"/>
              <w:jc w:val="center"/>
              <w:rPr>
                <w:b/>
                <w:bCs/>
              </w:rPr>
            </w:pPr>
          </w:p>
        </w:tc>
        <w:tc>
          <w:tcPr>
            <w:tcW w:w="1134" w:type="dxa"/>
            <w:tcBorders>
              <w:top w:val="single" w:sz="4" w:space="0" w:color="auto"/>
              <w:bottom w:val="single" w:sz="4" w:space="0" w:color="auto"/>
            </w:tcBorders>
          </w:tcPr>
          <w:p>
            <w:pPr>
              <w:pStyle w:val="yTableNAm"/>
              <w:jc w:val="center"/>
            </w:pPr>
            <w:r>
              <w:rPr>
                <w:b/>
                <w:bCs/>
              </w:rPr>
              <w:t>par. (a)</w:t>
            </w:r>
          </w:p>
        </w:tc>
        <w:tc>
          <w:tcPr>
            <w:tcW w:w="992" w:type="dxa"/>
            <w:tcBorders>
              <w:top w:val="single" w:sz="4" w:space="0" w:color="auto"/>
              <w:bottom w:val="single" w:sz="4" w:space="0" w:color="auto"/>
            </w:tcBorders>
          </w:tcPr>
          <w:p>
            <w:pPr>
              <w:pStyle w:val="yTableNAm"/>
              <w:jc w:val="center"/>
            </w:pPr>
            <w:r>
              <w:rPr>
                <w:b/>
                <w:bCs/>
              </w:rPr>
              <w:t>par. (b)</w:t>
            </w:r>
          </w:p>
        </w:tc>
      </w:tr>
      <w:tr>
        <w:trPr>
          <w:cantSplit/>
          <w:jc w:val="center"/>
        </w:trPr>
        <w:tc>
          <w:tcPr>
            <w:tcW w:w="1765" w:type="dxa"/>
            <w:noWrap/>
            <w:tcMar>
              <w:left w:w="28" w:type="dxa"/>
              <w:right w:w="28" w:type="dxa"/>
            </w:tcMar>
          </w:tcPr>
          <w:p>
            <w:pPr>
              <w:pStyle w:val="yTableNAm"/>
            </w:pPr>
            <w:r>
              <w:t>1</w:t>
            </w:r>
            <w:r>
              <w:rPr>
                <w:vertAlign w:val="superscript"/>
              </w:rPr>
              <w:t>st</w:t>
            </w:r>
            <w:r>
              <w:t xml:space="preserve"> fixture</w:t>
            </w:r>
          </w:p>
        </w:tc>
        <w:tc>
          <w:tcPr>
            <w:tcW w:w="1134" w:type="dxa"/>
            <w:vAlign w:val="bottom"/>
          </w:tcPr>
          <w:p>
            <w:pPr>
              <w:pStyle w:val="yTableNAm"/>
              <w:jc w:val="center"/>
            </w:pPr>
            <w:r>
              <w:t>$</w:t>
            </w:r>
            <w:r>
              <w:rPr>
                <w:szCs w:val="22"/>
              </w:rPr>
              <w:t>886.68</w:t>
            </w:r>
          </w:p>
        </w:tc>
        <w:tc>
          <w:tcPr>
            <w:tcW w:w="1134" w:type="dxa"/>
          </w:tcPr>
          <w:p>
            <w:pPr>
              <w:pStyle w:val="yTableNAm"/>
              <w:jc w:val="center"/>
            </w:pPr>
            <w:r>
              <w:t>73.132</w:t>
            </w:r>
          </w:p>
        </w:tc>
        <w:tc>
          <w:tcPr>
            <w:tcW w:w="992" w:type="dxa"/>
          </w:tcPr>
          <w:p>
            <w:pPr>
              <w:pStyle w:val="yTableNAm"/>
              <w:jc w:val="center"/>
            </w:pPr>
            <w:r>
              <w:t>73.132</w:t>
            </w:r>
          </w:p>
        </w:tc>
      </w:tr>
      <w:tr>
        <w:trPr>
          <w:cantSplit/>
          <w:jc w:val="center"/>
        </w:trPr>
        <w:tc>
          <w:tcPr>
            <w:tcW w:w="1765" w:type="dxa"/>
            <w:tcMar>
              <w:left w:w="62" w:type="dxa"/>
              <w:right w:w="62" w:type="dxa"/>
            </w:tcMar>
          </w:tcPr>
          <w:p>
            <w:pPr>
              <w:pStyle w:val="yTableNAm"/>
            </w:pPr>
            <w:r>
              <w:t>2</w:t>
            </w:r>
            <w:r>
              <w:rPr>
                <w:vertAlign w:val="superscript"/>
              </w:rPr>
              <w:t>nd</w:t>
            </w:r>
            <w:r>
              <w:t xml:space="preserve"> fixture</w:t>
            </w:r>
          </w:p>
        </w:tc>
        <w:tc>
          <w:tcPr>
            <w:tcW w:w="1134" w:type="dxa"/>
            <w:vAlign w:val="bottom"/>
          </w:tcPr>
          <w:p>
            <w:pPr>
              <w:pStyle w:val="yTableNAm"/>
              <w:jc w:val="center"/>
            </w:pPr>
            <w:r>
              <w:t>$</w:t>
            </w:r>
            <w:r>
              <w:rPr>
                <w:szCs w:val="22"/>
              </w:rPr>
              <w:t>379.55</w:t>
            </w:r>
          </w:p>
        </w:tc>
        <w:tc>
          <w:tcPr>
            <w:tcW w:w="1134" w:type="dxa"/>
          </w:tcPr>
          <w:p>
            <w:pPr>
              <w:pStyle w:val="yTableNAm"/>
              <w:jc w:val="center"/>
            </w:pPr>
            <w:r>
              <w:t>72.385</w:t>
            </w:r>
          </w:p>
        </w:tc>
        <w:tc>
          <w:tcPr>
            <w:tcW w:w="992" w:type="dxa"/>
          </w:tcPr>
          <w:p>
            <w:pPr>
              <w:pStyle w:val="yTableNAm"/>
              <w:jc w:val="center"/>
            </w:pPr>
            <w:r>
              <w:t>37.234</w:t>
            </w:r>
          </w:p>
        </w:tc>
      </w:tr>
      <w:tr>
        <w:trPr>
          <w:cantSplit/>
          <w:jc w:val="center"/>
        </w:trPr>
        <w:tc>
          <w:tcPr>
            <w:tcW w:w="1765" w:type="dxa"/>
            <w:noWrap/>
            <w:tcMar>
              <w:left w:w="57" w:type="dxa"/>
              <w:right w:w="57" w:type="dxa"/>
            </w:tcMar>
          </w:tcPr>
          <w:p>
            <w:pPr>
              <w:pStyle w:val="yTableNAm"/>
            </w:pPr>
            <w:r>
              <w:t>3</w:t>
            </w:r>
            <w:r>
              <w:rPr>
                <w:vertAlign w:val="superscript"/>
              </w:rPr>
              <w:t>rd</w:t>
            </w:r>
            <w:r>
              <w:t xml:space="preserve"> fixture</w:t>
            </w:r>
          </w:p>
        </w:tc>
        <w:tc>
          <w:tcPr>
            <w:tcW w:w="1134" w:type="dxa"/>
            <w:vAlign w:val="bottom"/>
          </w:tcPr>
          <w:p>
            <w:pPr>
              <w:pStyle w:val="yTableNAm"/>
              <w:jc w:val="center"/>
            </w:pPr>
            <w:r>
              <w:t>$506</w:t>
            </w:r>
            <w:r>
              <w:rPr>
                <w:szCs w:val="22"/>
              </w:rPr>
              <w:t>.88</w:t>
            </w:r>
          </w:p>
        </w:tc>
        <w:tc>
          <w:tcPr>
            <w:tcW w:w="1134" w:type="dxa"/>
          </w:tcPr>
          <w:p>
            <w:pPr>
              <w:pStyle w:val="yTableNAm"/>
              <w:jc w:val="center"/>
            </w:pPr>
            <w:r>
              <w:t>79.322</w:t>
            </w:r>
          </w:p>
        </w:tc>
        <w:tc>
          <w:tcPr>
            <w:tcW w:w="992" w:type="dxa"/>
          </w:tcPr>
          <w:p>
            <w:pPr>
              <w:pStyle w:val="yTableNAm"/>
              <w:jc w:val="center"/>
            </w:pPr>
            <w:r>
              <w:t>53.001</w:t>
            </w:r>
          </w:p>
        </w:tc>
      </w:tr>
      <w:tr>
        <w:trPr>
          <w:cantSplit/>
          <w:jc w:val="center"/>
        </w:trPr>
        <w:tc>
          <w:tcPr>
            <w:tcW w:w="1765" w:type="dxa"/>
            <w:tcBorders>
              <w:bottom w:val="single" w:sz="4" w:space="0" w:color="auto"/>
            </w:tcBorders>
            <w:noWrap/>
            <w:tcMar>
              <w:left w:w="28" w:type="dxa"/>
              <w:right w:w="57" w:type="dxa"/>
            </w:tcMar>
          </w:tcPr>
          <w:p>
            <w:pPr>
              <w:pStyle w:val="yTableNAm"/>
              <w:ind w:left="359" w:hanging="359"/>
            </w:pPr>
            <w:r>
              <w:t>4</w:t>
            </w:r>
            <w:r>
              <w:rPr>
                <w:vertAlign w:val="superscript"/>
              </w:rPr>
              <w:t>th</w:t>
            </w:r>
            <w:r>
              <w:t xml:space="preserve"> and subsequent fixtures</w:t>
            </w:r>
          </w:p>
        </w:tc>
        <w:tc>
          <w:tcPr>
            <w:tcW w:w="1134" w:type="dxa"/>
            <w:tcBorders>
              <w:bottom w:val="single" w:sz="4" w:space="0" w:color="auto"/>
            </w:tcBorders>
          </w:tcPr>
          <w:p>
            <w:pPr>
              <w:pStyle w:val="yTableNAm"/>
              <w:jc w:val="center"/>
            </w:pPr>
            <w:r>
              <w:t>$</w:t>
            </w:r>
            <w:r>
              <w:rPr>
                <w:szCs w:val="22"/>
              </w:rPr>
              <w:t>551.20</w:t>
            </w:r>
          </w:p>
        </w:tc>
        <w:tc>
          <w:tcPr>
            <w:tcW w:w="1134" w:type="dxa"/>
            <w:tcBorders>
              <w:bottom w:val="single" w:sz="4" w:space="0" w:color="auto"/>
            </w:tcBorders>
          </w:tcPr>
          <w:p>
            <w:pPr>
              <w:pStyle w:val="yTableNAm"/>
              <w:jc w:val="center"/>
            </w:pPr>
            <w:r>
              <w:t>80.985</w:t>
            </w:r>
          </w:p>
        </w:tc>
        <w:tc>
          <w:tcPr>
            <w:tcW w:w="992" w:type="dxa"/>
            <w:tcBorders>
              <w:bottom w:val="single" w:sz="4" w:space="0" w:color="auto"/>
            </w:tcBorders>
          </w:tcPr>
          <w:p>
            <w:pPr>
              <w:pStyle w:val="yTableNAm"/>
              <w:jc w:val="center"/>
            </w:pPr>
            <w:r>
              <w:t>56.780</w:t>
            </w:r>
          </w:p>
        </w:tc>
      </w:tr>
    </w:tbl>
    <w:p>
      <w:pPr>
        <w:pStyle w:val="yHeading5"/>
        <w:tabs>
          <w:tab w:val="clear" w:pos="879"/>
        </w:tabs>
        <w:ind w:left="851" w:hanging="851"/>
      </w:pPr>
      <w:bookmarkStart w:id="364" w:name="_Toc453243645"/>
      <w:bookmarkStart w:id="365" w:name="_Toc455404210"/>
      <w:r>
        <w:rPr>
          <w:rStyle w:val="CharSClsNo"/>
        </w:rPr>
        <w:t>11</w:t>
      </w:r>
      <w:r>
        <w:t>.</w:t>
      </w:r>
      <w:r>
        <w:tab/>
        <w:t>Non</w:t>
      </w:r>
      <w:r>
        <w:noBreakHyphen/>
        <w:t>metropolitan</w:t>
      </w:r>
      <w:bookmarkEnd w:id="364"/>
      <w:bookmarkEnd w:id="365"/>
    </w:p>
    <w:p>
      <w:pPr>
        <w:pStyle w:val="yMiscellaneousBody"/>
        <w:tabs>
          <w:tab w:val="left" w:pos="284"/>
          <w:tab w:val="right" w:leader="dot" w:pos="6804"/>
        </w:tabs>
        <w:ind w:left="851" w:hanging="851"/>
      </w:pPr>
      <w:r>
        <w:tab/>
        <w:t>(1)</w:t>
      </w:r>
      <w:r>
        <w:tab/>
        <w:t>In respect of land in the non</w:t>
      </w:r>
      <w:r>
        <w:noBreakHyphen/>
        <w:t xml:space="preserve">metropolitan area </w:t>
      </w:r>
      <w:r>
        <w:br/>
        <w:t xml:space="preserve">that is in a sewerage area referred to in the </w:t>
      </w:r>
      <w:r>
        <w:br/>
        <w:t xml:space="preserve">Table, the charge is the amount worked out by </w:t>
      </w:r>
      <w:r>
        <w:br/>
        <w:t xml:space="preserve">multiplying the GRV of the land by the </w:t>
      </w:r>
      <w:r>
        <w:br/>
        <w:t xml:space="preserve">relevant rate for the sewerage area, according </w:t>
      </w:r>
      <w:r>
        <w:br/>
        <w:t xml:space="preserve">to whether the land is classified as residential </w:t>
      </w:r>
      <w:r>
        <w:br/>
        <w:t>or not.</w:t>
      </w:r>
    </w:p>
    <w:p>
      <w:pPr>
        <w:pStyle w:val="yMiscellaneousBody"/>
        <w:tabs>
          <w:tab w:val="left" w:pos="284"/>
          <w:tab w:val="right" w:leader="dot" w:pos="6804"/>
        </w:tabs>
        <w:ind w:left="851" w:hanging="851"/>
      </w:pPr>
      <w:r>
        <w:tab/>
        <w:t>(2)</w:t>
      </w:r>
      <w:r>
        <w:tab/>
        <w:t>Sub</w:t>
      </w:r>
      <w:r>
        <w:noBreakHyphen/>
        <w:t xml:space="preserve">item (1) does not apply to land covered by </w:t>
      </w:r>
      <w:r>
        <w:br/>
        <w:t xml:space="preserve">any other item in this Division (other than </w:t>
      </w:r>
      <w:r>
        <w:br/>
        <w:t>item 7, 8 or 9) or by Division 2.</w:t>
      </w:r>
    </w:p>
    <w:p>
      <w:pPr>
        <w:pStyle w:val="yMiscellaneousBody"/>
        <w:tabs>
          <w:tab w:val="left" w:pos="284"/>
          <w:tab w:val="right" w:leader="dot" w:pos="6804"/>
        </w:tabs>
        <w:ind w:left="851" w:hanging="851"/>
      </w:pPr>
      <w:r>
        <w:tab/>
        <w:t>(3)</w:t>
      </w:r>
      <w:r>
        <w:tab/>
        <w:t>The minimum charge under this item is —</w:t>
      </w:r>
    </w:p>
    <w:p>
      <w:pPr>
        <w:pStyle w:val="yMiscellaneousBody"/>
        <w:tabs>
          <w:tab w:val="left" w:pos="1134"/>
          <w:tab w:val="right" w:leader="dot" w:pos="6804"/>
        </w:tabs>
        <w:ind w:left="1560" w:hanging="1560"/>
      </w:pPr>
      <w:r>
        <w:tab/>
        <w:t>(a)</w:t>
      </w:r>
      <w:r>
        <w:tab/>
        <w:t xml:space="preserve">for land that is classified as residential </w:t>
      </w:r>
      <w:r>
        <w:tab/>
        <w:t xml:space="preserve"> </w:t>
      </w:r>
      <w:r>
        <w:rPr>
          <w:szCs w:val="22"/>
        </w:rPr>
        <w:t>$381.26</w:t>
      </w:r>
    </w:p>
    <w:p>
      <w:pPr>
        <w:pStyle w:val="yMiscellaneousBody"/>
        <w:tabs>
          <w:tab w:val="left" w:pos="1134"/>
          <w:tab w:val="right" w:leader="dot" w:pos="6804"/>
        </w:tabs>
        <w:ind w:left="1560" w:hanging="1560"/>
      </w:pPr>
      <w:r>
        <w:tab/>
        <w:t>(b)</w:t>
      </w:r>
      <w:r>
        <w:tab/>
        <w:t xml:space="preserve">for land that is classified as vacant land </w:t>
      </w:r>
      <w:r>
        <w:tab/>
        <w:t xml:space="preserve"> </w:t>
      </w:r>
      <w:r>
        <w:rPr>
          <w:szCs w:val="22"/>
        </w:rPr>
        <w:t>$250.88</w:t>
      </w:r>
    </w:p>
    <w:p>
      <w:pPr>
        <w:pStyle w:val="yMiscellaneousBody"/>
        <w:tabs>
          <w:tab w:val="left" w:pos="1134"/>
          <w:tab w:val="right" w:leader="dot" w:pos="6804"/>
        </w:tabs>
        <w:ind w:left="1560" w:hanging="1560"/>
      </w:pPr>
      <w:r>
        <w:tab/>
        <w:t>(c)</w:t>
      </w:r>
      <w:r>
        <w:tab/>
        <w:t xml:space="preserve">for other land </w:t>
      </w:r>
      <w:r>
        <w:tab/>
        <w:t xml:space="preserve"> </w:t>
      </w:r>
      <w:r>
        <w:rPr>
          <w:szCs w:val="22"/>
        </w:rPr>
        <w:t>$886.68</w:t>
      </w:r>
    </w:p>
    <w:p>
      <w:pPr>
        <w:pStyle w:val="yMiscellaneousBody"/>
        <w:tabs>
          <w:tab w:val="left" w:pos="284"/>
          <w:tab w:val="right" w:leader="dot" w:pos="6804"/>
        </w:tabs>
        <w:ind w:left="851" w:hanging="851"/>
      </w:pPr>
      <w:r>
        <w:tab/>
        <w:t>(4)</w:t>
      </w:r>
      <w:r>
        <w:tab/>
        <w:t xml:space="preserve">The maximum charge under this item for land </w:t>
      </w:r>
      <w:r>
        <w:br/>
        <w:t xml:space="preserve">that is classified as residential or classified as </w:t>
      </w:r>
      <w:r>
        <w:br/>
        <w:t xml:space="preserve">vacant land but held for residential purposes </w:t>
      </w:r>
      <w:r>
        <w:br/>
        <w:t xml:space="preserve">is </w:t>
      </w:r>
      <w:r>
        <w:tab/>
        <w:t xml:space="preserve"> </w:t>
      </w:r>
      <w:r>
        <w:rPr>
          <w:szCs w:val="22"/>
        </w:rPr>
        <w:t>$1 040.89</w:t>
      </w:r>
    </w:p>
    <w:p>
      <w:pPr>
        <w:pStyle w:val="yTHeadingNAm"/>
      </w:pPr>
      <w:r>
        <w:t>Table of rates for sewerage areas</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268"/>
      </w:tblGrid>
      <w:tr>
        <w:trPr>
          <w:tblHeader/>
        </w:trPr>
        <w:tc>
          <w:tcPr>
            <w:tcW w:w="2159" w:type="dxa"/>
            <w:tcBorders>
              <w:left w:val="nil"/>
              <w:bottom w:val="single" w:sz="4" w:space="0" w:color="auto"/>
              <w:right w:val="nil"/>
            </w:tcBorders>
          </w:tcPr>
          <w:p>
            <w:pPr>
              <w:pStyle w:val="yTableNAm"/>
            </w:pPr>
            <w:r>
              <w:rPr>
                <w:b/>
              </w:rPr>
              <w:t>Sewerage area</w:t>
            </w:r>
          </w:p>
        </w:tc>
        <w:tc>
          <w:tcPr>
            <w:tcW w:w="1810" w:type="dxa"/>
            <w:tcBorders>
              <w:left w:val="nil"/>
              <w:bottom w:val="single" w:sz="4" w:space="0" w:color="auto"/>
              <w:right w:val="nil"/>
            </w:tcBorders>
            <w:vAlign w:val="center"/>
          </w:tcPr>
          <w:p>
            <w:pPr>
              <w:pStyle w:val="yTableNAm"/>
              <w:jc w:val="center"/>
            </w:pPr>
            <w:r>
              <w:rPr>
                <w:b/>
              </w:rPr>
              <w:t xml:space="preserve">Residential rate </w:t>
            </w:r>
            <w:r>
              <w:rPr>
                <w:b/>
              </w:rPr>
              <w:br/>
              <w:t>cents/$ of GRV</w:t>
            </w:r>
          </w:p>
        </w:tc>
        <w:tc>
          <w:tcPr>
            <w:tcW w:w="2268" w:type="dxa"/>
            <w:tcBorders>
              <w:left w:val="nil"/>
              <w:bottom w:val="single" w:sz="4" w:space="0" w:color="auto"/>
              <w:right w:val="nil"/>
            </w:tcBorders>
            <w:vAlign w:val="center"/>
          </w:tcPr>
          <w:p>
            <w:pPr>
              <w:pStyle w:val="yTableNAm"/>
              <w:jc w:val="center"/>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tcPr>
          <w:p>
            <w:pPr>
              <w:pStyle w:val="yTableNAm"/>
            </w:pPr>
            <w:r>
              <w:t>Albany</w:t>
            </w:r>
          </w:p>
        </w:tc>
        <w:tc>
          <w:tcPr>
            <w:tcW w:w="1810" w:type="dxa"/>
            <w:tcBorders>
              <w:top w:val="single" w:sz="4" w:space="0" w:color="auto"/>
              <w:left w:val="nil"/>
              <w:bottom w:val="nil"/>
              <w:right w:val="nil"/>
            </w:tcBorders>
            <w:vAlign w:val="center"/>
          </w:tcPr>
          <w:p>
            <w:pPr>
              <w:pStyle w:val="yTableNAm"/>
              <w:jc w:val="center"/>
            </w:pPr>
            <w:r>
              <w:t>12.691</w:t>
            </w:r>
          </w:p>
        </w:tc>
        <w:tc>
          <w:tcPr>
            <w:tcW w:w="2268" w:type="dxa"/>
            <w:tcBorders>
              <w:top w:val="single" w:sz="4" w:space="0" w:color="auto"/>
              <w:left w:val="nil"/>
              <w:bottom w:val="nil"/>
              <w:right w:val="nil"/>
            </w:tcBorders>
            <w:vAlign w:val="center"/>
          </w:tcPr>
          <w:p>
            <w:pPr>
              <w:pStyle w:val="yTableNAm"/>
              <w:jc w:val="center"/>
            </w:pPr>
            <w:r>
              <w:t>17.028</w:t>
            </w:r>
          </w:p>
        </w:tc>
      </w:tr>
      <w:tr>
        <w:tc>
          <w:tcPr>
            <w:tcW w:w="2159" w:type="dxa"/>
            <w:tcBorders>
              <w:top w:val="nil"/>
              <w:left w:val="nil"/>
              <w:bottom w:val="nil"/>
              <w:right w:val="nil"/>
            </w:tcBorders>
          </w:tcPr>
          <w:p>
            <w:pPr>
              <w:pStyle w:val="yTableNAm"/>
            </w:pPr>
            <w:r>
              <w:t>Augusta</w:t>
            </w:r>
          </w:p>
        </w:tc>
        <w:tc>
          <w:tcPr>
            <w:tcW w:w="1810" w:type="dxa"/>
            <w:tcBorders>
              <w:top w:val="nil"/>
              <w:left w:val="nil"/>
              <w:bottom w:val="nil"/>
              <w:right w:val="nil"/>
            </w:tcBorders>
            <w:vAlign w:val="center"/>
          </w:tcPr>
          <w:p>
            <w:pPr>
              <w:pStyle w:val="yTableNAm"/>
              <w:jc w:val="center"/>
            </w:pPr>
            <w:r>
              <w:t>7.852</w:t>
            </w:r>
          </w:p>
        </w:tc>
        <w:tc>
          <w:tcPr>
            <w:tcW w:w="2268" w:type="dxa"/>
            <w:tcBorders>
              <w:top w:val="nil"/>
              <w:left w:val="nil"/>
              <w:bottom w:val="nil"/>
              <w:right w:val="nil"/>
            </w:tcBorders>
            <w:vAlign w:val="center"/>
          </w:tcPr>
          <w:p>
            <w:pPr>
              <w:pStyle w:val="yTableNAm"/>
              <w:jc w:val="center"/>
            </w:pPr>
            <w:r>
              <w:t>9.901</w:t>
            </w:r>
          </w:p>
        </w:tc>
      </w:tr>
      <w:tr>
        <w:tc>
          <w:tcPr>
            <w:tcW w:w="2159" w:type="dxa"/>
            <w:tcBorders>
              <w:top w:val="nil"/>
              <w:left w:val="nil"/>
              <w:bottom w:val="nil"/>
              <w:right w:val="nil"/>
            </w:tcBorders>
          </w:tcPr>
          <w:p>
            <w:pPr>
              <w:pStyle w:val="yTableNAm"/>
            </w:pPr>
            <w:r>
              <w:t>Australind</w:t>
            </w:r>
          </w:p>
        </w:tc>
        <w:tc>
          <w:tcPr>
            <w:tcW w:w="1810" w:type="dxa"/>
            <w:tcBorders>
              <w:top w:val="nil"/>
              <w:left w:val="nil"/>
              <w:bottom w:val="nil"/>
              <w:right w:val="nil"/>
            </w:tcBorders>
            <w:vAlign w:val="center"/>
          </w:tcPr>
          <w:p>
            <w:pPr>
              <w:pStyle w:val="yTableNAm"/>
              <w:jc w:val="center"/>
            </w:pPr>
            <w:r>
              <w:t>5.375</w:t>
            </w:r>
          </w:p>
        </w:tc>
        <w:tc>
          <w:tcPr>
            <w:tcW w:w="2268" w:type="dxa"/>
            <w:tcBorders>
              <w:top w:val="nil"/>
              <w:left w:val="nil"/>
              <w:bottom w:val="nil"/>
              <w:right w:val="nil"/>
            </w:tcBorders>
            <w:vAlign w:val="center"/>
          </w:tcPr>
          <w:p>
            <w:pPr>
              <w:pStyle w:val="yTableNAm"/>
              <w:jc w:val="center"/>
            </w:pPr>
            <w:r>
              <w:t>3.144</w:t>
            </w:r>
          </w:p>
        </w:tc>
      </w:tr>
      <w:tr>
        <w:tc>
          <w:tcPr>
            <w:tcW w:w="2159" w:type="dxa"/>
            <w:tcBorders>
              <w:top w:val="nil"/>
              <w:left w:val="nil"/>
              <w:bottom w:val="nil"/>
              <w:right w:val="nil"/>
            </w:tcBorders>
          </w:tcPr>
          <w:p>
            <w:pPr>
              <w:pStyle w:val="yTableNAm"/>
            </w:pPr>
            <w:r>
              <w:t>Beverley</w:t>
            </w:r>
          </w:p>
        </w:tc>
        <w:tc>
          <w:tcPr>
            <w:tcW w:w="1810" w:type="dxa"/>
            <w:tcBorders>
              <w:top w:val="nil"/>
              <w:left w:val="nil"/>
              <w:bottom w:val="nil"/>
              <w:right w:val="nil"/>
            </w:tcBorders>
            <w:vAlign w:val="center"/>
          </w:tcPr>
          <w:p>
            <w:pPr>
              <w:pStyle w:val="yTableNAm"/>
              <w:jc w:val="center"/>
            </w:pPr>
            <w:r>
              <w:t>12.887</w:t>
            </w:r>
          </w:p>
        </w:tc>
        <w:tc>
          <w:tcPr>
            <w:tcW w:w="2268" w:type="dxa"/>
            <w:tcBorders>
              <w:top w:val="nil"/>
              <w:left w:val="nil"/>
              <w:bottom w:val="nil"/>
              <w:right w:val="nil"/>
            </w:tcBorders>
            <w:vAlign w:val="center"/>
          </w:tcPr>
          <w:p>
            <w:pPr>
              <w:pStyle w:val="yTableNAm"/>
              <w:jc w:val="center"/>
            </w:pPr>
            <w:r>
              <w:t>21.361</w:t>
            </w:r>
          </w:p>
        </w:tc>
      </w:tr>
      <w:tr>
        <w:tc>
          <w:tcPr>
            <w:tcW w:w="2159" w:type="dxa"/>
            <w:tcBorders>
              <w:top w:val="nil"/>
              <w:left w:val="nil"/>
              <w:bottom w:val="nil"/>
              <w:right w:val="nil"/>
            </w:tcBorders>
          </w:tcPr>
          <w:p>
            <w:pPr>
              <w:pStyle w:val="yTableNAm"/>
            </w:pPr>
            <w:r>
              <w:t>Binningup</w:t>
            </w:r>
          </w:p>
        </w:tc>
        <w:tc>
          <w:tcPr>
            <w:tcW w:w="1810" w:type="dxa"/>
            <w:tcBorders>
              <w:top w:val="nil"/>
              <w:left w:val="nil"/>
              <w:bottom w:val="nil"/>
              <w:right w:val="nil"/>
            </w:tcBorders>
            <w:vAlign w:val="center"/>
          </w:tcPr>
          <w:p>
            <w:pPr>
              <w:pStyle w:val="yTableNAm"/>
              <w:jc w:val="center"/>
            </w:pPr>
            <w:r>
              <w:t>9.296</w:t>
            </w:r>
          </w:p>
        </w:tc>
        <w:tc>
          <w:tcPr>
            <w:tcW w:w="2268" w:type="dxa"/>
            <w:tcBorders>
              <w:top w:val="nil"/>
              <w:left w:val="nil"/>
              <w:bottom w:val="nil"/>
              <w:right w:val="nil"/>
            </w:tcBorders>
            <w:vAlign w:val="center"/>
          </w:tcPr>
          <w:p>
            <w:pPr>
              <w:pStyle w:val="yTableNAm"/>
              <w:jc w:val="center"/>
            </w:pPr>
            <w:r>
              <w:t>16.769</w:t>
            </w:r>
          </w:p>
        </w:tc>
      </w:tr>
      <w:tr>
        <w:tc>
          <w:tcPr>
            <w:tcW w:w="2159" w:type="dxa"/>
            <w:tcBorders>
              <w:top w:val="nil"/>
              <w:left w:val="nil"/>
              <w:bottom w:val="nil"/>
              <w:right w:val="nil"/>
            </w:tcBorders>
          </w:tcPr>
          <w:p>
            <w:pPr>
              <w:pStyle w:val="yTableNAm"/>
            </w:pPr>
            <w:r>
              <w:t>Boddington</w:t>
            </w:r>
          </w:p>
        </w:tc>
        <w:tc>
          <w:tcPr>
            <w:tcW w:w="1810" w:type="dxa"/>
            <w:tcBorders>
              <w:top w:val="nil"/>
              <w:left w:val="nil"/>
              <w:bottom w:val="nil"/>
              <w:right w:val="nil"/>
            </w:tcBorders>
            <w:vAlign w:val="center"/>
          </w:tcPr>
          <w:p>
            <w:pPr>
              <w:pStyle w:val="yTableNAm"/>
              <w:jc w:val="center"/>
            </w:pPr>
            <w:r>
              <w:t>22.062</w:t>
            </w:r>
          </w:p>
        </w:tc>
        <w:tc>
          <w:tcPr>
            <w:tcW w:w="2268" w:type="dxa"/>
            <w:tcBorders>
              <w:top w:val="nil"/>
              <w:left w:val="nil"/>
              <w:bottom w:val="nil"/>
              <w:right w:val="nil"/>
            </w:tcBorders>
            <w:vAlign w:val="center"/>
          </w:tcPr>
          <w:p>
            <w:pPr>
              <w:pStyle w:val="yTableNAm"/>
              <w:jc w:val="center"/>
            </w:pPr>
            <w:r>
              <w:t>44.141</w:t>
            </w:r>
          </w:p>
        </w:tc>
      </w:tr>
      <w:tr>
        <w:tc>
          <w:tcPr>
            <w:tcW w:w="2159" w:type="dxa"/>
            <w:tcBorders>
              <w:top w:val="nil"/>
              <w:left w:val="nil"/>
              <w:bottom w:val="nil"/>
              <w:right w:val="nil"/>
            </w:tcBorders>
          </w:tcPr>
          <w:p>
            <w:pPr>
              <w:pStyle w:val="yTableNAm"/>
            </w:pPr>
            <w:r>
              <w:t>Boyanup</w:t>
            </w:r>
          </w:p>
        </w:tc>
        <w:tc>
          <w:tcPr>
            <w:tcW w:w="1810" w:type="dxa"/>
            <w:tcBorders>
              <w:top w:val="nil"/>
              <w:left w:val="nil"/>
              <w:bottom w:val="nil"/>
              <w:right w:val="nil"/>
            </w:tcBorders>
            <w:vAlign w:val="center"/>
          </w:tcPr>
          <w:p>
            <w:pPr>
              <w:pStyle w:val="yTableNAm"/>
              <w:jc w:val="center"/>
            </w:pPr>
            <w:r>
              <w:t>10.348</w:t>
            </w:r>
          </w:p>
        </w:tc>
        <w:tc>
          <w:tcPr>
            <w:tcW w:w="2268" w:type="dxa"/>
            <w:tcBorders>
              <w:top w:val="nil"/>
              <w:left w:val="nil"/>
              <w:bottom w:val="nil"/>
              <w:right w:val="nil"/>
            </w:tcBorders>
            <w:vAlign w:val="center"/>
          </w:tcPr>
          <w:p>
            <w:pPr>
              <w:pStyle w:val="yTableNAm"/>
              <w:jc w:val="center"/>
            </w:pPr>
            <w:r>
              <w:t>11.253</w:t>
            </w:r>
          </w:p>
        </w:tc>
      </w:tr>
      <w:tr>
        <w:tc>
          <w:tcPr>
            <w:tcW w:w="2159" w:type="dxa"/>
            <w:tcBorders>
              <w:top w:val="nil"/>
              <w:left w:val="nil"/>
              <w:bottom w:val="nil"/>
              <w:right w:val="nil"/>
            </w:tcBorders>
          </w:tcPr>
          <w:p>
            <w:pPr>
              <w:pStyle w:val="yTableNAm"/>
            </w:pPr>
            <w:r>
              <w:t>Bremer Bay</w:t>
            </w:r>
          </w:p>
        </w:tc>
        <w:tc>
          <w:tcPr>
            <w:tcW w:w="1810" w:type="dxa"/>
            <w:tcBorders>
              <w:top w:val="nil"/>
              <w:left w:val="nil"/>
              <w:bottom w:val="nil"/>
              <w:right w:val="nil"/>
            </w:tcBorders>
            <w:vAlign w:val="center"/>
          </w:tcPr>
          <w:p>
            <w:pPr>
              <w:pStyle w:val="yTableNAm"/>
              <w:jc w:val="center"/>
            </w:pPr>
            <w:r>
              <w:t>16.303</w:t>
            </w:r>
          </w:p>
        </w:tc>
        <w:tc>
          <w:tcPr>
            <w:tcW w:w="2268" w:type="dxa"/>
            <w:tcBorders>
              <w:top w:val="nil"/>
              <w:left w:val="nil"/>
              <w:bottom w:val="nil"/>
              <w:right w:val="nil"/>
            </w:tcBorders>
            <w:vAlign w:val="center"/>
          </w:tcPr>
          <w:p>
            <w:pPr>
              <w:pStyle w:val="yTableNAm"/>
              <w:jc w:val="center"/>
            </w:pPr>
            <w:r>
              <w:t>13.155</w:t>
            </w:r>
          </w:p>
        </w:tc>
      </w:tr>
      <w:tr>
        <w:tc>
          <w:tcPr>
            <w:tcW w:w="2159" w:type="dxa"/>
            <w:tcBorders>
              <w:top w:val="nil"/>
              <w:left w:val="nil"/>
              <w:bottom w:val="nil"/>
              <w:right w:val="nil"/>
            </w:tcBorders>
          </w:tcPr>
          <w:p>
            <w:pPr>
              <w:pStyle w:val="yTableNAm"/>
            </w:pPr>
            <w:r>
              <w:t>Bridgetown</w:t>
            </w:r>
          </w:p>
        </w:tc>
        <w:tc>
          <w:tcPr>
            <w:tcW w:w="1810" w:type="dxa"/>
            <w:tcBorders>
              <w:top w:val="nil"/>
              <w:left w:val="nil"/>
              <w:bottom w:val="nil"/>
              <w:right w:val="nil"/>
            </w:tcBorders>
            <w:vAlign w:val="center"/>
          </w:tcPr>
          <w:p>
            <w:pPr>
              <w:pStyle w:val="yTableNAm"/>
              <w:jc w:val="center"/>
            </w:pPr>
            <w:r>
              <w:t>72.813</w:t>
            </w:r>
          </w:p>
        </w:tc>
        <w:tc>
          <w:tcPr>
            <w:tcW w:w="2268" w:type="dxa"/>
            <w:tcBorders>
              <w:top w:val="nil"/>
              <w:left w:val="nil"/>
              <w:bottom w:val="nil"/>
              <w:right w:val="nil"/>
            </w:tcBorders>
            <w:vAlign w:val="center"/>
          </w:tcPr>
          <w:p>
            <w:pPr>
              <w:pStyle w:val="yTableNAm"/>
              <w:jc w:val="center"/>
            </w:pPr>
            <w:r>
              <w:t>110.389</w:t>
            </w:r>
          </w:p>
        </w:tc>
      </w:tr>
      <w:tr>
        <w:tc>
          <w:tcPr>
            <w:tcW w:w="2159" w:type="dxa"/>
            <w:tcBorders>
              <w:top w:val="nil"/>
              <w:left w:val="nil"/>
              <w:bottom w:val="nil"/>
              <w:right w:val="nil"/>
            </w:tcBorders>
          </w:tcPr>
          <w:p>
            <w:pPr>
              <w:pStyle w:val="yTableNAm"/>
            </w:pPr>
            <w:r>
              <w:t>Broome</w:t>
            </w:r>
          </w:p>
        </w:tc>
        <w:tc>
          <w:tcPr>
            <w:tcW w:w="1810" w:type="dxa"/>
            <w:tcBorders>
              <w:top w:val="nil"/>
              <w:left w:val="nil"/>
              <w:bottom w:val="nil"/>
              <w:right w:val="nil"/>
            </w:tcBorders>
            <w:vAlign w:val="center"/>
          </w:tcPr>
          <w:p>
            <w:pPr>
              <w:pStyle w:val="yTableNAm"/>
              <w:jc w:val="center"/>
            </w:pPr>
            <w:r>
              <w:t>8.892</w:t>
            </w:r>
          </w:p>
        </w:tc>
        <w:tc>
          <w:tcPr>
            <w:tcW w:w="2268" w:type="dxa"/>
            <w:tcBorders>
              <w:top w:val="nil"/>
              <w:left w:val="nil"/>
              <w:bottom w:val="nil"/>
              <w:right w:val="nil"/>
            </w:tcBorders>
            <w:vAlign w:val="center"/>
          </w:tcPr>
          <w:p>
            <w:pPr>
              <w:pStyle w:val="yTableNAm"/>
              <w:jc w:val="center"/>
            </w:pPr>
            <w:r>
              <w:t>7.705</w:t>
            </w:r>
          </w:p>
        </w:tc>
      </w:tr>
      <w:tr>
        <w:tc>
          <w:tcPr>
            <w:tcW w:w="2159" w:type="dxa"/>
            <w:tcBorders>
              <w:top w:val="nil"/>
              <w:left w:val="nil"/>
              <w:bottom w:val="nil"/>
              <w:right w:val="nil"/>
            </w:tcBorders>
          </w:tcPr>
          <w:p>
            <w:pPr>
              <w:pStyle w:val="yTableNAm"/>
            </w:pPr>
            <w:r>
              <w:t>Brunswick</w:t>
            </w:r>
          </w:p>
        </w:tc>
        <w:tc>
          <w:tcPr>
            <w:tcW w:w="1810" w:type="dxa"/>
            <w:tcBorders>
              <w:top w:val="nil"/>
              <w:left w:val="nil"/>
              <w:bottom w:val="nil"/>
              <w:right w:val="nil"/>
            </w:tcBorders>
            <w:vAlign w:val="center"/>
          </w:tcPr>
          <w:p>
            <w:pPr>
              <w:pStyle w:val="yTableNAm"/>
              <w:jc w:val="center"/>
            </w:pPr>
            <w:r>
              <w:t>10.195</w:t>
            </w:r>
          </w:p>
        </w:tc>
        <w:tc>
          <w:tcPr>
            <w:tcW w:w="2268" w:type="dxa"/>
            <w:tcBorders>
              <w:top w:val="nil"/>
              <w:left w:val="nil"/>
              <w:bottom w:val="nil"/>
              <w:right w:val="nil"/>
            </w:tcBorders>
            <w:vAlign w:val="center"/>
          </w:tcPr>
          <w:p>
            <w:pPr>
              <w:pStyle w:val="yTableNAm"/>
              <w:jc w:val="center"/>
            </w:pPr>
            <w:r>
              <w:t>15.504</w:t>
            </w:r>
          </w:p>
        </w:tc>
      </w:tr>
      <w:tr>
        <w:tc>
          <w:tcPr>
            <w:tcW w:w="2159" w:type="dxa"/>
            <w:tcBorders>
              <w:top w:val="nil"/>
              <w:left w:val="nil"/>
              <w:bottom w:val="nil"/>
              <w:right w:val="nil"/>
            </w:tcBorders>
          </w:tcPr>
          <w:p>
            <w:pPr>
              <w:pStyle w:val="yTableNAm"/>
            </w:pPr>
            <w:r>
              <w:t>Bunbury</w:t>
            </w:r>
          </w:p>
        </w:tc>
        <w:tc>
          <w:tcPr>
            <w:tcW w:w="1810" w:type="dxa"/>
            <w:tcBorders>
              <w:top w:val="nil"/>
              <w:left w:val="nil"/>
              <w:bottom w:val="nil"/>
              <w:right w:val="nil"/>
            </w:tcBorders>
            <w:vAlign w:val="center"/>
          </w:tcPr>
          <w:p>
            <w:pPr>
              <w:pStyle w:val="yTableNAm"/>
              <w:jc w:val="center"/>
            </w:pPr>
            <w:r>
              <w:t>8.453</w:t>
            </w:r>
          </w:p>
        </w:tc>
        <w:tc>
          <w:tcPr>
            <w:tcW w:w="2268" w:type="dxa"/>
            <w:tcBorders>
              <w:top w:val="nil"/>
              <w:left w:val="nil"/>
              <w:bottom w:val="nil"/>
              <w:right w:val="nil"/>
            </w:tcBorders>
            <w:vAlign w:val="center"/>
          </w:tcPr>
          <w:p>
            <w:pPr>
              <w:pStyle w:val="yTableNAm"/>
              <w:jc w:val="center"/>
            </w:pPr>
            <w:r>
              <w:t>8.539</w:t>
            </w:r>
          </w:p>
        </w:tc>
      </w:tr>
      <w:tr>
        <w:tc>
          <w:tcPr>
            <w:tcW w:w="2159" w:type="dxa"/>
            <w:tcBorders>
              <w:top w:val="nil"/>
              <w:left w:val="nil"/>
              <w:bottom w:val="nil"/>
              <w:right w:val="nil"/>
            </w:tcBorders>
          </w:tcPr>
          <w:p>
            <w:pPr>
              <w:pStyle w:val="yTableNAm"/>
            </w:pPr>
            <w:r>
              <w:t>Burekup</w:t>
            </w:r>
          </w:p>
        </w:tc>
        <w:tc>
          <w:tcPr>
            <w:tcW w:w="1810" w:type="dxa"/>
            <w:tcBorders>
              <w:top w:val="nil"/>
              <w:left w:val="nil"/>
              <w:bottom w:val="nil"/>
              <w:right w:val="nil"/>
            </w:tcBorders>
            <w:vAlign w:val="center"/>
          </w:tcPr>
          <w:p>
            <w:pPr>
              <w:pStyle w:val="yTableNAm"/>
              <w:jc w:val="center"/>
            </w:pPr>
            <w:r>
              <w:t>8.366</w:t>
            </w:r>
          </w:p>
        </w:tc>
        <w:tc>
          <w:tcPr>
            <w:tcW w:w="2268" w:type="dxa"/>
            <w:tcBorders>
              <w:top w:val="nil"/>
              <w:left w:val="nil"/>
              <w:bottom w:val="nil"/>
              <w:right w:val="nil"/>
            </w:tcBorders>
            <w:vAlign w:val="center"/>
          </w:tcPr>
          <w:p>
            <w:pPr>
              <w:pStyle w:val="yTableNAm"/>
              <w:jc w:val="center"/>
            </w:pPr>
            <w:r>
              <w:t>9.387</w:t>
            </w:r>
          </w:p>
        </w:tc>
      </w:tr>
      <w:tr>
        <w:tc>
          <w:tcPr>
            <w:tcW w:w="2159" w:type="dxa"/>
            <w:tcBorders>
              <w:top w:val="nil"/>
              <w:left w:val="nil"/>
              <w:bottom w:val="nil"/>
              <w:right w:val="nil"/>
            </w:tcBorders>
          </w:tcPr>
          <w:p>
            <w:pPr>
              <w:pStyle w:val="yTableNAm"/>
            </w:pPr>
            <w:r>
              <w:t>Busselton</w:t>
            </w:r>
          </w:p>
        </w:tc>
        <w:tc>
          <w:tcPr>
            <w:tcW w:w="1810" w:type="dxa"/>
            <w:tcBorders>
              <w:top w:val="nil"/>
              <w:left w:val="nil"/>
              <w:bottom w:val="nil"/>
              <w:right w:val="nil"/>
            </w:tcBorders>
            <w:vAlign w:val="center"/>
          </w:tcPr>
          <w:p>
            <w:pPr>
              <w:pStyle w:val="yTableNAm"/>
              <w:jc w:val="center"/>
            </w:pPr>
            <w:r>
              <w:t>5.656</w:t>
            </w:r>
          </w:p>
        </w:tc>
        <w:tc>
          <w:tcPr>
            <w:tcW w:w="2268" w:type="dxa"/>
            <w:tcBorders>
              <w:top w:val="nil"/>
              <w:left w:val="nil"/>
              <w:bottom w:val="nil"/>
              <w:right w:val="nil"/>
            </w:tcBorders>
            <w:vAlign w:val="center"/>
          </w:tcPr>
          <w:p>
            <w:pPr>
              <w:pStyle w:val="yTableNAm"/>
              <w:jc w:val="center"/>
            </w:pPr>
            <w:r>
              <w:t>6.520</w:t>
            </w:r>
          </w:p>
        </w:tc>
      </w:tr>
      <w:tr>
        <w:tc>
          <w:tcPr>
            <w:tcW w:w="2159" w:type="dxa"/>
            <w:tcBorders>
              <w:top w:val="nil"/>
              <w:left w:val="nil"/>
              <w:bottom w:val="nil"/>
              <w:right w:val="nil"/>
            </w:tcBorders>
          </w:tcPr>
          <w:p>
            <w:pPr>
              <w:pStyle w:val="yTableNAm"/>
            </w:pPr>
            <w:r>
              <w:t>Capel</w:t>
            </w:r>
          </w:p>
        </w:tc>
        <w:tc>
          <w:tcPr>
            <w:tcW w:w="1810" w:type="dxa"/>
            <w:tcBorders>
              <w:top w:val="nil"/>
              <w:left w:val="nil"/>
              <w:bottom w:val="nil"/>
              <w:right w:val="nil"/>
            </w:tcBorders>
            <w:vAlign w:val="center"/>
          </w:tcPr>
          <w:p>
            <w:pPr>
              <w:pStyle w:val="yTableNAm"/>
              <w:jc w:val="center"/>
            </w:pPr>
            <w:r>
              <w:t>8.252</w:t>
            </w:r>
          </w:p>
        </w:tc>
        <w:tc>
          <w:tcPr>
            <w:tcW w:w="2268" w:type="dxa"/>
            <w:tcBorders>
              <w:top w:val="nil"/>
              <w:left w:val="nil"/>
              <w:bottom w:val="nil"/>
              <w:right w:val="nil"/>
            </w:tcBorders>
            <w:vAlign w:val="center"/>
          </w:tcPr>
          <w:p>
            <w:pPr>
              <w:pStyle w:val="yTableNAm"/>
              <w:jc w:val="center"/>
            </w:pPr>
            <w:r>
              <w:t>7.820</w:t>
            </w:r>
          </w:p>
        </w:tc>
      </w:tr>
      <w:tr>
        <w:tc>
          <w:tcPr>
            <w:tcW w:w="2159" w:type="dxa"/>
            <w:tcBorders>
              <w:top w:val="nil"/>
              <w:left w:val="nil"/>
              <w:bottom w:val="nil"/>
              <w:right w:val="nil"/>
            </w:tcBorders>
          </w:tcPr>
          <w:p>
            <w:pPr>
              <w:pStyle w:val="yTableNAm"/>
            </w:pPr>
            <w:r>
              <w:t>Carnarvon</w:t>
            </w:r>
          </w:p>
        </w:tc>
        <w:tc>
          <w:tcPr>
            <w:tcW w:w="1810" w:type="dxa"/>
            <w:tcBorders>
              <w:top w:val="nil"/>
              <w:left w:val="nil"/>
              <w:bottom w:val="nil"/>
              <w:right w:val="nil"/>
            </w:tcBorders>
            <w:vAlign w:val="center"/>
          </w:tcPr>
          <w:p>
            <w:pPr>
              <w:pStyle w:val="yTableNAm"/>
              <w:jc w:val="center"/>
            </w:pPr>
            <w:r>
              <w:t>7.724</w:t>
            </w:r>
          </w:p>
        </w:tc>
        <w:tc>
          <w:tcPr>
            <w:tcW w:w="2268" w:type="dxa"/>
            <w:tcBorders>
              <w:top w:val="nil"/>
              <w:left w:val="nil"/>
              <w:bottom w:val="nil"/>
              <w:right w:val="nil"/>
            </w:tcBorders>
            <w:vAlign w:val="center"/>
          </w:tcPr>
          <w:p>
            <w:pPr>
              <w:pStyle w:val="yTableNAm"/>
              <w:jc w:val="center"/>
            </w:pPr>
            <w:r>
              <w:t>11.606</w:t>
            </w:r>
          </w:p>
        </w:tc>
      </w:tr>
      <w:tr>
        <w:tc>
          <w:tcPr>
            <w:tcW w:w="2159" w:type="dxa"/>
            <w:tcBorders>
              <w:top w:val="nil"/>
              <w:left w:val="nil"/>
              <w:bottom w:val="nil"/>
              <w:right w:val="nil"/>
            </w:tcBorders>
          </w:tcPr>
          <w:p>
            <w:pPr>
              <w:pStyle w:val="yTableNAm"/>
            </w:pPr>
            <w:r>
              <w:t>Cervantes</w:t>
            </w:r>
          </w:p>
        </w:tc>
        <w:tc>
          <w:tcPr>
            <w:tcW w:w="1810" w:type="dxa"/>
            <w:tcBorders>
              <w:top w:val="nil"/>
              <w:left w:val="nil"/>
              <w:bottom w:val="nil"/>
              <w:right w:val="nil"/>
            </w:tcBorders>
            <w:vAlign w:val="center"/>
          </w:tcPr>
          <w:p>
            <w:pPr>
              <w:pStyle w:val="yTableNAm"/>
              <w:jc w:val="center"/>
            </w:pPr>
            <w:r>
              <w:t>12.260</w:t>
            </w:r>
          </w:p>
        </w:tc>
        <w:tc>
          <w:tcPr>
            <w:tcW w:w="2268" w:type="dxa"/>
            <w:tcBorders>
              <w:top w:val="nil"/>
              <w:left w:val="nil"/>
              <w:bottom w:val="nil"/>
              <w:right w:val="nil"/>
            </w:tcBorders>
            <w:vAlign w:val="center"/>
          </w:tcPr>
          <w:p>
            <w:pPr>
              <w:pStyle w:val="yTableNAm"/>
              <w:jc w:val="center"/>
            </w:pPr>
            <w:r>
              <w:t>8.345</w:t>
            </w:r>
          </w:p>
        </w:tc>
      </w:tr>
      <w:tr>
        <w:tc>
          <w:tcPr>
            <w:tcW w:w="2159" w:type="dxa"/>
            <w:tcBorders>
              <w:top w:val="nil"/>
              <w:left w:val="nil"/>
              <w:bottom w:val="nil"/>
              <w:right w:val="nil"/>
            </w:tcBorders>
          </w:tcPr>
          <w:p>
            <w:pPr>
              <w:pStyle w:val="yTableNAm"/>
            </w:pPr>
            <w:r>
              <w:t>Collie</w:t>
            </w:r>
          </w:p>
        </w:tc>
        <w:tc>
          <w:tcPr>
            <w:tcW w:w="1810" w:type="dxa"/>
            <w:tcBorders>
              <w:top w:val="nil"/>
              <w:left w:val="nil"/>
              <w:bottom w:val="nil"/>
              <w:right w:val="nil"/>
            </w:tcBorders>
            <w:vAlign w:val="center"/>
          </w:tcPr>
          <w:p>
            <w:pPr>
              <w:pStyle w:val="yTableNAm"/>
              <w:jc w:val="center"/>
            </w:pPr>
            <w:r>
              <w:t>12.735</w:t>
            </w:r>
          </w:p>
        </w:tc>
        <w:tc>
          <w:tcPr>
            <w:tcW w:w="2268" w:type="dxa"/>
            <w:tcBorders>
              <w:top w:val="nil"/>
              <w:left w:val="nil"/>
              <w:bottom w:val="nil"/>
              <w:right w:val="nil"/>
            </w:tcBorders>
            <w:vAlign w:val="center"/>
          </w:tcPr>
          <w:p>
            <w:pPr>
              <w:pStyle w:val="yTableNAm"/>
              <w:jc w:val="center"/>
            </w:pPr>
            <w:r>
              <w:t>20.553</w:t>
            </w:r>
          </w:p>
        </w:tc>
      </w:tr>
      <w:tr>
        <w:tc>
          <w:tcPr>
            <w:tcW w:w="2159" w:type="dxa"/>
            <w:tcBorders>
              <w:top w:val="nil"/>
              <w:left w:val="nil"/>
              <w:bottom w:val="nil"/>
              <w:right w:val="nil"/>
            </w:tcBorders>
          </w:tcPr>
          <w:p>
            <w:pPr>
              <w:pStyle w:val="yTableNAm"/>
            </w:pPr>
            <w:r>
              <w:t>Coral Bay</w:t>
            </w:r>
          </w:p>
        </w:tc>
        <w:tc>
          <w:tcPr>
            <w:tcW w:w="1810" w:type="dxa"/>
            <w:tcBorders>
              <w:top w:val="nil"/>
              <w:left w:val="nil"/>
              <w:bottom w:val="nil"/>
              <w:right w:val="nil"/>
            </w:tcBorders>
            <w:vAlign w:val="center"/>
          </w:tcPr>
          <w:p>
            <w:pPr>
              <w:pStyle w:val="yTableNAm"/>
              <w:jc w:val="center"/>
            </w:pPr>
            <w:r>
              <w:t>446.036</w:t>
            </w:r>
          </w:p>
        </w:tc>
        <w:tc>
          <w:tcPr>
            <w:tcW w:w="2268" w:type="dxa"/>
            <w:tcBorders>
              <w:top w:val="nil"/>
              <w:left w:val="nil"/>
              <w:bottom w:val="nil"/>
              <w:right w:val="nil"/>
            </w:tcBorders>
            <w:vAlign w:val="center"/>
          </w:tcPr>
          <w:p>
            <w:pPr>
              <w:pStyle w:val="yTableNAm"/>
              <w:jc w:val="center"/>
            </w:pPr>
            <w:r>
              <w:t>1027.908</w:t>
            </w:r>
          </w:p>
        </w:tc>
      </w:tr>
      <w:tr>
        <w:tc>
          <w:tcPr>
            <w:tcW w:w="2159" w:type="dxa"/>
            <w:tcBorders>
              <w:top w:val="nil"/>
              <w:left w:val="nil"/>
              <w:bottom w:val="nil"/>
              <w:right w:val="nil"/>
            </w:tcBorders>
          </w:tcPr>
          <w:p>
            <w:pPr>
              <w:pStyle w:val="yTableNAm"/>
            </w:pPr>
            <w:r>
              <w:t>Corrigin</w:t>
            </w:r>
          </w:p>
        </w:tc>
        <w:tc>
          <w:tcPr>
            <w:tcW w:w="1810" w:type="dxa"/>
            <w:tcBorders>
              <w:top w:val="nil"/>
              <w:left w:val="nil"/>
              <w:bottom w:val="nil"/>
              <w:right w:val="nil"/>
            </w:tcBorders>
            <w:vAlign w:val="center"/>
          </w:tcPr>
          <w:p>
            <w:pPr>
              <w:pStyle w:val="yTableNAm"/>
              <w:jc w:val="center"/>
            </w:pPr>
            <w:r>
              <w:t>23.570</w:t>
            </w:r>
          </w:p>
        </w:tc>
        <w:tc>
          <w:tcPr>
            <w:tcW w:w="2268" w:type="dxa"/>
            <w:tcBorders>
              <w:top w:val="nil"/>
              <w:left w:val="nil"/>
              <w:bottom w:val="nil"/>
              <w:right w:val="nil"/>
            </w:tcBorders>
            <w:vAlign w:val="center"/>
          </w:tcPr>
          <w:p>
            <w:pPr>
              <w:pStyle w:val="yTableNAm"/>
              <w:jc w:val="center"/>
            </w:pPr>
            <w:r>
              <w:t>65.679</w:t>
            </w:r>
          </w:p>
        </w:tc>
      </w:tr>
      <w:tr>
        <w:tc>
          <w:tcPr>
            <w:tcW w:w="2159" w:type="dxa"/>
            <w:tcBorders>
              <w:top w:val="nil"/>
              <w:left w:val="nil"/>
              <w:bottom w:val="nil"/>
              <w:right w:val="nil"/>
            </w:tcBorders>
          </w:tcPr>
          <w:p>
            <w:pPr>
              <w:pStyle w:val="yTableNAm"/>
            </w:pPr>
            <w:r>
              <w:t>Cowaramup</w:t>
            </w:r>
          </w:p>
        </w:tc>
        <w:tc>
          <w:tcPr>
            <w:tcW w:w="1810" w:type="dxa"/>
            <w:tcBorders>
              <w:top w:val="nil"/>
              <w:left w:val="nil"/>
              <w:bottom w:val="nil"/>
              <w:right w:val="nil"/>
            </w:tcBorders>
            <w:vAlign w:val="center"/>
          </w:tcPr>
          <w:p>
            <w:pPr>
              <w:pStyle w:val="yTableNAm"/>
              <w:jc w:val="center"/>
            </w:pPr>
            <w:r>
              <w:t>5.751</w:t>
            </w:r>
          </w:p>
        </w:tc>
        <w:tc>
          <w:tcPr>
            <w:tcW w:w="2268" w:type="dxa"/>
            <w:tcBorders>
              <w:top w:val="nil"/>
              <w:left w:val="nil"/>
              <w:bottom w:val="nil"/>
              <w:right w:val="nil"/>
            </w:tcBorders>
            <w:vAlign w:val="center"/>
          </w:tcPr>
          <w:p>
            <w:pPr>
              <w:pStyle w:val="yTableNAm"/>
              <w:jc w:val="center"/>
            </w:pPr>
            <w:r>
              <w:t>10.338</w:t>
            </w:r>
          </w:p>
        </w:tc>
      </w:tr>
      <w:tr>
        <w:tc>
          <w:tcPr>
            <w:tcW w:w="2159" w:type="dxa"/>
            <w:tcBorders>
              <w:top w:val="nil"/>
              <w:left w:val="nil"/>
              <w:bottom w:val="nil"/>
              <w:right w:val="nil"/>
            </w:tcBorders>
          </w:tcPr>
          <w:p>
            <w:pPr>
              <w:pStyle w:val="yTableNAm"/>
            </w:pPr>
            <w:r>
              <w:t>Cranbrook</w:t>
            </w:r>
          </w:p>
        </w:tc>
        <w:tc>
          <w:tcPr>
            <w:tcW w:w="1810" w:type="dxa"/>
            <w:tcBorders>
              <w:top w:val="nil"/>
              <w:left w:val="nil"/>
              <w:bottom w:val="nil"/>
              <w:right w:val="nil"/>
            </w:tcBorders>
            <w:vAlign w:val="center"/>
          </w:tcPr>
          <w:p>
            <w:pPr>
              <w:pStyle w:val="yTableNAm"/>
              <w:jc w:val="center"/>
            </w:pPr>
            <w:r>
              <w:t>15.418</w:t>
            </w:r>
          </w:p>
        </w:tc>
        <w:tc>
          <w:tcPr>
            <w:tcW w:w="2268" w:type="dxa"/>
            <w:tcBorders>
              <w:top w:val="nil"/>
              <w:left w:val="nil"/>
              <w:bottom w:val="nil"/>
              <w:right w:val="nil"/>
            </w:tcBorders>
            <w:vAlign w:val="center"/>
          </w:tcPr>
          <w:p>
            <w:pPr>
              <w:pStyle w:val="yTableNAm"/>
              <w:jc w:val="center"/>
            </w:pPr>
            <w:r>
              <w:t>55.165</w:t>
            </w:r>
          </w:p>
        </w:tc>
      </w:tr>
      <w:tr>
        <w:tc>
          <w:tcPr>
            <w:tcW w:w="2159" w:type="dxa"/>
            <w:tcBorders>
              <w:top w:val="nil"/>
              <w:left w:val="nil"/>
              <w:bottom w:val="nil"/>
              <w:right w:val="nil"/>
            </w:tcBorders>
          </w:tcPr>
          <w:p>
            <w:pPr>
              <w:pStyle w:val="yTableNAm"/>
            </w:pPr>
            <w:r>
              <w:t>Cunderdin</w:t>
            </w:r>
          </w:p>
        </w:tc>
        <w:tc>
          <w:tcPr>
            <w:tcW w:w="1810" w:type="dxa"/>
            <w:tcBorders>
              <w:top w:val="nil"/>
              <w:left w:val="nil"/>
              <w:bottom w:val="nil"/>
              <w:right w:val="nil"/>
            </w:tcBorders>
            <w:vAlign w:val="center"/>
          </w:tcPr>
          <w:p>
            <w:pPr>
              <w:pStyle w:val="yTableNAm"/>
              <w:jc w:val="center"/>
            </w:pPr>
            <w:r>
              <w:t>24.112</w:t>
            </w:r>
          </w:p>
        </w:tc>
        <w:tc>
          <w:tcPr>
            <w:tcW w:w="2268" w:type="dxa"/>
            <w:tcBorders>
              <w:top w:val="nil"/>
              <w:left w:val="nil"/>
              <w:bottom w:val="nil"/>
              <w:right w:val="nil"/>
            </w:tcBorders>
            <w:vAlign w:val="center"/>
          </w:tcPr>
          <w:p>
            <w:pPr>
              <w:pStyle w:val="yTableNAm"/>
              <w:jc w:val="center"/>
            </w:pPr>
            <w:r>
              <w:t>39.424</w:t>
            </w:r>
          </w:p>
        </w:tc>
      </w:tr>
      <w:tr>
        <w:tc>
          <w:tcPr>
            <w:tcW w:w="2159" w:type="dxa"/>
            <w:tcBorders>
              <w:top w:val="nil"/>
              <w:left w:val="nil"/>
              <w:bottom w:val="nil"/>
              <w:right w:val="nil"/>
            </w:tcBorders>
          </w:tcPr>
          <w:p>
            <w:pPr>
              <w:pStyle w:val="yTableNAm"/>
            </w:pPr>
            <w:r>
              <w:t>Dalyellup</w:t>
            </w:r>
          </w:p>
        </w:tc>
        <w:tc>
          <w:tcPr>
            <w:tcW w:w="1810" w:type="dxa"/>
            <w:tcBorders>
              <w:top w:val="nil"/>
              <w:left w:val="nil"/>
              <w:bottom w:val="nil"/>
              <w:right w:val="nil"/>
            </w:tcBorders>
            <w:vAlign w:val="center"/>
          </w:tcPr>
          <w:p>
            <w:pPr>
              <w:pStyle w:val="yTableNAm"/>
              <w:jc w:val="center"/>
            </w:pPr>
            <w:r>
              <w:t>3.536</w:t>
            </w:r>
          </w:p>
        </w:tc>
        <w:tc>
          <w:tcPr>
            <w:tcW w:w="2268" w:type="dxa"/>
            <w:tcBorders>
              <w:top w:val="nil"/>
              <w:left w:val="nil"/>
              <w:bottom w:val="nil"/>
              <w:right w:val="nil"/>
            </w:tcBorders>
            <w:vAlign w:val="center"/>
          </w:tcPr>
          <w:p>
            <w:pPr>
              <w:pStyle w:val="yTableNAm"/>
              <w:jc w:val="center"/>
            </w:pPr>
            <w:r>
              <w:t>3.089</w:t>
            </w:r>
          </w:p>
        </w:tc>
      </w:tr>
      <w:tr>
        <w:tc>
          <w:tcPr>
            <w:tcW w:w="2159" w:type="dxa"/>
            <w:tcBorders>
              <w:top w:val="nil"/>
              <w:left w:val="nil"/>
              <w:bottom w:val="nil"/>
              <w:right w:val="nil"/>
            </w:tcBorders>
          </w:tcPr>
          <w:p>
            <w:pPr>
              <w:pStyle w:val="yTableNAm"/>
            </w:pPr>
            <w:r>
              <w:t>Dardanup</w:t>
            </w:r>
          </w:p>
        </w:tc>
        <w:tc>
          <w:tcPr>
            <w:tcW w:w="1810" w:type="dxa"/>
            <w:tcBorders>
              <w:top w:val="nil"/>
              <w:left w:val="nil"/>
              <w:bottom w:val="nil"/>
              <w:right w:val="nil"/>
            </w:tcBorders>
            <w:vAlign w:val="center"/>
          </w:tcPr>
          <w:p>
            <w:pPr>
              <w:pStyle w:val="yTableNAm"/>
              <w:jc w:val="center"/>
            </w:pPr>
            <w:r>
              <w:t>21.946</w:t>
            </w:r>
          </w:p>
        </w:tc>
        <w:tc>
          <w:tcPr>
            <w:tcW w:w="2268" w:type="dxa"/>
            <w:tcBorders>
              <w:top w:val="nil"/>
              <w:left w:val="nil"/>
              <w:bottom w:val="nil"/>
              <w:right w:val="nil"/>
            </w:tcBorders>
            <w:vAlign w:val="center"/>
          </w:tcPr>
          <w:p>
            <w:pPr>
              <w:pStyle w:val="yTableNAm"/>
              <w:jc w:val="center"/>
            </w:pPr>
            <w:r>
              <w:t>20.446</w:t>
            </w:r>
          </w:p>
        </w:tc>
      </w:tr>
      <w:tr>
        <w:tc>
          <w:tcPr>
            <w:tcW w:w="2159" w:type="dxa"/>
            <w:tcBorders>
              <w:top w:val="nil"/>
              <w:left w:val="nil"/>
              <w:bottom w:val="nil"/>
              <w:right w:val="nil"/>
            </w:tcBorders>
          </w:tcPr>
          <w:p>
            <w:pPr>
              <w:pStyle w:val="yTableNAm"/>
            </w:pPr>
            <w:r>
              <w:t>Denham</w:t>
            </w:r>
          </w:p>
        </w:tc>
        <w:tc>
          <w:tcPr>
            <w:tcW w:w="1810" w:type="dxa"/>
            <w:tcBorders>
              <w:top w:val="nil"/>
              <w:left w:val="nil"/>
              <w:bottom w:val="nil"/>
              <w:right w:val="nil"/>
            </w:tcBorders>
            <w:vAlign w:val="center"/>
          </w:tcPr>
          <w:p>
            <w:pPr>
              <w:pStyle w:val="yTableNAm"/>
              <w:jc w:val="center"/>
            </w:pPr>
            <w:r>
              <w:t>9.750</w:t>
            </w:r>
          </w:p>
        </w:tc>
        <w:tc>
          <w:tcPr>
            <w:tcW w:w="2268" w:type="dxa"/>
            <w:tcBorders>
              <w:top w:val="nil"/>
              <w:left w:val="nil"/>
              <w:bottom w:val="nil"/>
              <w:right w:val="nil"/>
            </w:tcBorders>
            <w:vAlign w:val="center"/>
          </w:tcPr>
          <w:p>
            <w:pPr>
              <w:pStyle w:val="yTableNAm"/>
              <w:jc w:val="center"/>
            </w:pPr>
            <w:r>
              <w:t>14.948</w:t>
            </w:r>
          </w:p>
        </w:tc>
      </w:tr>
      <w:tr>
        <w:tc>
          <w:tcPr>
            <w:tcW w:w="2159" w:type="dxa"/>
            <w:tcBorders>
              <w:top w:val="nil"/>
              <w:left w:val="nil"/>
              <w:bottom w:val="nil"/>
              <w:right w:val="nil"/>
            </w:tcBorders>
          </w:tcPr>
          <w:p>
            <w:pPr>
              <w:pStyle w:val="yTableNAm"/>
            </w:pPr>
            <w:r>
              <w:t>Denmark</w:t>
            </w:r>
          </w:p>
        </w:tc>
        <w:tc>
          <w:tcPr>
            <w:tcW w:w="1810" w:type="dxa"/>
            <w:tcBorders>
              <w:top w:val="nil"/>
              <w:left w:val="nil"/>
              <w:bottom w:val="nil"/>
              <w:right w:val="nil"/>
            </w:tcBorders>
            <w:vAlign w:val="center"/>
          </w:tcPr>
          <w:p>
            <w:pPr>
              <w:pStyle w:val="yTableNAm"/>
              <w:jc w:val="center"/>
            </w:pPr>
            <w:r>
              <w:t>24.183</w:t>
            </w:r>
          </w:p>
        </w:tc>
        <w:tc>
          <w:tcPr>
            <w:tcW w:w="2268" w:type="dxa"/>
            <w:tcBorders>
              <w:top w:val="nil"/>
              <w:left w:val="nil"/>
              <w:bottom w:val="nil"/>
              <w:right w:val="nil"/>
            </w:tcBorders>
            <w:vAlign w:val="center"/>
          </w:tcPr>
          <w:p>
            <w:pPr>
              <w:pStyle w:val="yTableNAm"/>
              <w:jc w:val="center"/>
            </w:pPr>
            <w:r>
              <w:t>29.740</w:t>
            </w:r>
          </w:p>
        </w:tc>
      </w:tr>
      <w:tr>
        <w:tc>
          <w:tcPr>
            <w:tcW w:w="2159" w:type="dxa"/>
            <w:tcBorders>
              <w:top w:val="nil"/>
              <w:left w:val="nil"/>
              <w:bottom w:val="nil"/>
              <w:right w:val="nil"/>
            </w:tcBorders>
          </w:tcPr>
          <w:p>
            <w:pPr>
              <w:pStyle w:val="yTableNAm"/>
            </w:pPr>
            <w:r>
              <w:t>Derby</w:t>
            </w:r>
          </w:p>
        </w:tc>
        <w:tc>
          <w:tcPr>
            <w:tcW w:w="1810" w:type="dxa"/>
            <w:tcBorders>
              <w:top w:val="nil"/>
              <w:left w:val="nil"/>
              <w:bottom w:val="nil"/>
              <w:right w:val="nil"/>
            </w:tcBorders>
            <w:vAlign w:val="center"/>
          </w:tcPr>
          <w:p>
            <w:pPr>
              <w:pStyle w:val="yTableNAm"/>
              <w:jc w:val="center"/>
            </w:pPr>
            <w:r>
              <w:t>10.008</w:t>
            </w:r>
          </w:p>
        </w:tc>
        <w:tc>
          <w:tcPr>
            <w:tcW w:w="2268" w:type="dxa"/>
            <w:tcBorders>
              <w:top w:val="nil"/>
              <w:left w:val="nil"/>
              <w:bottom w:val="nil"/>
              <w:right w:val="nil"/>
            </w:tcBorders>
            <w:vAlign w:val="center"/>
          </w:tcPr>
          <w:p>
            <w:pPr>
              <w:pStyle w:val="yTableNAm"/>
              <w:jc w:val="center"/>
            </w:pPr>
            <w:r>
              <w:t>11.314</w:t>
            </w:r>
          </w:p>
        </w:tc>
      </w:tr>
      <w:tr>
        <w:tc>
          <w:tcPr>
            <w:tcW w:w="2159" w:type="dxa"/>
            <w:tcBorders>
              <w:top w:val="nil"/>
              <w:left w:val="nil"/>
              <w:bottom w:val="nil"/>
              <w:right w:val="nil"/>
            </w:tcBorders>
          </w:tcPr>
          <w:p>
            <w:pPr>
              <w:pStyle w:val="yTableNAm"/>
            </w:pPr>
            <w:r>
              <w:t>Dongara/Denison</w:t>
            </w:r>
          </w:p>
        </w:tc>
        <w:tc>
          <w:tcPr>
            <w:tcW w:w="1810" w:type="dxa"/>
            <w:tcBorders>
              <w:top w:val="nil"/>
              <w:left w:val="nil"/>
              <w:bottom w:val="nil"/>
              <w:right w:val="nil"/>
            </w:tcBorders>
            <w:vAlign w:val="center"/>
          </w:tcPr>
          <w:p>
            <w:pPr>
              <w:pStyle w:val="yTableNAm"/>
              <w:jc w:val="center"/>
            </w:pPr>
            <w:r>
              <w:t>12.271</w:t>
            </w:r>
          </w:p>
        </w:tc>
        <w:tc>
          <w:tcPr>
            <w:tcW w:w="2268" w:type="dxa"/>
            <w:tcBorders>
              <w:top w:val="nil"/>
              <w:left w:val="nil"/>
              <w:bottom w:val="nil"/>
              <w:right w:val="nil"/>
            </w:tcBorders>
            <w:vAlign w:val="center"/>
          </w:tcPr>
          <w:p>
            <w:pPr>
              <w:pStyle w:val="yTableNAm"/>
              <w:jc w:val="center"/>
            </w:pPr>
            <w:r>
              <w:t>12.471</w:t>
            </w:r>
          </w:p>
        </w:tc>
      </w:tr>
      <w:tr>
        <w:tc>
          <w:tcPr>
            <w:tcW w:w="2159" w:type="dxa"/>
            <w:tcBorders>
              <w:top w:val="nil"/>
              <w:left w:val="nil"/>
              <w:bottom w:val="nil"/>
              <w:right w:val="nil"/>
            </w:tcBorders>
          </w:tcPr>
          <w:p>
            <w:pPr>
              <w:pStyle w:val="yTableNAm"/>
            </w:pPr>
            <w:r>
              <w:t>Donnybrook</w:t>
            </w:r>
          </w:p>
        </w:tc>
        <w:tc>
          <w:tcPr>
            <w:tcW w:w="1810" w:type="dxa"/>
            <w:tcBorders>
              <w:top w:val="nil"/>
              <w:left w:val="nil"/>
              <w:bottom w:val="nil"/>
              <w:right w:val="nil"/>
            </w:tcBorders>
            <w:vAlign w:val="center"/>
          </w:tcPr>
          <w:p>
            <w:pPr>
              <w:pStyle w:val="yTableNAm"/>
              <w:jc w:val="center"/>
            </w:pPr>
            <w:r>
              <w:t>30.273</w:t>
            </w:r>
          </w:p>
        </w:tc>
        <w:tc>
          <w:tcPr>
            <w:tcW w:w="2268" w:type="dxa"/>
            <w:tcBorders>
              <w:top w:val="nil"/>
              <w:left w:val="nil"/>
              <w:bottom w:val="nil"/>
              <w:right w:val="nil"/>
            </w:tcBorders>
            <w:vAlign w:val="center"/>
          </w:tcPr>
          <w:p>
            <w:pPr>
              <w:pStyle w:val="yTableNAm"/>
              <w:jc w:val="center"/>
            </w:pPr>
            <w:r>
              <w:t>45.065</w:t>
            </w:r>
          </w:p>
        </w:tc>
      </w:tr>
      <w:tr>
        <w:tc>
          <w:tcPr>
            <w:tcW w:w="2159" w:type="dxa"/>
            <w:tcBorders>
              <w:top w:val="nil"/>
              <w:left w:val="nil"/>
              <w:bottom w:val="nil"/>
              <w:right w:val="nil"/>
            </w:tcBorders>
          </w:tcPr>
          <w:p>
            <w:pPr>
              <w:pStyle w:val="yTableNAm"/>
            </w:pPr>
            <w:r>
              <w:t>Dunsborough</w:t>
            </w:r>
          </w:p>
        </w:tc>
        <w:tc>
          <w:tcPr>
            <w:tcW w:w="1810" w:type="dxa"/>
            <w:tcBorders>
              <w:top w:val="nil"/>
              <w:left w:val="nil"/>
              <w:bottom w:val="nil"/>
              <w:right w:val="nil"/>
            </w:tcBorders>
            <w:vAlign w:val="center"/>
          </w:tcPr>
          <w:p>
            <w:pPr>
              <w:pStyle w:val="yTableNAm"/>
              <w:jc w:val="center"/>
            </w:pPr>
            <w:r>
              <w:t>6.621</w:t>
            </w:r>
          </w:p>
        </w:tc>
        <w:tc>
          <w:tcPr>
            <w:tcW w:w="2268" w:type="dxa"/>
            <w:tcBorders>
              <w:top w:val="nil"/>
              <w:left w:val="nil"/>
              <w:bottom w:val="nil"/>
              <w:right w:val="nil"/>
            </w:tcBorders>
            <w:vAlign w:val="center"/>
          </w:tcPr>
          <w:p>
            <w:pPr>
              <w:pStyle w:val="yTableNAm"/>
              <w:jc w:val="center"/>
            </w:pPr>
            <w:r>
              <w:t>5.881</w:t>
            </w:r>
          </w:p>
        </w:tc>
      </w:tr>
      <w:tr>
        <w:tc>
          <w:tcPr>
            <w:tcW w:w="2159" w:type="dxa"/>
            <w:tcBorders>
              <w:top w:val="nil"/>
              <w:left w:val="nil"/>
              <w:bottom w:val="nil"/>
              <w:right w:val="nil"/>
            </w:tcBorders>
          </w:tcPr>
          <w:p>
            <w:pPr>
              <w:pStyle w:val="yTableNAm"/>
            </w:pPr>
            <w:r>
              <w:t>Eaton</w:t>
            </w:r>
          </w:p>
        </w:tc>
        <w:tc>
          <w:tcPr>
            <w:tcW w:w="1810" w:type="dxa"/>
            <w:tcBorders>
              <w:top w:val="nil"/>
              <w:left w:val="nil"/>
              <w:bottom w:val="nil"/>
              <w:right w:val="nil"/>
            </w:tcBorders>
            <w:vAlign w:val="center"/>
          </w:tcPr>
          <w:p>
            <w:pPr>
              <w:pStyle w:val="yTableNAm"/>
              <w:jc w:val="center"/>
            </w:pPr>
            <w:r>
              <w:t>7.241</w:t>
            </w:r>
          </w:p>
        </w:tc>
        <w:tc>
          <w:tcPr>
            <w:tcW w:w="2268" w:type="dxa"/>
            <w:tcBorders>
              <w:top w:val="nil"/>
              <w:left w:val="nil"/>
              <w:bottom w:val="nil"/>
              <w:right w:val="nil"/>
            </w:tcBorders>
            <w:vAlign w:val="center"/>
          </w:tcPr>
          <w:p>
            <w:pPr>
              <w:pStyle w:val="yTableNAm"/>
              <w:jc w:val="center"/>
            </w:pPr>
            <w:r>
              <w:t>7.187</w:t>
            </w:r>
          </w:p>
        </w:tc>
      </w:tr>
      <w:tr>
        <w:tc>
          <w:tcPr>
            <w:tcW w:w="2159" w:type="dxa"/>
            <w:tcBorders>
              <w:top w:val="nil"/>
              <w:left w:val="nil"/>
              <w:bottom w:val="nil"/>
              <w:right w:val="nil"/>
            </w:tcBorders>
          </w:tcPr>
          <w:p>
            <w:pPr>
              <w:pStyle w:val="yTableNAm"/>
            </w:pPr>
            <w:r>
              <w:t>Eneabba</w:t>
            </w:r>
          </w:p>
        </w:tc>
        <w:tc>
          <w:tcPr>
            <w:tcW w:w="1810" w:type="dxa"/>
            <w:tcBorders>
              <w:top w:val="nil"/>
              <w:left w:val="nil"/>
              <w:bottom w:val="nil"/>
              <w:right w:val="nil"/>
            </w:tcBorders>
            <w:vAlign w:val="center"/>
          </w:tcPr>
          <w:p>
            <w:pPr>
              <w:pStyle w:val="yTableNAm"/>
              <w:jc w:val="center"/>
            </w:pPr>
            <w:r>
              <w:t>26.871</w:t>
            </w:r>
          </w:p>
        </w:tc>
        <w:tc>
          <w:tcPr>
            <w:tcW w:w="2268" w:type="dxa"/>
            <w:tcBorders>
              <w:top w:val="nil"/>
              <w:left w:val="nil"/>
              <w:bottom w:val="nil"/>
              <w:right w:val="nil"/>
            </w:tcBorders>
            <w:vAlign w:val="center"/>
          </w:tcPr>
          <w:p>
            <w:pPr>
              <w:pStyle w:val="yTableNAm"/>
              <w:jc w:val="center"/>
            </w:pPr>
            <w:r>
              <w:t>58.477</w:t>
            </w:r>
          </w:p>
        </w:tc>
      </w:tr>
      <w:tr>
        <w:tc>
          <w:tcPr>
            <w:tcW w:w="2159" w:type="dxa"/>
            <w:tcBorders>
              <w:top w:val="nil"/>
              <w:left w:val="nil"/>
              <w:bottom w:val="nil"/>
              <w:right w:val="nil"/>
            </w:tcBorders>
          </w:tcPr>
          <w:p>
            <w:pPr>
              <w:pStyle w:val="yTableNAm"/>
            </w:pPr>
            <w:r>
              <w:t>Esperance</w:t>
            </w:r>
          </w:p>
        </w:tc>
        <w:tc>
          <w:tcPr>
            <w:tcW w:w="1810" w:type="dxa"/>
            <w:tcBorders>
              <w:top w:val="nil"/>
              <w:left w:val="nil"/>
              <w:bottom w:val="nil"/>
              <w:right w:val="nil"/>
            </w:tcBorders>
            <w:vAlign w:val="center"/>
          </w:tcPr>
          <w:p>
            <w:pPr>
              <w:pStyle w:val="yTableNAm"/>
              <w:jc w:val="center"/>
            </w:pPr>
            <w:r>
              <w:t>7.944</w:t>
            </w:r>
          </w:p>
        </w:tc>
        <w:tc>
          <w:tcPr>
            <w:tcW w:w="2268" w:type="dxa"/>
            <w:tcBorders>
              <w:top w:val="nil"/>
              <w:left w:val="nil"/>
              <w:bottom w:val="nil"/>
              <w:right w:val="nil"/>
            </w:tcBorders>
            <w:vAlign w:val="center"/>
          </w:tcPr>
          <w:p>
            <w:pPr>
              <w:pStyle w:val="yTableNAm"/>
              <w:jc w:val="center"/>
            </w:pPr>
            <w:r>
              <w:t>11.336</w:t>
            </w:r>
          </w:p>
        </w:tc>
      </w:tr>
      <w:tr>
        <w:tc>
          <w:tcPr>
            <w:tcW w:w="2159" w:type="dxa"/>
            <w:tcBorders>
              <w:top w:val="nil"/>
              <w:left w:val="nil"/>
              <w:bottom w:val="nil"/>
              <w:right w:val="nil"/>
            </w:tcBorders>
          </w:tcPr>
          <w:p>
            <w:pPr>
              <w:pStyle w:val="yTableNAm"/>
            </w:pPr>
            <w:r>
              <w:t>Exmouth</w:t>
            </w:r>
          </w:p>
        </w:tc>
        <w:tc>
          <w:tcPr>
            <w:tcW w:w="1810" w:type="dxa"/>
            <w:tcBorders>
              <w:top w:val="nil"/>
              <w:left w:val="nil"/>
              <w:bottom w:val="nil"/>
              <w:right w:val="nil"/>
            </w:tcBorders>
            <w:vAlign w:val="center"/>
          </w:tcPr>
          <w:p>
            <w:pPr>
              <w:pStyle w:val="yTableNAm"/>
              <w:jc w:val="center"/>
            </w:pPr>
            <w:r>
              <w:t>2.641</w:t>
            </w:r>
          </w:p>
        </w:tc>
        <w:tc>
          <w:tcPr>
            <w:tcW w:w="2268" w:type="dxa"/>
            <w:tcBorders>
              <w:top w:val="nil"/>
              <w:left w:val="nil"/>
              <w:bottom w:val="nil"/>
              <w:right w:val="nil"/>
            </w:tcBorders>
            <w:vAlign w:val="center"/>
          </w:tcPr>
          <w:p>
            <w:pPr>
              <w:pStyle w:val="yTableNAm"/>
              <w:jc w:val="center"/>
            </w:pPr>
            <w:r>
              <w:t>3.103</w:t>
            </w:r>
          </w:p>
        </w:tc>
      </w:tr>
      <w:tr>
        <w:tc>
          <w:tcPr>
            <w:tcW w:w="2159" w:type="dxa"/>
            <w:tcBorders>
              <w:top w:val="nil"/>
              <w:left w:val="nil"/>
              <w:bottom w:val="nil"/>
              <w:right w:val="nil"/>
            </w:tcBorders>
          </w:tcPr>
          <w:p>
            <w:pPr>
              <w:pStyle w:val="yTableNAm"/>
            </w:pPr>
            <w:r>
              <w:t>Fitzroy Crossing</w:t>
            </w:r>
          </w:p>
        </w:tc>
        <w:tc>
          <w:tcPr>
            <w:tcW w:w="1810" w:type="dxa"/>
            <w:tcBorders>
              <w:top w:val="nil"/>
              <w:left w:val="nil"/>
              <w:bottom w:val="nil"/>
              <w:right w:val="nil"/>
            </w:tcBorders>
            <w:vAlign w:val="center"/>
          </w:tcPr>
          <w:p>
            <w:pPr>
              <w:pStyle w:val="yTableNAm"/>
              <w:jc w:val="center"/>
            </w:pPr>
            <w:r>
              <w:t>7.247</w:t>
            </w:r>
          </w:p>
        </w:tc>
        <w:tc>
          <w:tcPr>
            <w:tcW w:w="2268" w:type="dxa"/>
            <w:tcBorders>
              <w:top w:val="nil"/>
              <w:left w:val="nil"/>
              <w:bottom w:val="nil"/>
              <w:right w:val="nil"/>
            </w:tcBorders>
            <w:vAlign w:val="center"/>
          </w:tcPr>
          <w:p>
            <w:pPr>
              <w:pStyle w:val="yTableNAm"/>
              <w:jc w:val="center"/>
            </w:pPr>
            <w:r>
              <w:t>13.104</w:t>
            </w:r>
          </w:p>
        </w:tc>
      </w:tr>
      <w:tr>
        <w:tc>
          <w:tcPr>
            <w:tcW w:w="2159" w:type="dxa"/>
            <w:tcBorders>
              <w:top w:val="nil"/>
              <w:left w:val="nil"/>
              <w:bottom w:val="nil"/>
              <w:right w:val="nil"/>
            </w:tcBorders>
          </w:tcPr>
          <w:p>
            <w:pPr>
              <w:pStyle w:val="yTableNAm"/>
            </w:pPr>
            <w:r>
              <w:t>Geraldton</w:t>
            </w:r>
          </w:p>
        </w:tc>
        <w:tc>
          <w:tcPr>
            <w:tcW w:w="1810" w:type="dxa"/>
            <w:tcBorders>
              <w:top w:val="nil"/>
              <w:left w:val="nil"/>
              <w:bottom w:val="nil"/>
              <w:right w:val="nil"/>
            </w:tcBorders>
            <w:vAlign w:val="center"/>
          </w:tcPr>
          <w:p>
            <w:pPr>
              <w:pStyle w:val="yTableNAm"/>
              <w:jc w:val="center"/>
            </w:pPr>
            <w:r>
              <w:t>7.430</w:t>
            </w:r>
          </w:p>
        </w:tc>
        <w:tc>
          <w:tcPr>
            <w:tcW w:w="2268" w:type="dxa"/>
            <w:tcBorders>
              <w:top w:val="nil"/>
              <w:left w:val="nil"/>
              <w:bottom w:val="nil"/>
              <w:right w:val="nil"/>
            </w:tcBorders>
            <w:vAlign w:val="center"/>
          </w:tcPr>
          <w:p>
            <w:pPr>
              <w:pStyle w:val="yTableNAm"/>
              <w:jc w:val="center"/>
            </w:pPr>
            <w:r>
              <w:t>7.397</w:t>
            </w:r>
          </w:p>
        </w:tc>
      </w:tr>
      <w:tr>
        <w:tc>
          <w:tcPr>
            <w:tcW w:w="2159" w:type="dxa"/>
            <w:tcBorders>
              <w:top w:val="nil"/>
              <w:left w:val="nil"/>
              <w:bottom w:val="nil"/>
              <w:right w:val="nil"/>
            </w:tcBorders>
          </w:tcPr>
          <w:p>
            <w:pPr>
              <w:pStyle w:val="yTableNAm"/>
            </w:pPr>
            <w:r>
              <w:t>Gnowangerup</w:t>
            </w:r>
          </w:p>
        </w:tc>
        <w:tc>
          <w:tcPr>
            <w:tcW w:w="1810" w:type="dxa"/>
            <w:tcBorders>
              <w:top w:val="nil"/>
              <w:left w:val="nil"/>
              <w:bottom w:val="nil"/>
              <w:right w:val="nil"/>
            </w:tcBorders>
            <w:vAlign w:val="center"/>
          </w:tcPr>
          <w:p>
            <w:pPr>
              <w:pStyle w:val="yTableNAm"/>
              <w:jc w:val="center"/>
            </w:pPr>
            <w:r>
              <w:t>15.259</w:t>
            </w:r>
          </w:p>
        </w:tc>
        <w:tc>
          <w:tcPr>
            <w:tcW w:w="2268" w:type="dxa"/>
            <w:tcBorders>
              <w:top w:val="nil"/>
              <w:left w:val="nil"/>
              <w:bottom w:val="nil"/>
              <w:right w:val="nil"/>
            </w:tcBorders>
            <w:vAlign w:val="center"/>
          </w:tcPr>
          <w:p>
            <w:pPr>
              <w:pStyle w:val="yTableNAm"/>
              <w:jc w:val="center"/>
            </w:pPr>
            <w:r>
              <w:t>50.479</w:t>
            </w:r>
          </w:p>
        </w:tc>
      </w:tr>
      <w:tr>
        <w:tc>
          <w:tcPr>
            <w:tcW w:w="2159" w:type="dxa"/>
            <w:tcBorders>
              <w:top w:val="nil"/>
              <w:left w:val="nil"/>
              <w:bottom w:val="nil"/>
              <w:right w:val="nil"/>
            </w:tcBorders>
          </w:tcPr>
          <w:p>
            <w:pPr>
              <w:pStyle w:val="yTableNAm"/>
            </w:pPr>
            <w:r>
              <w:t>Greenhead</w:t>
            </w:r>
          </w:p>
        </w:tc>
        <w:tc>
          <w:tcPr>
            <w:tcW w:w="1810" w:type="dxa"/>
            <w:tcBorders>
              <w:top w:val="nil"/>
              <w:left w:val="nil"/>
              <w:bottom w:val="nil"/>
              <w:right w:val="nil"/>
            </w:tcBorders>
            <w:vAlign w:val="center"/>
          </w:tcPr>
          <w:p>
            <w:pPr>
              <w:pStyle w:val="yTableNAm"/>
              <w:jc w:val="center"/>
            </w:pPr>
            <w:r>
              <w:t>7.913</w:t>
            </w:r>
          </w:p>
        </w:tc>
        <w:tc>
          <w:tcPr>
            <w:tcW w:w="2268" w:type="dxa"/>
            <w:tcBorders>
              <w:top w:val="nil"/>
              <w:left w:val="nil"/>
              <w:bottom w:val="nil"/>
              <w:right w:val="nil"/>
            </w:tcBorders>
            <w:vAlign w:val="center"/>
          </w:tcPr>
          <w:p>
            <w:pPr>
              <w:pStyle w:val="yTableNAm"/>
              <w:jc w:val="center"/>
            </w:pPr>
            <w:r>
              <w:t>9.881</w:t>
            </w:r>
          </w:p>
        </w:tc>
      </w:tr>
      <w:tr>
        <w:tc>
          <w:tcPr>
            <w:tcW w:w="2159" w:type="dxa"/>
            <w:tcBorders>
              <w:top w:val="nil"/>
              <w:left w:val="nil"/>
              <w:bottom w:val="nil"/>
              <w:right w:val="nil"/>
            </w:tcBorders>
          </w:tcPr>
          <w:p>
            <w:pPr>
              <w:pStyle w:val="yTableNAm"/>
            </w:pPr>
            <w:r>
              <w:t>Halls Creek</w:t>
            </w:r>
          </w:p>
        </w:tc>
        <w:tc>
          <w:tcPr>
            <w:tcW w:w="1810" w:type="dxa"/>
            <w:tcBorders>
              <w:top w:val="nil"/>
              <w:left w:val="nil"/>
              <w:bottom w:val="nil"/>
              <w:right w:val="nil"/>
            </w:tcBorders>
            <w:vAlign w:val="center"/>
          </w:tcPr>
          <w:p>
            <w:pPr>
              <w:pStyle w:val="yTableNAm"/>
              <w:jc w:val="center"/>
            </w:pPr>
            <w:r>
              <w:t>12.039</w:t>
            </w:r>
          </w:p>
        </w:tc>
        <w:tc>
          <w:tcPr>
            <w:tcW w:w="2268" w:type="dxa"/>
            <w:tcBorders>
              <w:top w:val="nil"/>
              <w:left w:val="nil"/>
              <w:bottom w:val="nil"/>
              <w:right w:val="nil"/>
            </w:tcBorders>
            <w:vAlign w:val="center"/>
          </w:tcPr>
          <w:p>
            <w:pPr>
              <w:pStyle w:val="yTableNAm"/>
              <w:jc w:val="center"/>
            </w:pPr>
            <w:r>
              <w:t>41.955</w:t>
            </w:r>
          </w:p>
        </w:tc>
      </w:tr>
      <w:tr>
        <w:tc>
          <w:tcPr>
            <w:tcW w:w="2159" w:type="dxa"/>
            <w:tcBorders>
              <w:top w:val="nil"/>
              <w:left w:val="nil"/>
              <w:bottom w:val="nil"/>
              <w:right w:val="nil"/>
            </w:tcBorders>
          </w:tcPr>
          <w:p>
            <w:pPr>
              <w:pStyle w:val="yTableNAm"/>
            </w:pPr>
            <w:r>
              <w:t>Harvey</w:t>
            </w:r>
          </w:p>
        </w:tc>
        <w:tc>
          <w:tcPr>
            <w:tcW w:w="1810" w:type="dxa"/>
            <w:tcBorders>
              <w:top w:val="nil"/>
              <w:left w:val="nil"/>
              <w:bottom w:val="nil"/>
              <w:right w:val="nil"/>
            </w:tcBorders>
            <w:vAlign w:val="center"/>
          </w:tcPr>
          <w:p>
            <w:pPr>
              <w:pStyle w:val="yTableNAm"/>
              <w:jc w:val="center"/>
            </w:pPr>
            <w:r>
              <w:t>10.140</w:t>
            </w:r>
          </w:p>
        </w:tc>
        <w:tc>
          <w:tcPr>
            <w:tcW w:w="2268" w:type="dxa"/>
            <w:tcBorders>
              <w:top w:val="nil"/>
              <w:left w:val="nil"/>
              <w:bottom w:val="nil"/>
              <w:right w:val="nil"/>
            </w:tcBorders>
            <w:vAlign w:val="center"/>
          </w:tcPr>
          <w:p>
            <w:pPr>
              <w:pStyle w:val="yTableNAm"/>
              <w:jc w:val="center"/>
            </w:pPr>
            <w:r>
              <w:t>14.410</w:t>
            </w:r>
          </w:p>
        </w:tc>
      </w:tr>
      <w:tr>
        <w:tc>
          <w:tcPr>
            <w:tcW w:w="2159" w:type="dxa"/>
            <w:tcBorders>
              <w:top w:val="nil"/>
              <w:left w:val="nil"/>
              <w:bottom w:val="nil"/>
              <w:right w:val="nil"/>
            </w:tcBorders>
          </w:tcPr>
          <w:p>
            <w:pPr>
              <w:pStyle w:val="yTableNAm"/>
            </w:pPr>
            <w:r>
              <w:t>Hopetoun</w:t>
            </w:r>
          </w:p>
        </w:tc>
        <w:tc>
          <w:tcPr>
            <w:tcW w:w="1810" w:type="dxa"/>
            <w:tcBorders>
              <w:top w:val="nil"/>
              <w:left w:val="nil"/>
              <w:bottom w:val="nil"/>
              <w:right w:val="nil"/>
            </w:tcBorders>
            <w:vAlign w:val="center"/>
          </w:tcPr>
          <w:p>
            <w:pPr>
              <w:pStyle w:val="yTableNAm"/>
              <w:jc w:val="center"/>
            </w:pPr>
            <w:r>
              <w:t>44.627</w:t>
            </w:r>
          </w:p>
        </w:tc>
        <w:tc>
          <w:tcPr>
            <w:tcW w:w="2268" w:type="dxa"/>
            <w:tcBorders>
              <w:top w:val="nil"/>
              <w:left w:val="nil"/>
              <w:bottom w:val="nil"/>
              <w:right w:val="nil"/>
            </w:tcBorders>
            <w:vAlign w:val="center"/>
          </w:tcPr>
          <w:p>
            <w:pPr>
              <w:pStyle w:val="yTableNAm"/>
              <w:jc w:val="center"/>
            </w:pPr>
            <w:r>
              <w:t>72.573</w:t>
            </w:r>
          </w:p>
        </w:tc>
      </w:tr>
      <w:tr>
        <w:tc>
          <w:tcPr>
            <w:tcW w:w="2159" w:type="dxa"/>
            <w:tcBorders>
              <w:top w:val="nil"/>
              <w:left w:val="nil"/>
              <w:bottom w:val="nil"/>
              <w:right w:val="nil"/>
            </w:tcBorders>
          </w:tcPr>
          <w:p>
            <w:pPr>
              <w:pStyle w:val="yTableNAm"/>
            </w:pPr>
            <w:r>
              <w:t>Horrocks</w:t>
            </w:r>
          </w:p>
        </w:tc>
        <w:tc>
          <w:tcPr>
            <w:tcW w:w="1810" w:type="dxa"/>
            <w:tcBorders>
              <w:top w:val="nil"/>
              <w:left w:val="nil"/>
              <w:bottom w:val="nil"/>
              <w:right w:val="nil"/>
            </w:tcBorders>
            <w:vAlign w:val="center"/>
          </w:tcPr>
          <w:p>
            <w:pPr>
              <w:pStyle w:val="yTableNAm"/>
              <w:jc w:val="center"/>
            </w:pPr>
            <w:r>
              <w:t>25.599</w:t>
            </w:r>
          </w:p>
        </w:tc>
        <w:tc>
          <w:tcPr>
            <w:tcW w:w="2268" w:type="dxa"/>
            <w:tcBorders>
              <w:top w:val="nil"/>
              <w:left w:val="nil"/>
              <w:bottom w:val="nil"/>
              <w:right w:val="nil"/>
            </w:tcBorders>
            <w:vAlign w:val="center"/>
          </w:tcPr>
          <w:p>
            <w:pPr>
              <w:pStyle w:val="yTableNAm"/>
              <w:jc w:val="center"/>
            </w:pPr>
            <w:r>
              <w:t>18.485</w:t>
            </w:r>
          </w:p>
        </w:tc>
      </w:tr>
      <w:tr>
        <w:tc>
          <w:tcPr>
            <w:tcW w:w="2159" w:type="dxa"/>
            <w:tcBorders>
              <w:top w:val="nil"/>
              <w:left w:val="nil"/>
              <w:bottom w:val="nil"/>
              <w:right w:val="nil"/>
            </w:tcBorders>
          </w:tcPr>
          <w:p>
            <w:pPr>
              <w:pStyle w:val="yTableNAm"/>
            </w:pPr>
            <w:r>
              <w:t>Hyden</w:t>
            </w:r>
          </w:p>
        </w:tc>
        <w:tc>
          <w:tcPr>
            <w:tcW w:w="1810" w:type="dxa"/>
            <w:tcBorders>
              <w:top w:val="nil"/>
              <w:left w:val="nil"/>
              <w:bottom w:val="nil"/>
              <w:right w:val="nil"/>
            </w:tcBorders>
            <w:vAlign w:val="center"/>
          </w:tcPr>
          <w:p>
            <w:pPr>
              <w:pStyle w:val="yTableNAm"/>
              <w:jc w:val="center"/>
            </w:pPr>
            <w:r>
              <w:t>75.706</w:t>
            </w:r>
          </w:p>
        </w:tc>
        <w:tc>
          <w:tcPr>
            <w:tcW w:w="2268" w:type="dxa"/>
            <w:tcBorders>
              <w:top w:val="nil"/>
              <w:left w:val="nil"/>
              <w:bottom w:val="nil"/>
              <w:right w:val="nil"/>
            </w:tcBorders>
            <w:vAlign w:val="center"/>
          </w:tcPr>
          <w:p>
            <w:pPr>
              <w:pStyle w:val="yTableNAm"/>
              <w:jc w:val="center"/>
            </w:pPr>
            <w:r>
              <w:t>214.252</w:t>
            </w:r>
          </w:p>
        </w:tc>
      </w:tr>
      <w:tr>
        <w:tc>
          <w:tcPr>
            <w:tcW w:w="2159" w:type="dxa"/>
            <w:tcBorders>
              <w:top w:val="nil"/>
              <w:left w:val="nil"/>
              <w:bottom w:val="nil"/>
              <w:right w:val="nil"/>
            </w:tcBorders>
          </w:tcPr>
          <w:p>
            <w:pPr>
              <w:pStyle w:val="yTableNAm"/>
            </w:pPr>
            <w:r>
              <w:t>Jurien</w:t>
            </w:r>
          </w:p>
        </w:tc>
        <w:tc>
          <w:tcPr>
            <w:tcW w:w="1810" w:type="dxa"/>
            <w:tcBorders>
              <w:top w:val="nil"/>
              <w:left w:val="nil"/>
              <w:bottom w:val="nil"/>
              <w:right w:val="nil"/>
            </w:tcBorders>
            <w:vAlign w:val="center"/>
          </w:tcPr>
          <w:p>
            <w:pPr>
              <w:pStyle w:val="yTableNAm"/>
              <w:jc w:val="center"/>
            </w:pPr>
            <w:r>
              <w:t>4.425</w:t>
            </w:r>
          </w:p>
        </w:tc>
        <w:tc>
          <w:tcPr>
            <w:tcW w:w="2268" w:type="dxa"/>
            <w:tcBorders>
              <w:top w:val="nil"/>
              <w:left w:val="nil"/>
              <w:bottom w:val="nil"/>
              <w:right w:val="nil"/>
            </w:tcBorders>
            <w:vAlign w:val="center"/>
          </w:tcPr>
          <w:p>
            <w:pPr>
              <w:pStyle w:val="yTableNAm"/>
              <w:jc w:val="center"/>
            </w:pPr>
            <w:r>
              <w:t>6.012</w:t>
            </w:r>
          </w:p>
        </w:tc>
      </w:tr>
      <w:tr>
        <w:tc>
          <w:tcPr>
            <w:tcW w:w="2159" w:type="dxa"/>
            <w:tcBorders>
              <w:top w:val="nil"/>
              <w:left w:val="nil"/>
              <w:bottom w:val="nil"/>
              <w:right w:val="nil"/>
            </w:tcBorders>
          </w:tcPr>
          <w:p>
            <w:pPr>
              <w:pStyle w:val="yTableNAm"/>
            </w:pPr>
            <w:r>
              <w:t>Kalbarri</w:t>
            </w:r>
          </w:p>
        </w:tc>
        <w:tc>
          <w:tcPr>
            <w:tcW w:w="1810" w:type="dxa"/>
            <w:tcBorders>
              <w:top w:val="nil"/>
              <w:left w:val="nil"/>
              <w:bottom w:val="nil"/>
              <w:right w:val="nil"/>
            </w:tcBorders>
            <w:vAlign w:val="center"/>
          </w:tcPr>
          <w:p>
            <w:pPr>
              <w:pStyle w:val="yTableNAm"/>
              <w:jc w:val="center"/>
            </w:pPr>
            <w:r>
              <w:t>10.098</w:t>
            </w:r>
          </w:p>
        </w:tc>
        <w:tc>
          <w:tcPr>
            <w:tcW w:w="2268" w:type="dxa"/>
            <w:tcBorders>
              <w:top w:val="nil"/>
              <w:left w:val="nil"/>
              <w:bottom w:val="nil"/>
              <w:right w:val="nil"/>
            </w:tcBorders>
            <w:vAlign w:val="center"/>
          </w:tcPr>
          <w:p>
            <w:pPr>
              <w:pStyle w:val="yTableNAm"/>
              <w:jc w:val="center"/>
            </w:pPr>
            <w:r>
              <w:t>10.797</w:t>
            </w:r>
          </w:p>
        </w:tc>
      </w:tr>
      <w:tr>
        <w:tc>
          <w:tcPr>
            <w:tcW w:w="2159" w:type="dxa"/>
            <w:tcBorders>
              <w:top w:val="nil"/>
              <w:left w:val="nil"/>
              <w:bottom w:val="nil"/>
              <w:right w:val="nil"/>
            </w:tcBorders>
          </w:tcPr>
          <w:p>
            <w:pPr>
              <w:pStyle w:val="yTableNAm"/>
            </w:pPr>
            <w:r>
              <w:t>Kambalda</w:t>
            </w:r>
          </w:p>
        </w:tc>
        <w:tc>
          <w:tcPr>
            <w:tcW w:w="1810" w:type="dxa"/>
            <w:tcBorders>
              <w:top w:val="nil"/>
              <w:left w:val="nil"/>
              <w:bottom w:val="nil"/>
              <w:right w:val="nil"/>
            </w:tcBorders>
            <w:vAlign w:val="center"/>
          </w:tcPr>
          <w:p>
            <w:pPr>
              <w:pStyle w:val="yTableNAm"/>
              <w:jc w:val="center"/>
            </w:pPr>
            <w:r>
              <w:t>5.970</w:t>
            </w:r>
          </w:p>
        </w:tc>
        <w:tc>
          <w:tcPr>
            <w:tcW w:w="2268" w:type="dxa"/>
            <w:tcBorders>
              <w:top w:val="nil"/>
              <w:left w:val="nil"/>
              <w:bottom w:val="nil"/>
              <w:right w:val="nil"/>
            </w:tcBorders>
            <w:vAlign w:val="center"/>
          </w:tcPr>
          <w:p>
            <w:pPr>
              <w:pStyle w:val="yTableNAm"/>
              <w:jc w:val="center"/>
            </w:pPr>
            <w:r>
              <w:t>36.766</w:t>
            </w:r>
          </w:p>
        </w:tc>
      </w:tr>
      <w:tr>
        <w:tc>
          <w:tcPr>
            <w:tcW w:w="2159" w:type="dxa"/>
            <w:tcBorders>
              <w:top w:val="nil"/>
              <w:left w:val="nil"/>
              <w:bottom w:val="nil"/>
              <w:right w:val="nil"/>
            </w:tcBorders>
          </w:tcPr>
          <w:p>
            <w:pPr>
              <w:pStyle w:val="yTableNAm"/>
            </w:pPr>
            <w:r>
              <w:t>Karratha</w:t>
            </w:r>
          </w:p>
        </w:tc>
        <w:tc>
          <w:tcPr>
            <w:tcW w:w="1810" w:type="dxa"/>
            <w:tcBorders>
              <w:top w:val="nil"/>
              <w:left w:val="nil"/>
              <w:bottom w:val="nil"/>
              <w:right w:val="nil"/>
            </w:tcBorders>
            <w:vAlign w:val="center"/>
          </w:tcPr>
          <w:p>
            <w:pPr>
              <w:pStyle w:val="yTableNAm"/>
              <w:jc w:val="center"/>
            </w:pPr>
            <w:r>
              <w:t>2.070</w:t>
            </w:r>
          </w:p>
        </w:tc>
        <w:tc>
          <w:tcPr>
            <w:tcW w:w="2268" w:type="dxa"/>
            <w:tcBorders>
              <w:top w:val="nil"/>
              <w:left w:val="nil"/>
              <w:bottom w:val="nil"/>
              <w:right w:val="nil"/>
            </w:tcBorders>
            <w:vAlign w:val="center"/>
          </w:tcPr>
          <w:p>
            <w:pPr>
              <w:pStyle w:val="yTableNAm"/>
              <w:jc w:val="center"/>
            </w:pPr>
            <w:r>
              <w:t>3.313</w:t>
            </w:r>
          </w:p>
        </w:tc>
      </w:tr>
      <w:tr>
        <w:tc>
          <w:tcPr>
            <w:tcW w:w="2159" w:type="dxa"/>
            <w:tcBorders>
              <w:top w:val="nil"/>
              <w:left w:val="nil"/>
              <w:bottom w:val="nil"/>
              <w:right w:val="nil"/>
            </w:tcBorders>
          </w:tcPr>
          <w:p>
            <w:pPr>
              <w:pStyle w:val="yTableNAm"/>
            </w:pPr>
            <w:r>
              <w:t>Katanning</w:t>
            </w:r>
          </w:p>
        </w:tc>
        <w:tc>
          <w:tcPr>
            <w:tcW w:w="1810" w:type="dxa"/>
            <w:tcBorders>
              <w:top w:val="nil"/>
              <w:left w:val="nil"/>
              <w:bottom w:val="nil"/>
              <w:right w:val="nil"/>
            </w:tcBorders>
            <w:vAlign w:val="center"/>
          </w:tcPr>
          <w:p>
            <w:pPr>
              <w:pStyle w:val="yTableNAm"/>
              <w:jc w:val="center"/>
            </w:pPr>
            <w:r>
              <w:t>13.218</w:t>
            </w:r>
          </w:p>
        </w:tc>
        <w:tc>
          <w:tcPr>
            <w:tcW w:w="2268" w:type="dxa"/>
            <w:tcBorders>
              <w:top w:val="nil"/>
              <w:left w:val="nil"/>
              <w:bottom w:val="nil"/>
              <w:right w:val="nil"/>
            </w:tcBorders>
            <w:vAlign w:val="center"/>
          </w:tcPr>
          <w:p>
            <w:pPr>
              <w:pStyle w:val="yTableNAm"/>
              <w:jc w:val="center"/>
            </w:pPr>
            <w:r>
              <w:t>43.126</w:t>
            </w:r>
          </w:p>
        </w:tc>
      </w:tr>
      <w:tr>
        <w:tc>
          <w:tcPr>
            <w:tcW w:w="2159" w:type="dxa"/>
            <w:tcBorders>
              <w:top w:val="nil"/>
              <w:left w:val="nil"/>
              <w:bottom w:val="nil"/>
              <w:right w:val="nil"/>
            </w:tcBorders>
          </w:tcPr>
          <w:p>
            <w:pPr>
              <w:pStyle w:val="yTableNAm"/>
            </w:pPr>
            <w:r>
              <w:t>Kellerberrin</w:t>
            </w:r>
          </w:p>
        </w:tc>
        <w:tc>
          <w:tcPr>
            <w:tcW w:w="1810" w:type="dxa"/>
            <w:tcBorders>
              <w:top w:val="nil"/>
              <w:left w:val="nil"/>
              <w:bottom w:val="nil"/>
              <w:right w:val="nil"/>
            </w:tcBorders>
            <w:vAlign w:val="center"/>
          </w:tcPr>
          <w:p>
            <w:pPr>
              <w:pStyle w:val="yTableNAm"/>
              <w:jc w:val="center"/>
            </w:pPr>
            <w:r>
              <w:t>26.197</w:t>
            </w:r>
          </w:p>
        </w:tc>
        <w:tc>
          <w:tcPr>
            <w:tcW w:w="2268" w:type="dxa"/>
            <w:tcBorders>
              <w:top w:val="nil"/>
              <w:left w:val="nil"/>
              <w:bottom w:val="nil"/>
              <w:right w:val="nil"/>
            </w:tcBorders>
            <w:vAlign w:val="center"/>
          </w:tcPr>
          <w:p>
            <w:pPr>
              <w:pStyle w:val="yTableNAm"/>
              <w:jc w:val="center"/>
            </w:pPr>
            <w:r>
              <w:t>102.854</w:t>
            </w:r>
          </w:p>
        </w:tc>
      </w:tr>
      <w:tr>
        <w:tc>
          <w:tcPr>
            <w:tcW w:w="2159" w:type="dxa"/>
            <w:tcBorders>
              <w:top w:val="nil"/>
              <w:left w:val="nil"/>
              <w:bottom w:val="nil"/>
              <w:right w:val="nil"/>
            </w:tcBorders>
          </w:tcPr>
          <w:p>
            <w:pPr>
              <w:pStyle w:val="yTableNAm"/>
            </w:pPr>
            <w:r>
              <w:t>Kojonup</w:t>
            </w:r>
          </w:p>
        </w:tc>
        <w:tc>
          <w:tcPr>
            <w:tcW w:w="1810" w:type="dxa"/>
            <w:tcBorders>
              <w:top w:val="nil"/>
              <w:left w:val="nil"/>
              <w:bottom w:val="nil"/>
              <w:right w:val="nil"/>
            </w:tcBorders>
            <w:vAlign w:val="center"/>
          </w:tcPr>
          <w:p>
            <w:pPr>
              <w:pStyle w:val="yTableNAm"/>
              <w:jc w:val="center"/>
            </w:pPr>
            <w:r>
              <w:t>16.890</w:t>
            </w:r>
          </w:p>
        </w:tc>
        <w:tc>
          <w:tcPr>
            <w:tcW w:w="2268" w:type="dxa"/>
            <w:tcBorders>
              <w:top w:val="nil"/>
              <w:left w:val="nil"/>
              <w:bottom w:val="nil"/>
              <w:right w:val="nil"/>
            </w:tcBorders>
            <w:vAlign w:val="center"/>
          </w:tcPr>
          <w:p>
            <w:pPr>
              <w:pStyle w:val="yTableNAm"/>
              <w:jc w:val="center"/>
            </w:pPr>
            <w:r>
              <w:t>47.276</w:t>
            </w:r>
          </w:p>
        </w:tc>
      </w:tr>
      <w:tr>
        <w:tc>
          <w:tcPr>
            <w:tcW w:w="2159" w:type="dxa"/>
            <w:tcBorders>
              <w:top w:val="nil"/>
              <w:left w:val="nil"/>
              <w:bottom w:val="nil"/>
              <w:right w:val="nil"/>
            </w:tcBorders>
          </w:tcPr>
          <w:p>
            <w:pPr>
              <w:pStyle w:val="yTableNAm"/>
            </w:pPr>
            <w:r>
              <w:t>Kulin</w:t>
            </w:r>
          </w:p>
        </w:tc>
        <w:tc>
          <w:tcPr>
            <w:tcW w:w="1810" w:type="dxa"/>
            <w:tcBorders>
              <w:top w:val="nil"/>
              <w:left w:val="nil"/>
              <w:bottom w:val="nil"/>
              <w:right w:val="nil"/>
            </w:tcBorders>
            <w:vAlign w:val="center"/>
          </w:tcPr>
          <w:p>
            <w:pPr>
              <w:pStyle w:val="yTableNAm"/>
              <w:jc w:val="center"/>
            </w:pPr>
            <w:r>
              <w:t>38.874</w:t>
            </w:r>
          </w:p>
        </w:tc>
        <w:tc>
          <w:tcPr>
            <w:tcW w:w="2268" w:type="dxa"/>
            <w:tcBorders>
              <w:top w:val="nil"/>
              <w:left w:val="nil"/>
              <w:bottom w:val="nil"/>
              <w:right w:val="nil"/>
            </w:tcBorders>
            <w:vAlign w:val="center"/>
          </w:tcPr>
          <w:p>
            <w:pPr>
              <w:pStyle w:val="yTableNAm"/>
              <w:jc w:val="center"/>
            </w:pPr>
            <w:r>
              <w:t>192.487</w:t>
            </w:r>
          </w:p>
        </w:tc>
      </w:tr>
      <w:tr>
        <w:tc>
          <w:tcPr>
            <w:tcW w:w="2159" w:type="dxa"/>
            <w:tcBorders>
              <w:top w:val="nil"/>
              <w:left w:val="nil"/>
              <w:bottom w:val="nil"/>
              <w:right w:val="nil"/>
            </w:tcBorders>
          </w:tcPr>
          <w:p>
            <w:pPr>
              <w:pStyle w:val="yTableNAm"/>
            </w:pPr>
            <w:r>
              <w:t>Kununurra</w:t>
            </w:r>
          </w:p>
        </w:tc>
        <w:tc>
          <w:tcPr>
            <w:tcW w:w="1810" w:type="dxa"/>
            <w:tcBorders>
              <w:top w:val="nil"/>
              <w:left w:val="nil"/>
              <w:bottom w:val="nil"/>
              <w:right w:val="nil"/>
            </w:tcBorders>
            <w:vAlign w:val="center"/>
          </w:tcPr>
          <w:p>
            <w:pPr>
              <w:pStyle w:val="yTableNAm"/>
              <w:jc w:val="center"/>
            </w:pPr>
            <w:r>
              <w:t>4.435</w:t>
            </w:r>
          </w:p>
        </w:tc>
        <w:tc>
          <w:tcPr>
            <w:tcW w:w="2268" w:type="dxa"/>
            <w:tcBorders>
              <w:top w:val="nil"/>
              <w:left w:val="nil"/>
              <w:bottom w:val="nil"/>
              <w:right w:val="nil"/>
            </w:tcBorders>
            <w:vAlign w:val="center"/>
          </w:tcPr>
          <w:p>
            <w:pPr>
              <w:pStyle w:val="yTableNAm"/>
              <w:jc w:val="center"/>
            </w:pPr>
            <w:r>
              <w:t>7.775</w:t>
            </w:r>
          </w:p>
        </w:tc>
      </w:tr>
      <w:tr>
        <w:tc>
          <w:tcPr>
            <w:tcW w:w="2159" w:type="dxa"/>
            <w:tcBorders>
              <w:top w:val="nil"/>
              <w:left w:val="nil"/>
              <w:bottom w:val="nil"/>
              <w:right w:val="nil"/>
            </w:tcBorders>
          </w:tcPr>
          <w:p>
            <w:pPr>
              <w:pStyle w:val="yTableNAm"/>
            </w:pPr>
            <w:r>
              <w:t>Lancelin</w:t>
            </w:r>
          </w:p>
        </w:tc>
        <w:tc>
          <w:tcPr>
            <w:tcW w:w="1810" w:type="dxa"/>
            <w:tcBorders>
              <w:top w:val="nil"/>
              <w:left w:val="nil"/>
              <w:bottom w:val="nil"/>
              <w:right w:val="nil"/>
            </w:tcBorders>
            <w:vAlign w:val="center"/>
          </w:tcPr>
          <w:p>
            <w:pPr>
              <w:pStyle w:val="yTableNAm"/>
              <w:jc w:val="center"/>
            </w:pPr>
            <w:r>
              <w:t>14.914</w:t>
            </w:r>
          </w:p>
        </w:tc>
        <w:tc>
          <w:tcPr>
            <w:tcW w:w="2268" w:type="dxa"/>
            <w:tcBorders>
              <w:top w:val="nil"/>
              <w:left w:val="nil"/>
              <w:bottom w:val="nil"/>
              <w:right w:val="nil"/>
            </w:tcBorders>
            <w:vAlign w:val="center"/>
          </w:tcPr>
          <w:p>
            <w:pPr>
              <w:pStyle w:val="yTableNAm"/>
              <w:jc w:val="center"/>
            </w:pPr>
            <w:r>
              <w:t>7.531</w:t>
            </w:r>
          </w:p>
        </w:tc>
      </w:tr>
      <w:tr>
        <w:tc>
          <w:tcPr>
            <w:tcW w:w="2159" w:type="dxa"/>
            <w:tcBorders>
              <w:top w:val="nil"/>
              <w:left w:val="nil"/>
              <w:bottom w:val="nil"/>
              <w:right w:val="nil"/>
            </w:tcBorders>
          </w:tcPr>
          <w:p>
            <w:pPr>
              <w:pStyle w:val="yTableNAm"/>
            </w:pPr>
            <w:r>
              <w:t>Laverton</w:t>
            </w:r>
          </w:p>
        </w:tc>
        <w:tc>
          <w:tcPr>
            <w:tcW w:w="1810" w:type="dxa"/>
            <w:tcBorders>
              <w:top w:val="nil"/>
              <w:left w:val="nil"/>
              <w:bottom w:val="nil"/>
              <w:right w:val="nil"/>
            </w:tcBorders>
            <w:vAlign w:val="center"/>
          </w:tcPr>
          <w:p>
            <w:pPr>
              <w:pStyle w:val="yTableNAm"/>
              <w:jc w:val="center"/>
            </w:pPr>
            <w:r>
              <w:t>20.825</w:t>
            </w:r>
          </w:p>
        </w:tc>
        <w:tc>
          <w:tcPr>
            <w:tcW w:w="2268" w:type="dxa"/>
            <w:tcBorders>
              <w:top w:val="nil"/>
              <w:left w:val="nil"/>
              <w:bottom w:val="nil"/>
              <w:right w:val="nil"/>
            </w:tcBorders>
            <w:vAlign w:val="center"/>
          </w:tcPr>
          <w:p>
            <w:pPr>
              <w:pStyle w:val="yTableNAm"/>
              <w:jc w:val="center"/>
            </w:pPr>
            <w:r>
              <w:t>408.196</w:t>
            </w:r>
          </w:p>
        </w:tc>
      </w:tr>
      <w:tr>
        <w:tc>
          <w:tcPr>
            <w:tcW w:w="2159" w:type="dxa"/>
            <w:tcBorders>
              <w:top w:val="nil"/>
              <w:left w:val="nil"/>
              <w:bottom w:val="nil"/>
              <w:right w:val="nil"/>
            </w:tcBorders>
          </w:tcPr>
          <w:p>
            <w:pPr>
              <w:pStyle w:val="yTableNAm"/>
            </w:pPr>
            <w:r>
              <w:t>Ledge Point</w:t>
            </w:r>
          </w:p>
        </w:tc>
        <w:tc>
          <w:tcPr>
            <w:tcW w:w="1810" w:type="dxa"/>
            <w:tcBorders>
              <w:top w:val="nil"/>
              <w:left w:val="nil"/>
              <w:bottom w:val="nil"/>
              <w:right w:val="nil"/>
            </w:tcBorders>
            <w:vAlign w:val="center"/>
          </w:tcPr>
          <w:p>
            <w:pPr>
              <w:pStyle w:val="yTableNAm"/>
              <w:jc w:val="center"/>
            </w:pPr>
            <w:r>
              <w:t>6.969</w:t>
            </w:r>
          </w:p>
        </w:tc>
        <w:tc>
          <w:tcPr>
            <w:tcW w:w="2268" w:type="dxa"/>
            <w:tcBorders>
              <w:top w:val="nil"/>
              <w:left w:val="nil"/>
              <w:bottom w:val="nil"/>
              <w:right w:val="nil"/>
            </w:tcBorders>
            <w:vAlign w:val="center"/>
          </w:tcPr>
          <w:p>
            <w:pPr>
              <w:pStyle w:val="yTableNAm"/>
              <w:jc w:val="center"/>
            </w:pPr>
            <w:r>
              <w:t>7.128</w:t>
            </w:r>
          </w:p>
        </w:tc>
      </w:tr>
      <w:tr>
        <w:tc>
          <w:tcPr>
            <w:tcW w:w="2159" w:type="dxa"/>
            <w:tcBorders>
              <w:top w:val="nil"/>
              <w:left w:val="nil"/>
              <w:bottom w:val="nil"/>
              <w:right w:val="nil"/>
            </w:tcBorders>
          </w:tcPr>
          <w:p>
            <w:pPr>
              <w:pStyle w:val="yTableNAm"/>
            </w:pPr>
            <w:r>
              <w:t>Leeman</w:t>
            </w:r>
          </w:p>
        </w:tc>
        <w:tc>
          <w:tcPr>
            <w:tcW w:w="1810" w:type="dxa"/>
            <w:tcBorders>
              <w:top w:val="nil"/>
              <w:left w:val="nil"/>
              <w:bottom w:val="nil"/>
              <w:right w:val="nil"/>
            </w:tcBorders>
            <w:vAlign w:val="center"/>
          </w:tcPr>
          <w:p>
            <w:pPr>
              <w:pStyle w:val="yTableNAm"/>
              <w:jc w:val="center"/>
            </w:pPr>
            <w:r>
              <w:t>12.374</w:t>
            </w:r>
          </w:p>
        </w:tc>
        <w:tc>
          <w:tcPr>
            <w:tcW w:w="2268" w:type="dxa"/>
            <w:tcBorders>
              <w:top w:val="nil"/>
              <w:left w:val="nil"/>
              <w:bottom w:val="nil"/>
              <w:right w:val="nil"/>
            </w:tcBorders>
            <w:vAlign w:val="center"/>
          </w:tcPr>
          <w:p>
            <w:pPr>
              <w:pStyle w:val="yTableNAm"/>
              <w:jc w:val="center"/>
            </w:pPr>
            <w:r>
              <w:t>11.101</w:t>
            </w:r>
          </w:p>
        </w:tc>
      </w:tr>
      <w:tr>
        <w:tc>
          <w:tcPr>
            <w:tcW w:w="2159" w:type="dxa"/>
            <w:tcBorders>
              <w:top w:val="nil"/>
              <w:left w:val="nil"/>
              <w:bottom w:val="nil"/>
              <w:right w:val="nil"/>
            </w:tcBorders>
          </w:tcPr>
          <w:p>
            <w:pPr>
              <w:pStyle w:val="yTableNAm"/>
            </w:pPr>
            <w:r>
              <w:t>Leonora</w:t>
            </w:r>
          </w:p>
        </w:tc>
        <w:tc>
          <w:tcPr>
            <w:tcW w:w="1810" w:type="dxa"/>
            <w:tcBorders>
              <w:top w:val="nil"/>
              <w:left w:val="nil"/>
              <w:bottom w:val="nil"/>
              <w:right w:val="nil"/>
            </w:tcBorders>
            <w:vAlign w:val="center"/>
          </w:tcPr>
          <w:p>
            <w:pPr>
              <w:pStyle w:val="yTableNAm"/>
              <w:jc w:val="center"/>
            </w:pPr>
            <w:r>
              <w:t>2.220</w:t>
            </w:r>
          </w:p>
        </w:tc>
        <w:tc>
          <w:tcPr>
            <w:tcW w:w="2268" w:type="dxa"/>
            <w:tcBorders>
              <w:top w:val="nil"/>
              <w:left w:val="nil"/>
              <w:bottom w:val="nil"/>
              <w:right w:val="nil"/>
            </w:tcBorders>
            <w:vAlign w:val="center"/>
          </w:tcPr>
          <w:p>
            <w:pPr>
              <w:pStyle w:val="yTableNAm"/>
              <w:jc w:val="center"/>
            </w:pPr>
            <w:r>
              <w:t>18.841</w:t>
            </w:r>
          </w:p>
        </w:tc>
      </w:tr>
      <w:tr>
        <w:tc>
          <w:tcPr>
            <w:tcW w:w="2159" w:type="dxa"/>
            <w:tcBorders>
              <w:top w:val="nil"/>
              <w:left w:val="nil"/>
              <w:bottom w:val="nil"/>
              <w:right w:val="nil"/>
            </w:tcBorders>
          </w:tcPr>
          <w:p>
            <w:pPr>
              <w:pStyle w:val="yTableNAm"/>
            </w:pPr>
            <w:r>
              <w:t>Mandurah</w:t>
            </w:r>
          </w:p>
        </w:tc>
        <w:tc>
          <w:tcPr>
            <w:tcW w:w="1810" w:type="dxa"/>
            <w:tcBorders>
              <w:top w:val="nil"/>
              <w:left w:val="nil"/>
              <w:bottom w:val="nil"/>
              <w:right w:val="nil"/>
            </w:tcBorders>
            <w:vAlign w:val="center"/>
          </w:tcPr>
          <w:p>
            <w:pPr>
              <w:pStyle w:val="yTableNAm"/>
              <w:jc w:val="center"/>
            </w:pPr>
            <w:r>
              <w:t>6.010</w:t>
            </w:r>
          </w:p>
        </w:tc>
        <w:tc>
          <w:tcPr>
            <w:tcW w:w="2268" w:type="dxa"/>
            <w:tcBorders>
              <w:top w:val="nil"/>
              <w:left w:val="nil"/>
              <w:bottom w:val="nil"/>
              <w:right w:val="nil"/>
            </w:tcBorders>
            <w:vAlign w:val="center"/>
          </w:tcPr>
          <w:p>
            <w:pPr>
              <w:pStyle w:val="yTableNAm"/>
              <w:jc w:val="center"/>
            </w:pPr>
            <w:r>
              <w:t>6.185</w:t>
            </w:r>
          </w:p>
        </w:tc>
      </w:tr>
      <w:tr>
        <w:tc>
          <w:tcPr>
            <w:tcW w:w="2159" w:type="dxa"/>
            <w:tcBorders>
              <w:top w:val="nil"/>
              <w:left w:val="nil"/>
              <w:bottom w:val="nil"/>
              <w:right w:val="nil"/>
            </w:tcBorders>
          </w:tcPr>
          <w:p>
            <w:pPr>
              <w:pStyle w:val="yTableNAm"/>
            </w:pPr>
            <w:r>
              <w:t>Manjimup</w:t>
            </w:r>
          </w:p>
        </w:tc>
        <w:tc>
          <w:tcPr>
            <w:tcW w:w="1810" w:type="dxa"/>
            <w:tcBorders>
              <w:top w:val="nil"/>
              <w:left w:val="nil"/>
              <w:bottom w:val="nil"/>
              <w:right w:val="nil"/>
            </w:tcBorders>
            <w:vAlign w:val="center"/>
          </w:tcPr>
          <w:p>
            <w:pPr>
              <w:pStyle w:val="yTableNAm"/>
              <w:jc w:val="center"/>
            </w:pPr>
            <w:r>
              <w:t>16.981</w:t>
            </w:r>
          </w:p>
        </w:tc>
        <w:tc>
          <w:tcPr>
            <w:tcW w:w="2268" w:type="dxa"/>
            <w:tcBorders>
              <w:top w:val="nil"/>
              <w:left w:val="nil"/>
              <w:bottom w:val="nil"/>
              <w:right w:val="nil"/>
            </w:tcBorders>
            <w:vAlign w:val="center"/>
          </w:tcPr>
          <w:p>
            <w:pPr>
              <w:pStyle w:val="yTableNAm"/>
              <w:jc w:val="center"/>
            </w:pPr>
            <w:r>
              <w:t>22.624</w:t>
            </w:r>
          </w:p>
        </w:tc>
      </w:tr>
      <w:tr>
        <w:tc>
          <w:tcPr>
            <w:tcW w:w="2159" w:type="dxa"/>
            <w:tcBorders>
              <w:top w:val="nil"/>
              <w:left w:val="nil"/>
              <w:bottom w:val="nil"/>
              <w:right w:val="nil"/>
            </w:tcBorders>
          </w:tcPr>
          <w:p>
            <w:pPr>
              <w:pStyle w:val="yTableNAm"/>
            </w:pPr>
            <w:r>
              <w:t>Margaret River</w:t>
            </w:r>
          </w:p>
        </w:tc>
        <w:tc>
          <w:tcPr>
            <w:tcW w:w="1810" w:type="dxa"/>
            <w:tcBorders>
              <w:top w:val="nil"/>
              <w:left w:val="nil"/>
              <w:bottom w:val="nil"/>
              <w:right w:val="nil"/>
            </w:tcBorders>
            <w:vAlign w:val="center"/>
          </w:tcPr>
          <w:p>
            <w:pPr>
              <w:pStyle w:val="yTableNAm"/>
              <w:jc w:val="center"/>
            </w:pPr>
            <w:r>
              <w:t>12.617</w:t>
            </w:r>
          </w:p>
        </w:tc>
        <w:tc>
          <w:tcPr>
            <w:tcW w:w="2268" w:type="dxa"/>
            <w:tcBorders>
              <w:top w:val="nil"/>
              <w:left w:val="nil"/>
              <w:bottom w:val="nil"/>
              <w:right w:val="nil"/>
            </w:tcBorders>
            <w:vAlign w:val="center"/>
          </w:tcPr>
          <w:p>
            <w:pPr>
              <w:pStyle w:val="yTableNAm"/>
              <w:jc w:val="center"/>
            </w:pPr>
            <w:r>
              <w:t>14.310</w:t>
            </w:r>
          </w:p>
        </w:tc>
      </w:tr>
      <w:tr>
        <w:tc>
          <w:tcPr>
            <w:tcW w:w="2159" w:type="dxa"/>
            <w:tcBorders>
              <w:top w:val="nil"/>
              <w:left w:val="nil"/>
              <w:bottom w:val="nil"/>
              <w:right w:val="nil"/>
            </w:tcBorders>
          </w:tcPr>
          <w:p>
            <w:pPr>
              <w:pStyle w:val="yTableNAm"/>
            </w:pPr>
            <w:r>
              <w:t>Meckering</w:t>
            </w:r>
          </w:p>
        </w:tc>
        <w:tc>
          <w:tcPr>
            <w:tcW w:w="1810" w:type="dxa"/>
            <w:tcBorders>
              <w:top w:val="nil"/>
              <w:left w:val="nil"/>
              <w:bottom w:val="nil"/>
              <w:right w:val="nil"/>
            </w:tcBorders>
            <w:vAlign w:val="center"/>
          </w:tcPr>
          <w:p>
            <w:pPr>
              <w:pStyle w:val="yTableNAm"/>
              <w:jc w:val="center"/>
            </w:pPr>
            <w:r>
              <w:t>92.807</w:t>
            </w:r>
          </w:p>
        </w:tc>
        <w:tc>
          <w:tcPr>
            <w:tcW w:w="2268" w:type="dxa"/>
            <w:tcBorders>
              <w:top w:val="nil"/>
              <w:left w:val="nil"/>
              <w:bottom w:val="nil"/>
              <w:right w:val="nil"/>
            </w:tcBorders>
            <w:vAlign w:val="center"/>
          </w:tcPr>
          <w:p>
            <w:pPr>
              <w:pStyle w:val="yTableNAm"/>
              <w:jc w:val="center"/>
            </w:pPr>
            <w:r>
              <w:t>158.187</w:t>
            </w:r>
          </w:p>
        </w:tc>
      </w:tr>
      <w:tr>
        <w:tc>
          <w:tcPr>
            <w:tcW w:w="2159" w:type="dxa"/>
            <w:tcBorders>
              <w:top w:val="nil"/>
              <w:left w:val="nil"/>
              <w:bottom w:val="nil"/>
              <w:right w:val="nil"/>
            </w:tcBorders>
          </w:tcPr>
          <w:p>
            <w:pPr>
              <w:pStyle w:val="yTableNAm"/>
            </w:pPr>
            <w:r>
              <w:t>Merredin</w:t>
            </w:r>
          </w:p>
        </w:tc>
        <w:tc>
          <w:tcPr>
            <w:tcW w:w="1810" w:type="dxa"/>
            <w:tcBorders>
              <w:top w:val="nil"/>
              <w:left w:val="nil"/>
              <w:bottom w:val="nil"/>
              <w:right w:val="nil"/>
            </w:tcBorders>
            <w:vAlign w:val="center"/>
          </w:tcPr>
          <w:p>
            <w:pPr>
              <w:pStyle w:val="yTableNAm"/>
              <w:jc w:val="center"/>
            </w:pPr>
            <w:r>
              <w:t>12.999</w:t>
            </w:r>
          </w:p>
        </w:tc>
        <w:tc>
          <w:tcPr>
            <w:tcW w:w="2268" w:type="dxa"/>
            <w:tcBorders>
              <w:top w:val="nil"/>
              <w:left w:val="nil"/>
              <w:bottom w:val="nil"/>
              <w:right w:val="nil"/>
            </w:tcBorders>
            <w:vAlign w:val="center"/>
          </w:tcPr>
          <w:p>
            <w:pPr>
              <w:pStyle w:val="yTableNAm"/>
              <w:jc w:val="center"/>
            </w:pPr>
            <w:r>
              <w:t>34.817</w:t>
            </w:r>
          </w:p>
        </w:tc>
      </w:tr>
      <w:tr>
        <w:tc>
          <w:tcPr>
            <w:tcW w:w="2159" w:type="dxa"/>
            <w:tcBorders>
              <w:top w:val="nil"/>
              <w:left w:val="nil"/>
              <w:bottom w:val="nil"/>
              <w:right w:val="nil"/>
            </w:tcBorders>
          </w:tcPr>
          <w:p>
            <w:pPr>
              <w:pStyle w:val="yTableNAm"/>
            </w:pPr>
            <w:r>
              <w:t>Mount Barker</w:t>
            </w:r>
          </w:p>
        </w:tc>
        <w:tc>
          <w:tcPr>
            <w:tcW w:w="1810" w:type="dxa"/>
            <w:tcBorders>
              <w:top w:val="nil"/>
              <w:left w:val="nil"/>
              <w:bottom w:val="nil"/>
              <w:right w:val="nil"/>
            </w:tcBorders>
            <w:vAlign w:val="center"/>
          </w:tcPr>
          <w:p>
            <w:pPr>
              <w:pStyle w:val="yTableNAm"/>
              <w:jc w:val="center"/>
            </w:pPr>
            <w:r>
              <w:t>13.045</w:t>
            </w:r>
          </w:p>
        </w:tc>
        <w:tc>
          <w:tcPr>
            <w:tcW w:w="2268" w:type="dxa"/>
            <w:tcBorders>
              <w:top w:val="nil"/>
              <w:left w:val="nil"/>
              <w:bottom w:val="nil"/>
              <w:right w:val="nil"/>
            </w:tcBorders>
            <w:vAlign w:val="center"/>
          </w:tcPr>
          <w:p>
            <w:pPr>
              <w:pStyle w:val="yTableNAm"/>
              <w:jc w:val="center"/>
            </w:pPr>
            <w:r>
              <w:t>16.479</w:t>
            </w:r>
          </w:p>
        </w:tc>
      </w:tr>
      <w:tr>
        <w:tc>
          <w:tcPr>
            <w:tcW w:w="2159" w:type="dxa"/>
            <w:tcBorders>
              <w:top w:val="nil"/>
              <w:left w:val="nil"/>
              <w:bottom w:val="nil"/>
              <w:right w:val="nil"/>
            </w:tcBorders>
          </w:tcPr>
          <w:p>
            <w:pPr>
              <w:pStyle w:val="yTableNAm"/>
            </w:pPr>
            <w:r>
              <w:t>Mukinbudin</w:t>
            </w:r>
          </w:p>
        </w:tc>
        <w:tc>
          <w:tcPr>
            <w:tcW w:w="1810" w:type="dxa"/>
            <w:tcBorders>
              <w:top w:val="nil"/>
              <w:left w:val="nil"/>
              <w:bottom w:val="nil"/>
              <w:right w:val="nil"/>
            </w:tcBorders>
            <w:vAlign w:val="center"/>
          </w:tcPr>
          <w:p>
            <w:pPr>
              <w:pStyle w:val="yTableNAm"/>
              <w:jc w:val="center"/>
            </w:pPr>
            <w:r>
              <w:t>29.654</w:t>
            </w:r>
          </w:p>
        </w:tc>
        <w:tc>
          <w:tcPr>
            <w:tcW w:w="2268" w:type="dxa"/>
            <w:tcBorders>
              <w:top w:val="nil"/>
              <w:left w:val="nil"/>
              <w:bottom w:val="nil"/>
              <w:right w:val="nil"/>
            </w:tcBorders>
            <w:vAlign w:val="center"/>
          </w:tcPr>
          <w:p>
            <w:pPr>
              <w:pStyle w:val="yTableNAm"/>
              <w:jc w:val="center"/>
            </w:pPr>
            <w:r>
              <w:t>170.039</w:t>
            </w:r>
          </w:p>
        </w:tc>
      </w:tr>
      <w:tr>
        <w:tc>
          <w:tcPr>
            <w:tcW w:w="2159" w:type="dxa"/>
            <w:tcBorders>
              <w:top w:val="nil"/>
              <w:left w:val="nil"/>
              <w:bottom w:val="nil"/>
              <w:right w:val="nil"/>
            </w:tcBorders>
          </w:tcPr>
          <w:p>
            <w:pPr>
              <w:pStyle w:val="yTableNAm"/>
            </w:pPr>
            <w:r>
              <w:t>Nannup</w:t>
            </w:r>
          </w:p>
        </w:tc>
        <w:tc>
          <w:tcPr>
            <w:tcW w:w="1810" w:type="dxa"/>
            <w:tcBorders>
              <w:top w:val="nil"/>
              <w:left w:val="nil"/>
              <w:bottom w:val="nil"/>
              <w:right w:val="nil"/>
            </w:tcBorders>
            <w:vAlign w:val="center"/>
          </w:tcPr>
          <w:p>
            <w:pPr>
              <w:pStyle w:val="yTableNAm"/>
              <w:jc w:val="center"/>
            </w:pPr>
            <w:r>
              <w:t>10.411</w:t>
            </w:r>
          </w:p>
        </w:tc>
        <w:tc>
          <w:tcPr>
            <w:tcW w:w="2268" w:type="dxa"/>
            <w:tcBorders>
              <w:top w:val="nil"/>
              <w:left w:val="nil"/>
              <w:bottom w:val="nil"/>
              <w:right w:val="nil"/>
            </w:tcBorders>
            <w:vAlign w:val="center"/>
          </w:tcPr>
          <w:p>
            <w:pPr>
              <w:pStyle w:val="yTableNAm"/>
              <w:jc w:val="center"/>
            </w:pPr>
            <w:r>
              <w:t>14.219</w:t>
            </w:r>
          </w:p>
        </w:tc>
      </w:tr>
      <w:tr>
        <w:tc>
          <w:tcPr>
            <w:tcW w:w="2159" w:type="dxa"/>
            <w:tcBorders>
              <w:top w:val="nil"/>
              <w:left w:val="nil"/>
              <w:bottom w:val="nil"/>
              <w:right w:val="nil"/>
            </w:tcBorders>
          </w:tcPr>
          <w:p>
            <w:pPr>
              <w:pStyle w:val="yTableNAm"/>
            </w:pPr>
            <w:r>
              <w:t>Narembeen</w:t>
            </w:r>
          </w:p>
        </w:tc>
        <w:tc>
          <w:tcPr>
            <w:tcW w:w="1810" w:type="dxa"/>
            <w:tcBorders>
              <w:top w:val="nil"/>
              <w:left w:val="nil"/>
              <w:bottom w:val="nil"/>
              <w:right w:val="nil"/>
            </w:tcBorders>
            <w:vAlign w:val="center"/>
          </w:tcPr>
          <w:p>
            <w:pPr>
              <w:pStyle w:val="yTableNAm"/>
              <w:jc w:val="center"/>
            </w:pPr>
            <w:r>
              <w:t>29.024</w:t>
            </w:r>
          </w:p>
        </w:tc>
        <w:tc>
          <w:tcPr>
            <w:tcW w:w="2268" w:type="dxa"/>
            <w:tcBorders>
              <w:top w:val="nil"/>
              <w:left w:val="nil"/>
              <w:bottom w:val="nil"/>
              <w:right w:val="nil"/>
            </w:tcBorders>
            <w:vAlign w:val="center"/>
          </w:tcPr>
          <w:p>
            <w:pPr>
              <w:pStyle w:val="yTableNAm"/>
              <w:jc w:val="center"/>
            </w:pPr>
            <w:r>
              <w:t>135.752</w:t>
            </w:r>
          </w:p>
        </w:tc>
      </w:tr>
      <w:tr>
        <w:tc>
          <w:tcPr>
            <w:tcW w:w="2159" w:type="dxa"/>
            <w:tcBorders>
              <w:top w:val="nil"/>
              <w:left w:val="nil"/>
              <w:bottom w:val="nil"/>
              <w:right w:val="nil"/>
            </w:tcBorders>
          </w:tcPr>
          <w:p>
            <w:pPr>
              <w:pStyle w:val="yTableNAm"/>
            </w:pPr>
            <w:r>
              <w:t>Narrogin</w:t>
            </w:r>
          </w:p>
        </w:tc>
        <w:tc>
          <w:tcPr>
            <w:tcW w:w="1810" w:type="dxa"/>
            <w:tcBorders>
              <w:top w:val="nil"/>
              <w:left w:val="nil"/>
              <w:bottom w:val="nil"/>
              <w:right w:val="nil"/>
            </w:tcBorders>
            <w:vAlign w:val="center"/>
          </w:tcPr>
          <w:p>
            <w:pPr>
              <w:pStyle w:val="yTableNAm"/>
              <w:jc w:val="center"/>
            </w:pPr>
            <w:r>
              <w:t>9.471</w:t>
            </w:r>
          </w:p>
        </w:tc>
        <w:tc>
          <w:tcPr>
            <w:tcW w:w="2268" w:type="dxa"/>
            <w:tcBorders>
              <w:top w:val="nil"/>
              <w:left w:val="nil"/>
              <w:bottom w:val="nil"/>
              <w:right w:val="nil"/>
            </w:tcBorders>
            <w:vAlign w:val="center"/>
          </w:tcPr>
          <w:p>
            <w:pPr>
              <w:pStyle w:val="yTableNAm"/>
              <w:jc w:val="center"/>
            </w:pPr>
            <w:r>
              <w:t>22.866</w:t>
            </w:r>
          </w:p>
        </w:tc>
      </w:tr>
      <w:tr>
        <w:tc>
          <w:tcPr>
            <w:tcW w:w="2159" w:type="dxa"/>
            <w:tcBorders>
              <w:top w:val="nil"/>
              <w:left w:val="nil"/>
              <w:bottom w:val="nil"/>
              <w:right w:val="nil"/>
            </w:tcBorders>
          </w:tcPr>
          <w:p>
            <w:pPr>
              <w:pStyle w:val="yTableNAm"/>
            </w:pPr>
            <w:r>
              <w:t>Newdegate</w:t>
            </w:r>
          </w:p>
        </w:tc>
        <w:tc>
          <w:tcPr>
            <w:tcW w:w="1810" w:type="dxa"/>
            <w:tcBorders>
              <w:top w:val="nil"/>
              <w:left w:val="nil"/>
              <w:bottom w:val="nil"/>
              <w:right w:val="nil"/>
            </w:tcBorders>
            <w:vAlign w:val="center"/>
          </w:tcPr>
          <w:p>
            <w:pPr>
              <w:pStyle w:val="yTableNAm"/>
              <w:jc w:val="center"/>
            </w:pPr>
            <w:r>
              <w:t>42.986</w:t>
            </w:r>
          </w:p>
        </w:tc>
        <w:tc>
          <w:tcPr>
            <w:tcW w:w="2268" w:type="dxa"/>
            <w:tcBorders>
              <w:top w:val="nil"/>
              <w:left w:val="nil"/>
              <w:bottom w:val="nil"/>
              <w:right w:val="nil"/>
            </w:tcBorders>
            <w:vAlign w:val="center"/>
          </w:tcPr>
          <w:p>
            <w:pPr>
              <w:pStyle w:val="yTableNAm"/>
              <w:jc w:val="center"/>
            </w:pPr>
            <w:r>
              <w:t>225.948</w:t>
            </w:r>
          </w:p>
        </w:tc>
      </w:tr>
      <w:tr>
        <w:tc>
          <w:tcPr>
            <w:tcW w:w="2159" w:type="dxa"/>
            <w:tcBorders>
              <w:top w:val="nil"/>
              <w:left w:val="nil"/>
              <w:bottom w:val="nil"/>
              <w:right w:val="nil"/>
            </w:tcBorders>
          </w:tcPr>
          <w:p>
            <w:pPr>
              <w:pStyle w:val="yTableNAm"/>
            </w:pPr>
            <w:r>
              <w:t>Newman</w:t>
            </w:r>
          </w:p>
        </w:tc>
        <w:tc>
          <w:tcPr>
            <w:tcW w:w="1810" w:type="dxa"/>
            <w:tcBorders>
              <w:top w:val="nil"/>
              <w:left w:val="nil"/>
              <w:bottom w:val="nil"/>
              <w:right w:val="nil"/>
            </w:tcBorders>
            <w:vAlign w:val="center"/>
          </w:tcPr>
          <w:p>
            <w:pPr>
              <w:pStyle w:val="yTableNAm"/>
              <w:jc w:val="center"/>
            </w:pPr>
            <w:r>
              <w:t>1.022</w:t>
            </w:r>
          </w:p>
        </w:tc>
        <w:tc>
          <w:tcPr>
            <w:tcW w:w="2268" w:type="dxa"/>
            <w:tcBorders>
              <w:top w:val="nil"/>
              <w:left w:val="nil"/>
              <w:bottom w:val="nil"/>
              <w:right w:val="nil"/>
            </w:tcBorders>
            <w:vAlign w:val="center"/>
          </w:tcPr>
          <w:p>
            <w:pPr>
              <w:pStyle w:val="yTableNAm"/>
              <w:jc w:val="center"/>
            </w:pPr>
            <w:r>
              <w:t>0.888</w:t>
            </w:r>
          </w:p>
        </w:tc>
      </w:tr>
      <w:tr>
        <w:tc>
          <w:tcPr>
            <w:tcW w:w="2159" w:type="dxa"/>
            <w:tcBorders>
              <w:top w:val="nil"/>
              <w:left w:val="nil"/>
              <w:bottom w:val="nil"/>
              <w:right w:val="nil"/>
            </w:tcBorders>
          </w:tcPr>
          <w:p>
            <w:pPr>
              <w:pStyle w:val="yTableNAm"/>
            </w:pPr>
            <w:r>
              <w:t>Northam</w:t>
            </w:r>
          </w:p>
        </w:tc>
        <w:tc>
          <w:tcPr>
            <w:tcW w:w="1810" w:type="dxa"/>
            <w:tcBorders>
              <w:top w:val="nil"/>
              <w:left w:val="nil"/>
              <w:bottom w:val="nil"/>
              <w:right w:val="nil"/>
            </w:tcBorders>
            <w:vAlign w:val="center"/>
          </w:tcPr>
          <w:p>
            <w:pPr>
              <w:pStyle w:val="yTableNAm"/>
              <w:jc w:val="center"/>
            </w:pPr>
            <w:r>
              <w:t>10.194</w:t>
            </w:r>
          </w:p>
        </w:tc>
        <w:tc>
          <w:tcPr>
            <w:tcW w:w="2268" w:type="dxa"/>
            <w:tcBorders>
              <w:top w:val="nil"/>
              <w:left w:val="nil"/>
              <w:bottom w:val="nil"/>
              <w:right w:val="nil"/>
            </w:tcBorders>
            <w:vAlign w:val="center"/>
          </w:tcPr>
          <w:p>
            <w:pPr>
              <w:pStyle w:val="yTableNAm"/>
              <w:jc w:val="center"/>
            </w:pPr>
            <w:r>
              <w:t>21.938</w:t>
            </w:r>
          </w:p>
        </w:tc>
      </w:tr>
      <w:tr>
        <w:tc>
          <w:tcPr>
            <w:tcW w:w="2159" w:type="dxa"/>
            <w:tcBorders>
              <w:top w:val="nil"/>
              <w:left w:val="nil"/>
              <w:bottom w:val="nil"/>
              <w:right w:val="nil"/>
            </w:tcBorders>
          </w:tcPr>
          <w:p>
            <w:pPr>
              <w:pStyle w:val="yTableNAm"/>
            </w:pPr>
            <w:r>
              <w:t>Onslow</w:t>
            </w:r>
          </w:p>
        </w:tc>
        <w:tc>
          <w:tcPr>
            <w:tcW w:w="1810" w:type="dxa"/>
            <w:tcBorders>
              <w:top w:val="nil"/>
              <w:left w:val="nil"/>
              <w:bottom w:val="nil"/>
              <w:right w:val="nil"/>
            </w:tcBorders>
            <w:vAlign w:val="center"/>
          </w:tcPr>
          <w:p>
            <w:pPr>
              <w:pStyle w:val="yTableNAm"/>
              <w:jc w:val="center"/>
            </w:pPr>
            <w:r>
              <w:t>2.043</w:t>
            </w:r>
          </w:p>
        </w:tc>
        <w:tc>
          <w:tcPr>
            <w:tcW w:w="2268" w:type="dxa"/>
            <w:tcBorders>
              <w:top w:val="nil"/>
              <w:left w:val="nil"/>
              <w:bottom w:val="nil"/>
              <w:right w:val="nil"/>
            </w:tcBorders>
            <w:vAlign w:val="center"/>
          </w:tcPr>
          <w:p>
            <w:pPr>
              <w:pStyle w:val="yTableNAm"/>
              <w:jc w:val="center"/>
            </w:pPr>
            <w:r>
              <w:t>2.387</w:t>
            </w:r>
          </w:p>
        </w:tc>
      </w:tr>
      <w:tr>
        <w:tc>
          <w:tcPr>
            <w:tcW w:w="2159" w:type="dxa"/>
            <w:tcBorders>
              <w:top w:val="nil"/>
              <w:left w:val="nil"/>
              <w:bottom w:val="nil"/>
              <w:right w:val="nil"/>
            </w:tcBorders>
          </w:tcPr>
          <w:p>
            <w:pPr>
              <w:pStyle w:val="yTableNAm"/>
            </w:pPr>
            <w:r>
              <w:t>Pemberton</w:t>
            </w:r>
          </w:p>
        </w:tc>
        <w:tc>
          <w:tcPr>
            <w:tcW w:w="1810" w:type="dxa"/>
            <w:tcBorders>
              <w:top w:val="nil"/>
              <w:left w:val="nil"/>
              <w:bottom w:val="nil"/>
              <w:right w:val="nil"/>
            </w:tcBorders>
            <w:vAlign w:val="center"/>
          </w:tcPr>
          <w:p>
            <w:pPr>
              <w:pStyle w:val="yTableNAm"/>
              <w:jc w:val="center"/>
            </w:pPr>
            <w:r>
              <w:t>28.100</w:t>
            </w:r>
          </w:p>
        </w:tc>
        <w:tc>
          <w:tcPr>
            <w:tcW w:w="2268" w:type="dxa"/>
            <w:tcBorders>
              <w:top w:val="nil"/>
              <w:left w:val="nil"/>
              <w:bottom w:val="nil"/>
              <w:right w:val="nil"/>
            </w:tcBorders>
            <w:vAlign w:val="center"/>
          </w:tcPr>
          <w:p>
            <w:pPr>
              <w:pStyle w:val="yTableNAm"/>
              <w:jc w:val="center"/>
            </w:pPr>
            <w:r>
              <w:t>45.121</w:t>
            </w:r>
          </w:p>
        </w:tc>
      </w:tr>
      <w:tr>
        <w:tc>
          <w:tcPr>
            <w:tcW w:w="2159" w:type="dxa"/>
            <w:tcBorders>
              <w:top w:val="nil"/>
              <w:left w:val="nil"/>
              <w:bottom w:val="nil"/>
              <w:right w:val="nil"/>
            </w:tcBorders>
          </w:tcPr>
          <w:p>
            <w:pPr>
              <w:pStyle w:val="yTableNAm"/>
            </w:pPr>
            <w:r>
              <w:t>Pingelly</w:t>
            </w:r>
          </w:p>
        </w:tc>
        <w:tc>
          <w:tcPr>
            <w:tcW w:w="1810" w:type="dxa"/>
            <w:tcBorders>
              <w:top w:val="nil"/>
              <w:left w:val="nil"/>
              <w:bottom w:val="nil"/>
              <w:right w:val="nil"/>
            </w:tcBorders>
            <w:vAlign w:val="center"/>
          </w:tcPr>
          <w:p>
            <w:pPr>
              <w:pStyle w:val="yTableNAm"/>
              <w:jc w:val="center"/>
            </w:pPr>
            <w:r>
              <w:t>18.903</w:t>
            </w:r>
          </w:p>
        </w:tc>
        <w:tc>
          <w:tcPr>
            <w:tcW w:w="2268" w:type="dxa"/>
            <w:tcBorders>
              <w:top w:val="nil"/>
              <w:left w:val="nil"/>
              <w:bottom w:val="nil"/>
              <w:right w:val="nil"/>
            </w:tcBorders>
            <w:vAlign w:val="center"/>
          </w:tcPr>
          <w:p>
            <w:pPr>
              <w:pStyle w:val="yTableNAm"/>
              <w:jc w:val="center"/>
            </w:pPr>
            <w:r>
              <w:t>37.693</w:t>
            </w:r>
          </w:p>
        </w:tc>
      </w:tr>
      <w:tr>
        <w:tc>
          <w:tcPr>
            <w:tcW w:w="2159" w:type="dxa"/>
            <w:tcBorders>
              <w:top w:val="nil"/>
              <w:left w:val="nil"/>
              <w:bottom w:val="nil"/>
              <w:right w:val="nil"/>
            </w:tcBorders>
          </w:tcPr>
          <w:p>
            <w:pPr>
              <w:pStyle w:val="yTableNAm"/>
            </w:pPr>
            <w:r>
              <w:t>Pinjarra</w:t>
            </w:r>
          </w:p>
        </w:tc>
        <w:tc>
          <w:tcPr>
            <w:tcW w:w="1810" w:type="dxa"/>
            <w:tcBorders>
              <w:top w:val="nil"/>
              <w:left w:val="nil"/>
              <w:bottom w:val="nil"/>
              <w:right w:val="nil"/>
            </w:tcBorders>
            <w:vAlign w:val="center"/>
          </w:tcPr>
          <w:p>
            <w:pPr>
              <w:pStyle w:val="yTableNAm"/>
              <w:jc w:val="center"/>
            </w:pPr>
            <w:r>
              <w:t>8.996</w:t>
            </w:r>
          </w:p>
        </w:tc>
        <w:tc>
          <w:tcPr>
            <w:tcW w:w="2268" w:type="dxa"/>
            <w:tcBorders>
              <w:top w:val="nil"/>
              <w:left w:val="nil"/>
              <w:bottom w:val="nil"/>
              <w:right w:val="nil"/>
            </w:tcBorders>
            <w:vAlign w:val="center"/>
          </w:tcPr>
          <w:p>
            <w:pPr>
              <w:pStyle w:val="yTableNAm"/>
              <w:jc w:val="center"/>
            </w:pPr>
            <w:r>
              <w:t>6.629</w:t>
            </w:r>
          </w:p>
        </w:tc>
      </w:tr>
      <w:tr>
        <w:tc>
          <w:tcPr>
            <w:tcW w:w="2159" w:type="dxa"/>
            <w:tcBorders>
              <w:top w:val="nil"/>
              <w:left w:val="nil"/>
              <w:bottom w:val="nil"/>
              <w:right w:val="nil"/>
            </w:tcBorders>
          </w:tcPr>
          <w:p>
            <w:pPr>
              <w:pStyle w:val="yTableNAm"/>
            </w:pPr>
            <w:r>
              <w:t>Port Hedland</w:t>
            </w:r>
          </w:p>
        </w:tc>
        <w:tc>
          <w:tcPr>
            <w:tcW w:w="1810" w:type="dxa"/>
            <w:tcBorders>
              <w:top w:val="nil"/>
              <w:left w:val="nil"/>
              <w:bottom w:val="nil"/>
              <w:right w:val="nil"/>
            </w:tcBorders>
            <w:vAlign w:val="center"/>
          </w:tcPr>
          <w:p>
            <w:pPr>
              <w:pStyle w:val="yTableNAm"/>
              <w:jc w:val="center"/>
            </w:pPr>
            <w:r>
              <w:t>3.350</w:t>
            </w:r>
          </w:p>
        </w:tc>
        <w:tc>
          <w:tcPr>
            <w:tcW w:w="2268" w:type="dxa"/>
            <w:tcBorders>
              <w:top w:val="nil"/>
              <w:left w:val="nil"/>
              <w:bottom w:val="nil"/>
              <w:right w:val="nil"/>
            </w:tcBorders>
            <w:vAlign w:val="center"/>
          </w:tcPr>
          <w:p>
            <w:pPr>
              <w:pStyle w:val="yTableNAm"/>
              <w:jc w:val="center"/>
            </w:pPr>
            <w:r>
              <w:t>3.586</w:t>
            </w:r>
          </w:p>
        </w:tc>
      </w:tr>
      <w:tr>
        <w:tc>
          <w:tcPr>
            <w:tcW w:w="2159" w:type="dxa"/>
            <w:tcBorders>
              <w:top w:val="nil"/>
              <w:left w:val="nil"/>
              <w:bottom w:val="nil"/>
              <w:right w:val="nil"/>
            </w:tcBorders>
          </w:tcPr>
          <w:p>
            <w:pPr>
              <w:pStyle w:val="yTableNAm"/>
            </w:pPr>
            <w:r>
              <w:t>Prevelly</w:t>
            </w:r>
          </w:p>
        </w:tc>
        <w:tc>
          <w:tcPr>
            <w:tcW w:w="1810" w:type="dxa"/>
            <w:tcBorders>
              <w:top w:val="nil"/>
              <w:left w:val="nil"/>
              <w:bottom w:val="nil"/>
              <w:right w:val="nil"/>
            </w:tcBorders>
            <w:vAlign w:val="center"/>
          </w:tcPr>
          <w:p>
            <w:pPr>
              <w:pStyle w:val="yTableNAm"/>
              <w:jc w:val="center"/>
            </w:pPr>
            <w:r>
              <w:t>7.854</w:t>
            </w:r>
          </w:p>
        </w:tc>
        <w:tc>
          <w:tcPr>
            <w:tcW w:w="2268" w:type="dxa"/>
            <w:tcBorders>
              <w:top w:val="nil"/>
              <w:left w:val="nil"/>
              <w:bottom w:val="nil"/>
              <w:right w:val="nil"/>
            </w:tcBorders>
            <w:vAlign w:val="center"/>
          </w:tcPr>
          <w:p>
            <w:pPr>
              <w:pStyle w:val="yTableNAm"/>
              <w:jc w:val="center"/>
            </w:pPr>
            <w:r>
              <w:t>9.167</w:t>
            </w:r>
          </w:p>
        </w:tc>
      </w:tr>
      <w:tr>
        <w:tc>
          <w:tcPr>
            <w:tcW w:w="2159" w:type="dxa"/>
            <w:tcBorders>
              <w:top w:val="nil"/>
              <w:left w:val="nil"/>
              <w:bottom w:val="nil"/>
              <w:right w:val="nil"/>
            </w:tcBorders>
          </w:tcPr>
          <w:p>
            <w:pPr>
              <w:pStyle w:val="yTableNAm"/>
            </w:pPr>
            <w:r>
              <w:t>Quairading</w:t>
            </w:r>
          </w:p>
        </w:tc>
        <w:tc>
          <w:tcPr>
            <w:tcW w:w="1810" w:type="dxa"/>
            <w:tcBorders>
              <w:top w:val="nil"/>
              <w:left w:val="nil"/>
              <w:bottom w:val="nil"/>
              <w:right w:val="nil"/>
            </w:tcBorders>
            <w:vAlign w:val="center"/>
          </w:tcPr>
          <w:p>
            <w:pPr>
              <w:pStyle w:val="yTableNAm"/>
              <w:jc w:val="center"/>
            </w:pPr>
            <w:r>
              <w:t>27.180</w:t>
            </w:r>
          </w:p>
        </w:tc>
        <w:tc>
          <w:tcPr>
            <w:tcW w:w="2268" w:type="dxa"/>
            <w:tcBorders>
              <w:top w:val="nil"/>
              <w:left w:val="nil"/>
              <w:bottom w:val="nil"/>
              <w:right w:val="nil"/>
            </w:tcBorders>
            <w:vAlign w:val="center"/>
          </w:tcPr>
          <w:p>
            <w:pPr>
              <w:pStyle w:val="yTableNAm"/>
              <w:jc w:val="center"/>
            </w:pPr>
            <w:r>
              <w:t>45.190</w:t>
            </w:r>
          </w:p>
        </w:tc>
      </w:tr>
      <w:tr>
        <w:tc>
          <w:tcPr>
            <w:tcW w:w="2159" w:type="dxa"/>
            <w:tcBorders>
              <w:top w:val="nil"/>
              <w:left w:val="nil"/>
              <w:bottom w:val="nil"/>
              <w:right w:val="nil"/>
            </w:tcBorders>
          </w:tcPr>
          <w:p>
            <w:pPr>
              <w:pStyle w:val="yTableNAm"/>
            </w:pPr>
            <w:r>
              <w:t>Roebourne</w:t>
            </w:r>
          </w:p>
        </w:tc>
        <w:tc>
          <w:tcPr>
            <w:tcW w:w="1810" w:type="dxa"/>
            <w:tcBorders>
              <w:top w:val="nil"/>
              <w:left w:val="nil"/>
              <w:bottom w:val="nil"/>
              <w:right w:val="nil"/>
            </w:tcBorders>
            <w:vAlign w:val="center"/>
          </w:tcPr>
          <w:p>
            <w:pPr>
              <w:pStyle w:val="yTableNAm"/>
              <w:jc w:val="center"/>
            </w:pPr>
            <w:r>
              <w:t>21.362</w:t>
            </w:r>
          </w:p>
        </w:tc>
        <w:tc>
          <w:tcPr>
            <w:tcW w:w="2268" w:type="dxa"/>
            <w:tcBorders>
              <w:top w:val="nil"/>
              <w:left w:val="nil"/>
              <w:bottom w:val="nil"/>
              <w:right w:val="nil"/>
            </w:tcBorders>
            <w:vAlign w:val="center"/>
          </w:tcPr>
          <w:p>
            <w:pPr>
              <w:pStyle w:val="yTableNAm"/>
              <w:jc w:val="center"/>
            </w:pPr>
            <w:r>
              <w:t>36.575</w:t>
            </w:r>
          </w:p>
        </w:tc>
      </w:tr>
      <w:tr>
        <w:tc>
          <w:tcPr>
            <w:tcW w:w="2159" w:type="dxa"/>
            <w:tcBorders>
              <w:top w:val="nil"/>
              <w:left w:val="nil"/>
              <w:bottom w:val="nil"/>
              <w:right w:val="nil"/>
            </w:tcBorders>
          </w:tcPr>
          <w:p>
            <w:pPr>
              <w:pStyle w:val="yTableNAm"/>
            </w:pPr>
            <w:r>
              <w:t>Seabird</w:t>
            </w:r>
          </w:p>
        </w:tc>
        <w:tc>
          <w:tcPr>
            <w:tcW w:w="1810" w:type="dxa"/>
            <w:tcBorders>
              <w:top w:val="nil"/>
              <w:left w:val="nil"/>
              <w:bottom w:val="nil"/>
              <w:right w:val="nil"/>
            </w:tcBorders>
            <w:vAlign w:val="center"/>
          </w:tcPr>
          <w:p>
            <w:pPr>
              <w:pStyle w:val="yTableNAm"/>
              <w:jc w:val="center"/>
            </w:pPr>
            <w:r>
              <w:t>57.069</w:t>
            </w:r>
          </w:p>
        </w:tc>
        <w:tc>
          <w:tcPr>
            <w:tcW w:w="2268" w:type="dxa"/>
            <w:tcBorders>
              <w:top w:val="nil"/>
              <w:left w:val="nil"/>
              <w:bottom w:val="nil"/>
              <w:right w:val="nil"/>
            </w:tcBorders>
            <w:vAlign w:val="center"/>
          </w:tcPr>
          <w:p>
            <w:pPr>
              <w:pStyle w:val="yTableNAm"/>
              <w:jc w:val="center"/>
            </w:pPr>
            <w:r>
              <w:t>66.529</w:t>
            </w:r>
          </w:p>
        </w:tc>
      </w:tr>
      <w:tr>
        <w:tc>
          <w:tcPr>
            <w:tcW w:w="2159" w:type="dxa"/>
            <w:tcBorders>
              <w:top w:val="nil"/>
              <w:left w:val="nil"/>
              <w:bottom w:val="nil"/>
              <w:right w:val="nil"/>
            </w:tcBorders>
          </w:tcPr>
          <w:p>
            <w:pPr>
              <w:pStyle w:val="yTableNAm"/>
            </w:pPr>
            <w:r>
              <w:t>Tambellup</w:t>
            </w:r>
          </w:p>
        </w:tc>
        <w:tc>
          <w:tcPr>
            <w:tcW w:w="1810" w:type="dxa"/>
            <w:tcBorders>
              <w:top w:val="nil"/>
              <w:left w:val="nil"/>
              <w:bottom w:val="nil"/>
              <w:right w:val="nil"/>
            </w:tcBorders>
            <w:vAlign w:val="center"/>
          </w:tcPr>
          <w:p>
            <w:pPr>
              <w:pStyle w:val="yTableNAm"/>
              <w:jc w:val="center"/>
            </w:pPr>
            <w:r>
              <w:t>44.238</w:t>
            </w:r>
          </w:p>
        </w:tc>
        <w:tc>
          <w:tcPr>
            <w:tcW w:w="2268" w:type="dxa"/>
            <w:tcBorders>
              <w:top w:val="nil"/>
              <w:left w:val="nil"/>
              <w:bottom w:val="nil"/>
              <w:right w:val="nil"/>
            </w:tcBorders>
            <w:vAlign w:val="center"/>
          </w:tcPr>
          <w:p>
            <w:pPr>
              <w:pStyle w:val="yTableNAm"/>
              <w:jc w:val="center"/>
            </w:pPr>
            <w:r>
              <w:t>165.362</w:t>
            </w:r>
          </w:p>
        </w:tc>
      </w:tr>
      <w:tr>
        <w:tc>
          <w:tcPr>
            <w:tcW w:w="2159" w:type="dxa"/>
            <w:tcBorders>
              <w:top w:val="nil"/>
              <w:left w:val="nil"/>
              <w:bottom w:val="nil"/>
              <w:right w:val="nil"/>
            </w:tcBorders>
          </w:tcPr>
          <w:p>
            <w:pPr>
              <w:pStyle w:val="yTableNAm"/>
            </w:pPr>
            <w:r>
              <w:t>Three Springs</w:t>
            </w:r>
          </w:p>
        </w:tc>
        <w:tc>
          <w:tcPr>
            <w:tcW w:w="1810" w:type="dxa"/>
            <w:tcBorders>
              <w:top w:val="nil"/>
              <w:left w:val="nil"/>
              <w:bottom w:val="nil"/>
              <w:right w:val="nil"/>
            </w:tcBorders>
            <w:vAlign w:val="center"/>
          </w:tcPr>
          <w:p>
            <w:pPr>
              <w:pStyle w:val="yTableNAm"/>
              <w:jc w:val="center"/>
            </w:pPr>
            <w:r>
              <w:t>4.162</w:t>
            </w:r>
          </w:p>
        </w:tc>
        <w:tc>
          <w:tcPr>
            <w:tcW w:w="2268" w:type="dxa"/>
            <w:tcBorders>
              <w:top w:val="nil"/>
              <w:left w:val="nil"/>
              <w:bottom w:val="nil"/>
              <w:right w:val="nil"/>
            </w:tcBorders>
            <w:vAlign w:val="center"/>
          </w:tcPr>
          <w:p>
            <w:pPr>
              <w:pStyle w:val="yTableNAm"/>
              <w:jc w:val="center"/>
            </w:pPr>
            <w:r>
              <w:t>28.431</w:t>
            </w:r>
          </w:p>
        </w:tc>
      </w:tr>
      <w:tr>
        <w:tc>
          <w:tcPr>
            <w:tcW w:w="2159" w:type="dxa"/>
            <w:tcBorders>
              <w:top w:val="nil"/>
              <w:left w:val="nil"/>
              <w:bottom w:val="nil"/>
              <w:right w:val="nil"/>
            </w:tcBorders>
          </w:tcPr>
          <w:p>
            <w:pPr>
              <w:pStyle w:val="yTableNAm"/>
            </w:pPr>
            <w:r>
              <w:t>Toodyay</w:t>
            </w:r>
          </w:p>
        </w:tc>
        <w:tc>
          <w:tcPr>
            <w:tcW w:w="1810" w:type="dxa"/>
            <w:tcBorders>
              <w:top w:val="nil"/>
              <w:left w:val="nil"/>
              <w:bottom w:val="nil"/>
              <w:right w:val="nil"/>
            </w:tcBorders>
            <w:vAlign w:val="center"/>
          </w:tcPr>
          <w:p>
            <w:pPr>
              <w:pStyle w:val="yTableNAm"/>
              <w:jc w:val="center"/>
            </w:pPr>
            <w:r>
              <w:t>9.980</w:t>
            </w:r>
          </w:p>
        </w:tc>
        <w:tc>
          <w:tcPr>
            <w:tcW w:w="2268" w:type="dxa"/>
            <w:tcBorders>
              <w:top w:val="nil"/>
              <w:left w:val="nil"/>
              <w:bottom w:val="nil"/>
              <w:right w:val="nil"/>
            </w:tcBorders>
            <w:vAlign w:val="center"/>
          </w:tcPr>
          <w:p>
            <w:pPr>
              <w:pStyle w:val="yTableNAm"/>
              <w:jc w:val="center"/>
            </w:pPr>
            <w:r>
              <w:t>16.311</w:t>
            </w:r>
          </w:p>
        </w:tc>
      </w:tr>
      <w:tr>
        <w:tc>
          <w:tcPr>
            <w:tcW w:w="2159" w:type="dxa"/>
            <w:tcBorders>
              <w:top w:val="nil"/>
              <w:left w:val="nil"/>
              <w:bottom w:val="nil"/>
              <w:right w:val="nil"/>
            </w:tcBorders>
          </w:tcPr>
          <w:p>
            <w:pPr>
              <w:pStyle w:val="yTableNAm"/>
            </w:pPr>
            <w:r>
              <w:t>Wagin</w:t>
            </w:r>
          </w:p>
        </w:tc>
        <w:tc>
          <w:tcPr>
            <w:tcW w:w="1810" w:type="dxa"/>
            <w:tcBorders>
              <w:top w:val="nil"/>
              <w:left w:val="nil"/>
              <w:bottom w:val="nil"/>
              <w:right w:val="nil"/>
            </w:tcBorders>
            <w:vAlign w:val="center"/>
          </w:tcPr>
          <w:p>
            <w:pPr>
              <w:pStyle w:val="yTableNAm"/>
              <w:jc w:val="center"/>
            </w:pPr>
            <w:r>
              <w:t>14.541</w:t>
            </w:r>
          </w:p>
        </w:tc>
        <w:tc>
          <w:tcPr>
            <w:tcW w:w="2268" w:type="dxa"/>
            <w:tcBorders>
              <w:top w:val="nil"/>
              <w:left w:val="nil"/>
              <w:bottom w:val="nil"/>
              <w:right w:val="nil"/>
            </w:tcBorders>
            <w:vAlign w:val="center"/>
          </w:tcPr>
          <w:p>
            <w:pPr>
              <w:pStyle w:val="yTableNAm"/>
              <w:jc w:val="center"/>
            </w:pPr>
            <w:r>
              <w:t>33.481</w:t>
            </w:r>
          </w:p>
        </w:tc>
      </w:tr>
      <w:tr>
        <w:tc>
          <w:tcPr>
            <w:tcW w:w="2159" w:type="dxa"/>
            <w:tcBorders>
              <w:top w:val="nil"/>
              <w:left w:val="nil"/>
              <w:bottom w:val="nil"/>
              <w:right w:val="nil"/>
            </w:tcBorders>
          </w:tcPr>
          <w:p>
            <w:pPr>
              <w:pStyle w:val="yTableNAm"/>
            </w:pPr>
            <w:r>
              <w:t>Walpole</w:t>
            </w:r>
          </w:p>
        </w:tc>
        <w:tc>
          <w:tcPr>
            <w:tcW w:w="1810" w:type="dxa"/>
            <w:tcBorders>
              <w:top w:val="nil"/>
              <w:left w:val="nil"/>
              <w:bottom w:val="nil"/>
              <w:right w:val="nil"/>
            </w:tcBorders>
            <w:vAlign w:val="center"/>
          </w:tcPr>
          <w:p>
            <w:pPr>
              <w:pStyle w:val="yTableNAm"/>
              <w:jc w:val="center"/>
            </w:pPr>
            <w:r>
              <w:t>17.591</w:t>
            </w:r>
          </w:p>
        </w:tc>
        <w:tc>
          <w:tcPr>
            <w:tcW w:w="2268" w:type="dxa"/>
            <w:tcBorders>
              <w:top w:val="nil"/>
              <w:left w:val="nil"/>
              <w:bottom w:val="nil"/>
              <w:right w:val="nil"/>
            </w:tcBorders>
            <w:vAlign w:val="center"/>
          </w:tcPr>
          <w:p>
            <w:pPr>
              <w:pStyle w:val="yTableNAm"/>
              <w:jc w:val="center"/>
            </w:pPr>
            <w:r>
              <w:t>22.714</w:t>
            </w:r>
          </w:p>
        </w:tc>
      </w:tr>
      <w:tr>
        <w:tc>
          <w:tcPr>
            <w:tcW w:w="2159" w:type="dxa"/>
            <w:tcBorders>
              <w:top w:val="nil"/>
              <w:left w:val="nil"/>
              <w:bottom w:val="nil"/>
              <w:right w:val="nil"/>
            </w:tcBorders>
          </w:tcPr>
          <w:p>
            <w:pPr>
              <w:pStyle w:val="yTableNAm"/>
            </w:pPr>
            <w:r>
              <w:t>Waroona</w:t>
            </w:r>
          </w:p>
        </w:tc>
        <w:tc>
          <w:tcPr>
            <w:tcW w:w="1810" w:type="dxa"/>
            <w:tcBorders>
              <w:top w:val="nil"/>
              <w:left w:val="nil"/>
              <w:bottom w:val="nil"/>
              <w:right w:val="nil"/>
            </w:tcBorders>
            <w:vAlign w:val="center"/>
          </w:tcPr>
          <w:p>
            <w:pPr>
              <w:pStyle w:val="yTableNAm"/>
              <w:jc w:val="center"/>
            </w:pPr>
            <w:r>
              <w:t>8.378</w:t>
            </w:r>
          </w:p>
        </w:tc>
        <w:tc>
          <w:tcPr>
            <w:tcW w:w="2268" w:type="dxa"/>
            <w:tcBorders>
              <w:top w:val="nil"/>
              <w:left w:val="nil"/>
              <w:bottom w:val="nil"/>
              <w:right w:val="nil"/>
            </w:tcBorders>
            <w:vAlign w:val="center"/>
          </w:tcPr>
          <w:p>
            <w:pPr>
              <w:pStyle w:val="yTableNAm"/>
              <w:jc w:val="center"/>
            </w:pPr>
            <w:r>
              <w:t>13.580</w:t>
            </w:r>
          </w:p>
        </w:tc>
      </w:tr>
      <w:tr>
        <w:tc>
          <w:tcPr>
            <w:tcW w:w="2159" w:type="dxa"/>
            <w:tcBorders>
              <w:top w:val="nil"/>
              <w:left w:val="nil"/>
              <w:bottom w:val="nil"/>
              <w:right w:val="nil"/>
            </w:tcBorders>
          </w:tcPr>
          <w:p>
            <w:pPr>
              <w:pStyle w:val="yTableNAm"/>
            </w:pPr>
            <w:r>
              <w:t>Wickham</w:t>
            </w:r>
          </w:p>
        </w:tc>
        <w:tc>
          <w:tcPr>
            <w:tcW w:w="1810" w:type="dxa"/>
            <w:tcBorders>
              <w:top w:val="nil"/>
              <w:left w:val="nil"/>
              <w:bottom w:val="nil"/>
              <w:right w:val="nil"/>
            </w:tcBorders>
            <w:vAlign w:val="center"/>
          </w:tcPr>
          <w:p>
            <w:pPr>
              <w:pStyle w:val="yTableNAm"/>
              <w:jc w:val="center"/>
            </w:pPr>
            <w:r>
              <w:t>5.102</w:t>
            </w:r>
          </w:p>
        </w:tc>
        <w:tc>
          <w:tcPr>
            <w:tcW w:w="2268" w:type="dxa"/>
            <w:tcBorders>
              <w:top w:val="nil"/>
              <w:left w:val="nil"/>
              <w:bottom w:val="nil"/>
              <w:right w:val="nil"/>
            </w:tcBorders>
            <w:vAlign w:val="center"/>
          </w:tcPr>
          <w:p>
            <w:pPr>
              <w:pStyle w:val="yTableNAm"/>
              <w:jc w:val="center"/>
            </w:pPr>
            <w:r>
              <w:t>10.038</w:t>
            </w:r>
          </w:p>
        </w:tc>
      </w:tr>
      <w:tr>
        <w:tc>
          <w:tcPr>
            <w:tcW w:w="2159" w:type="dxa"/>
            <w:tcBorders>
              <w:top w:val="nil"/>
              <w:left w:val="nil"/>
              <w:bottom w:val="nil"/>
              <w:right w:val="nil"/>
            </w:tcBorders>
          </w:tcPr>
          <w:p>
            <w:pPr>
              <w:pStyle w:val="yTableNAm"/>
            </w:pPr>
            <w:r>
              <w:t>Williams</w:t>
            </w:r>
          </w:p>
        </w:tc>
        <w:tc>
          <w:tcPr>
            <w:tcW w:w="1810" w:type="dxa"/>
            <w:tcBorders>
              <w:top w:val="nil"/>
              <w:left w:val="nil"/>
              <w:bottom w:val="nil"/>
              <w:right w:val="nil"/>
            </w:tcBorders>
            <w:vAlign w:val="center"/>
          </w:tcPr>
          <w:p>
            <w:pPr>
              <w:pStyle w:val="yTableNAm"/>
              <w:jc w:val="center"/>
            </w:pPr>
            <w:r>
              <w:t>19.313</w:t>
            </w:r>
          </w:p>
        </w:tc>
        <w:tc>
          <w:tcPr>
            <w:tcW w:w="2268" w:type="dxa"/>
            <w:tcBorders>
              <w:top w:val="nil"/>
              <w:left w:val="nil"/>
              <w:bottom w:val="nil"/>
              <w:right w:val="nil"/>
            </w:tcBorders>
            <w:vAlign w:val="center"/>
          </w:tcPr>
          <w:p>
            <w:pPr>
              <w:pStyle w:val="yTableNAm"/>
              <w:jc w:val="center"/>
            </w:pPr>
            <w:r>
              <w:t>23.445</w:t>
            </w:r>
          </w:p>
        </w:tc>
      </w:tr>
      <w:tr>
        <w:tc>
          <w:tcPr>
            <w:tcW w:w="2159" w:type="dxa"/>
            <w:tcBorders>
              <w:top w:val="nil"/>
              <w:left w:val="nil"/>
              <w:bottom w:val="nil"/>
              <w:right w:val="nil"/>
            </w:tcBorders>
          </w:tcPr>
          <w:p>
            <w:pPr>
              <w:pStyle w:val="yTableNAm"/>
            </w:pPr>
            <w:r>
              <w:t>Wiluna</w:t>
            </w:r>
          </w:p>
        </w:tc>
        <w:tc>
          <w:tcPr>
            <w:tcW w:w="1810" w:type="dxa"/>
            <w:tcBorders>
              <w:top w:val="nil"/>
              <w:left w:val="nil"/>
              <w:bottom w:val="nil"/>
              <w:right w:val="nil"/>
            </w:tcBorders>
            <w:vAlign w:val="center"/>
          </w:tcPr>
          <w:p>
            <w:pPr>
              <w:pStyle w:val="yTableNAm"/>
              <w:jc w:val="center"/>
            </w:pPr>
            <w:r>
              <w:t>13.104</w:t>
            </w:r>
          </w:p>
        </w:tc>
        <w:tc>
          <w:tcPr>
            <w:tcW w:w="2268" w:type="dxa"/>
            <w:tcBorders>
              <w:top w:val="nil"/>
              <w:left w:val="nil"/>
              <w:bottom w:val="nil"/>
              <w:right w:val="nil"/>
            </w:tcBorders>
            <w:vAlign w:val="center"/>
          </w:tcPr>
          <w:p>
            <w:pPr>
              <w:pStyle w:val="yTableNAm"/>
              <w:jc w:val="center"/>
            </w:pPr>
            <w:r>
              <w:t>12.540</w:t>
            </w:r>
          </w:p>
        </w:tc>
      </w:tr>
      <w:tr>
        <w:tc>
          <w:tcPr>
            <w:tcW w:w="2159" w:type="dxa"/>
            <w:tcBorders>
              <w:top w:val="nil"/>
              <w:left w:val="nil"/>
              <w:bottom w:val="nil"/>
              <w:right w:val="nil"/>
            </w:tcBorders>
          </w:tcPr>
          <w:p>
            <w:pPr>
              <w:pStyle w:val="yTableNAm"/>
            </w:pPr>
            <w:r>
              <w:t>Wongan Hills</w:t>
            </w:r>
          </w:p>
        </w:tc>
        <w:tc>
          <w:tcPr>
            <w:tcW w:w="1810" w:type="dxa"/>
            <w:tcBorders>
              <w:top w:val="nil"/>
              <w:left w:val="nil"/>
              <w:bottom w:val="nil"/>
              <w:right w:val="nil"/>
            </w:tcBorders>
            <w:vAlign w:val="center"/>
          </w:tcPr>
          <w:p>
            <w:pPr>
              <w:pStyle w:val="yTableNAm"/>
              <w:jc w:val="center"/>
            </w:pPr>
            <w:r>
              <w:t>17.488</w:t>
            </w:r>
          </w:p>
        </w:tc>
        <w:tc>
          <w:tcPr>
            <w:tcW w:w="2268" w:type="dxa"/>
            <w:tcBorders>
              <w:top w:val="nil"/>
              <w:left w:val="nil"/>
              <w:bottom w:val="nil"/>
              <w:right w:val="nil"/>
            </w:tcBorders>
            <w:vAlign w:val="center"/>
          </w:tcPr>
          <w:p>
            <w:pPr>
              <w:pStyle w:val="yTableNAm"/>
              <w:jc w:val="center"/>
            </w:pPr>
            <w:r>
              <w:t>30.522</w:t>
            </w:r>
          </w:p>
        </w:tc>
      </w:tr>
      <w:tr>
        <w:tc>
          <w:tcPr>
            <w:tcW w:w="2159" w:type="dxa"/>
            <w:tcBorders>
              <w:top w:val="nil"/>
              <w:left w:val="nil"/>
              <w:bottom w:val="nil"/>
              <w:right w:val="nil"/>
            </w:tcBorders>
          </w:tcPr>
          <w:p>
            <w:pPr>
              <w:pStyle w:val="yTableNAm"/>
            </w:pPr>
            <w:r>
              <w:t>Wundowie</w:t>
            </w:r>
          </w:p>
        </w:tc>
        <w:tc>
          <w:tcPr>
            <w:tcW w:w="1810" w:type="dxa"/>
            <w:tcBorders>
              <w:top w:val="nil"/>
              <w:left w:val="nil"/>
              <w:bottom w:val="nil"/>
              <w:right w:val="nil"/>
            </w:tcBorders>
            <w:vAlign w:val="center"/>
          </w:tcPr>
          <w:p>
            <w:pPr>
              <w:pStyle w:val="yTableNAm"/>
              <w:jc w:val="center"/>
            </w:pPr>
            <w:r>
              <w:t>14.615</w:t>
            </w:r>
          </w:p>
        </w:tc>
        <w:tc>
          <w:tcPr>
            <w:tcW w:w="2268" w:type="dxa"/>
            <w:tcBorders>
              <w:top w:val="nil"/>
              <w:left w:val="nil"/>
              <w:bottom w:val="nil"/>
              <w:right w:val="nil"/>
            </w:tcBorders>
            <w:vAlign w:val="center"/>
          </w:tcPr>
          <w:p>
            <w:pPr>
              <w:pStyle w:val="yTableNAm"/>
              <w:jc w:val="center"/>
            </w:pPr>
            <w:r>
              <w:t>21.161</w:t>
            </w:r>
          </w:p>
        </w:tc>
      </w:tr>
      <w:tr>
        <w:tc>
          <w:tcPr>
            <w:tcW w:w="2159" w:type="dxa"/>
            <w:tcBorders>
              <w:top w:val="nil"/>
              <w:left w:val="nil"/>
              <w:bottom w:val="nil"/>
              <w:right w:val="nil"/>
            </w:tcBorders>
          </w:tcPr>
          <w:p>
            <w:pPr>
              <w:pStyle w:val="yTableNAm"/>
            </w:pPr>
            <w:r>
              <w:t>Wyalkatchem</w:t>
            </w:r>
          </w:p>
        </w:tc>
        <w:tc>
          <w:tcPr>
            <w:tcW w:w="1810" w:type="dxa"/>
            <w:tcBorders>
              <w:top w:val="nil"/>
              <w:left w:val="nil"/>
              <w:bottom w:val="nil"/>
              <w:right w:val="nil"/>
            </w:tcBorders>
            <w:vAlign w:val="center"/>
          </w:tcPr>
          <w:p>
            <w:pPr>
              <w:pStyle w:val="yTableNAm"/>
              <w:jc w:val="center"/>
            </w:pPr>
            <w:r>
              <w:t>27.558</w:t>
            </w:r>
          </w:p>
        </w:tc>
        <w:tc>
          <w:tcPr>
            <w:tcW w:w="2268" w:type="dxa"/>
            <w:tcBorders>
              <w:top w:val="nil"/>
              <w:left w:val="nil"/>
              <w:bottom w:val="nil"/>
              <w:right w:val="nil"/>
            </w:tcBorders>
            <w:vAlign w:val="center"/>
          </w:tcPr>
          <w:p>
            <w:pPr>
              <w:pStyle w:val="yTableNAm"/>
              <w:jc w:val="center"/>
            </w:pPr>
            <w:r>
              <w:t>125.451</w:t>
            </w:r>
          </w:p>
        </w:tc>
      </w:tr>
      <w:tr>
        <w:tc>
          <w:tcPr>
            <w:tcW w:w="2159" w:type="dxa"/>
            <w:tcBorders>
              <w:top w:val="nil"/>
              <w:left w:val="nil"/>
              <w:bottom w:val="nil"/>
              <w:right w:val="nil"/>
            </w:tcBorders>
          </w:tcPr>
          <w:p>
            <w:pPr>
              <w:pStyle w:val="yTableNAm"/>
            </w:pPr>
            <w:r>
              <w:t>Wyndham</w:t>
            </w:r>
          </w:p>
        </w:tc>
        <w:tc>
          <w:tcPr>
            <w:tcW w:w="1810" w:type="dxa"/>
            <w:tcBorders>
              <w:top w:val="nil"/>
              <w:left w:val="nil"/>
              <w:bottom w:val="nil"/>
              <w:right w:val="nil"/>
            </w:tcBorders>
            <w:vAlign w:val="center"/>
          </w:tcPr>
          <w:p>
            <w:pPr>
              <w:pStyle w:val="yTableNAm"/>
              <w:jc w:val="center"/>
            </w:pPr>
            <w:r>
              <w:t>28.601</w:t>
            </w:r>
          </w:p>
        </w:tc>
        <w:tc>
          <w:tcPr>
            <w:tcW w:w="2268" w:type="dxa"/>
            <w:tcBorders>
              <w:top w:val="nil"/>
              <w:left w:val="nil"/>
              <w:bottom w:val="nil"/>
              <w:right w:val="nil"/>
            </w:tcBorders>
            <w:vAlign w:val="center"/>
          </w:tcPr>
          <w:p>
            <w:pPr>
              <w:pStyle w:val="yTableNAm"/>
              <w:jc w:val="center"/>
            </w:pPr>
            <w:r>
              <w:t>55.653</w:t>
            </w:r>
          </w:p>
        </w:tc>
      </w:tr>
      <w:tr>
        <w:tc>
          <w:tcPr>
            <w:tcW w:w="2159" w:type="dxa"/>
            <w:tcBorders>
              <w:top w:val="nil"/>
              <w:left w:val="nil"/>
              <w:bottom w:val="nil"/>
              <w:right w:val="nil"/>
            </w:tcBorders>
          </w:tcPr>
          <w:p>
            <w:pPr>
              <w:pStyle w:val="yTableNAm"/>
            </w:pPr>
            <w:r>
              <w:t>York</w:t>
            </w:r>
          </w:p>
        </w:tc>
        <w:tc>
          <w:tcPr>
            <w:tcW w:w="1810" w:type="dxa"/>
            <w:tcBorders>
              <w:top w:val="nil"/>
              <w:left w:val="nil"/>
              <w:bottom w:val="nil"/>
              <w:right w:val="nil"/>
            </w:tcBorders>
            <w:vAlign w:val="center"/>
          </w:tcPr>
          <w:p>
            <w:pPr>
              <w:pStyle w:val="yTableNAm"/>
              <w:jc w:val="center"/>
            </w:pPr>
            <w:r>
              <w:t>1.286</w:t>
            </w:r>
          </w:p>
        </w:tc>
        <w:tc>
          <w:tcPr>
            <w:tcW w:w="2268" w:type="dxa"/>
            <w:tcBorders>
              <w:top w:val="nil"/>
              <w:left w:val="nil"/>
              <w:bottom w:val="nil"/>
              <w:right w:val="nil"/>
            </w:tcBorders>
            <w:vAlign w:val="center"/>
          </w:tcPr>
          <w:p>
            <w:pPr>
              <w:pStyle w:val="yTableNAm"/>
              <w:jc w:val="center"/>
            </w:pPr>
            <w:r>
              <w:t>2.792</w:t>
            </w:r>
          </w:p>
        </w:tc>
      </w:tr>
      <w:tr>
        <w:tc>
          <w:tcPr>
            <w:tcW w:w="2159" w:type="dxa"/>
            <w:tcBorders>
              <w:top w:val="nil"/>
              <w:left w:val="nil"/>
              <w:bottom w:val="single" w:sz="4" w:space="0" w:color="auto"/>
              <w:right w:val="nil"/>
            </w:tcBorders>
          </w:tcPr>
          <w:p>
            <w:pPr>
              <w:pStyle w:val="yTableNAm"/>
            </w:pPr>
            <w:r>
              <w:t>Yunderup</w:t>
            </w:r>
          </w:p>
        </w:tc>
        <w:tc>
          <w:tcPr>
            <w:tcW w:w="1810" w:type="dxa"/>
            <w:tcBorders>
              <w:top w:val="nil"/>
              <w:left w:val="nil"/>
              <w:bottom w:val="single" w:sz="4" w:space="0" w:color="auto"/>
              <w:right w:val="nil"/>
            </w:tcBorders>
            <w:vAlign w:val="center"/>
          </w:tcPr>
          <w:p>
            <w:pPr>
              <w:pStyle w:val="yTableNAm"/>
              <w:jc w:val="center"/>
            </w:pPr>
            <w:r>
              <w:t>5.609</w:t>
            </w:r>
          </w:p>
        </w:tc>
        <w:tc>
          <w:tcPr>
            <w:tcW w:w="2268" w:type="dxa"/>
            <w:tcBorders>
              <w:top w:val="nil"/>
              <w:left w:val="nil"/>
              <w:bottom w:val="single" w:sz="4" w:space="0" w:color="auto"/>
              <w:right w:val="nil"/>
            </w:tcBorders>
            <w:vAlign w:val="center"/>
          </w:tcPr>
          <w:p>
            <w:pPr>
              <w:pStyle w:val="yTableNAm"/>
              <w:jc w:val="center"/>
            </w:pPr>
            <w:r>
              <w:t>7.265</w:t>
            </w:r>
          </w:p>
        </w:tc>
      </w:tr>
    </w:tbl>
    <w:p>
      <w:pPr>
        <w:pStyle w:val="yFootnotesection"/>
      </w:pPr>
      <w:bookmarkStart w:id="366" w:name="_Toc453239592"/>
      <w:bookmarkStart w:id="367" w:name="_Toc453239763"/>
      <w:bookmarkStart w:id="368" w:name="_Toc453239940"/>
      <w:bookmarkStart w:id="369" w:name="_Toc453240153"/>
      <w:bookmarkStart w:id="370" w:name="_Toc453243646"/>
      <w:r>
        <w:tab/>
        <w:t>[Division 1 inserted in Gazette 27 Jun 2016 p. 2563</w:t>
      </w:r>
      <w:r>
        <w:noBreakHyphen/>
        <w:t>71.]</w:t>
      </w:r>
    </w:p>
    <w:p>
      <w:pPr>
        <w:pStyle w:val="yHeading3"/>
        <w:rPr>
          <w:b w:val="0"/>
        </w:rPr>
      </w:pPr>
      <w:bookmarkStart w:id="371" w:name="_Toc455155320"/>
      <w:bookmarkStart w:id="372" w:name="_Toc455404211"/>
      <w:r>
        <w:rPr>
          <w:rStyle w:val="CharSDivNo"/>
        </w:rPr>
        <w:t>Division 2</w:t>
      </w:r>
      <w:r>
        <w:rPr>
          <w:b w:val="0"/>
        </w:rPr>
        <w:t> — </w:t>
      </w:r>
      <w:r>
        <w:rPr>
          <w:rStyle w:val="CharSDivText"/>
        </w:rPr>
        <w:t>Combined charges for certain non</w:t>
      </w:r>
      <w:r>
        <w:rPr>
          <w:rStyle w:val="CharSDivText"/>
        </w:rPr>
        <w:noBreakHyphen/>
        <w:t>residential property</w:t>
      </w:r>
      <w:bookmarkEnd w:id="366"/>
      <w:bookmarkEnd w:id="367"/>
      <w:bookmarkEnd w:id="368"/>
      <w:bookmarkEnd w:id="369"/>
      <w:bookmarkEnd w:id="370"/>
      <w:bookmarkEnd w:id="371"/>
      <w:bookmarkEnd w:id="372"/>
    </w:p>
    <w:p>
      <w:pPr>
        <w:pStyle w:val="yFootnoteheading"/>
      </w:pPr>
      <w:r>
        <w:tab/>
        <w:t>[Heading inserted in Gazette 27 Jun 2016 p. 2572.]</w:t>
      </w:r>
    </w:p>
    <w:p>
      <w:pPr>
        <w:pStyle w:val="yHeading4"/>
      </w:pPr>
      <w:bookmarkStart w:id="373" w:name="_Toc453239593"/>
      <w:bookmarkStart w:id="374" w:name="_Toc453239764"/>
      <w:bookmarkStart w:id="375" w:name="_Toc453239941"/>
      <w:bookmarkStart w:id="376" w:name="_Toc453240154"/>
      <w:bookmarkStart w:id="377" w:name="_Toc453243647"/>
      <w:bookmarkStart w:id="378" w:name="_Toc455155321"/>
      <w:bookmarkStart w:id="379" w:name="_Toc455404212"/>
      <w:r>
        <w:t>Subdivision 1 — Preliminary</w:t>
      </w:r>
      <w:bookmarkEnd w:id="373"/>
      <w:bookmarkEnd w:id="374"/>
      <w:bookmarkEnd w:id="375"/>
      <w:bookmarkEnd w:id="376"/>
      <w:bookmarkEnd w:id="377"/>
      <w:bookmarkEnd w:id="378"/>
      <w:bookmarkEnd w:id="379"/>
    </w:p>
    <w:p>
      <w:pPr>
        <w:pStyle w:val="yFootnoteheading"/>
      </w:pPr>
      <w:r>
        <w:tab/>
        <w:t>[Heading inserted in Gazette 27 Jun 2016 p. 2572.]</w:t>
      </w:r>
    </w:p>
    <w:p>
      <w:pPr>
        <w:pStyle w:val="yHeading5"/>
        <w:tabs>
          <w:tab w:val="clear" w:pos="879"/>
        </w:tabs>
        <w:ind w:left="851" w:hanging="851"/>
      </w:pPr>
      <w:bookmarkStart w:id="380" w:name="_Toc453243648"/>
      <w:bookmarkStart w:id="381" w:name="_Toc455404213"/>
      <w:r>
        <w:rPr>
          <w:rStyle w:val="CharSClsNo"/>
        </w:rPr>
        <w:t>12</w:t>
      </w:r>
      <w:r>
        <w:t>.</w:t>
      </w:r>
      <w:r>
        <w:tab/>
        <w:t>Combined charges for 2016/17 year and subsequent years</w:t>
      </w:r>
      <w:bookmarkEnd w:id="380"/>
      <w:bookmarkEnd w:id="381"/>
    </w:p>
    <w:p>
      <w:pPr>
        <w:pStyle w:val="yMiscellaneousBody"/>
        <w:ind w:left="851" w:hanging="851"/>
      </w:pPr>
      <w:r>
        <w:tab/>
        <w:t xml:space="preserve">The charges set out in this Division apply for sewerage services provided and wastewater discharged in the </w:t>
      </w:r>
      <w:r>
        <w:rPr>
          <w:szCs w:val="22"/>
        </w:rPr>
        <w:t>2016/17</w:t>
      </w:r>
      <w:r>
        <w:t> financial year and each subsequent year.</w:t>
      </w:r>
    </w:p>
    <w:p>
      <w:pPr>
        <w:pStyle w:val="yHeading4"/>
      </w:pPr>
      <w:bookmarkStart w:id="382" w:name="_Toc453239595"/>
      <w:bookmarkStart w:id="383" w:name="_Toc453239766"/>
      <w:bookmarkStart w:id="384" w:name="_Toc453239943"/>
      <w:bookmarkStart w:id="385" w:name="_Toc453240156"/>
      <w:bookmarkStart w:id="386" w:name="_Toc453243649"/>
      <w:bookmarkStart w:id="387" w:name="_Toc455155323"/>
      <w:bookmarkStart w:id="388" w:name="_Toc455404214"/>
      <w:r>
        <w:t>Subdivision 2</w:t>
      </w:r>
      <w:r>
        <w:rPr>
          <w:b w:val="0"/>
        </w:rPr>
        <w:t> — </w:t>
      </w:r>
      <w:r>
        <w:t>Combined charges: metropolitan</w:t>
      </w:r>
      <w:bookmarkEnd w:id="382"/>
      <w:bookmarkEnd w:id="383"/>
      <w:bookmarkEnd w:id="384"/>
      <w:bookmarkEnd w:id="385"/>
      <w:bookmarkEnd w:id="386"/>
      <w:bookmarkEnd w:id="387"/>
      <w:bookmarkEnd w:id="388"/>
    </w:p>
    <w:p>
      <w:pPr>
        <w:pStyle w:val="yFootnoteheading"/>
      </w:pPr>
      <w:r>
        <w:tab/>
        <w:t>[Heading inserted in Gazette 27 Jun 2016 p. 2572.]</w:t>
      </w:r>
    </w:p>
    <w:p>
      <w:pPr>
        <w:pStyle w:val="yHeading5"/>
        <w:tabs>
          <w:tab w:val="clear" w:pos="879"/>
        </w:tabs>
        <w:ind w:left="851" w:hanging="851"/>
      </w:pPr>
      <w:bookmarkStart w:id="389" w:name="_Toc453243650"/>
      <w:bookmarkStart w:id="390" w:name="_Toc455404215"/>
      <w:r>
        <w:rPr>
          <w:rStyle w:val="CharSClsNo"/>
        </w:rPr>
        <w:t>13</w:t>
      </w:r>
      <w:r>
        <w:t>.</w:t>
      </w:r>
      <w:r>
        <w:tab/>
        <w:t>Metropolitan non</w:t>
      </w:r>
      <w:r>
        <w:noBreakHyphen/>
        <w:t>residential</w:t>
      </w:r>
      <w:bookmarkEnd w:id="389"/>
      <w:bookmarkEnd w:id="390"/>
    </w:p>
    <w:p>
      <w:pPr>
        <w:pStyle w:val="yMiscellaneousBody"/>
        <w:ind w:left="851" w:hanging="851"/>
      </w:pPr>
      <w:r>
        <w:tab/>
        <w:t>In respect of land in the metropolitan area that —</w:t>
      </w:r>
    </w:p>
    <w:p>
      <w:pPr>
        <w:pStyle w:val="yMiscellaneousBody"/>
        <w:tabs>
          <w:tab w:val="left" w:pos="1134"/>
        </w:tabs>
        <w:ind w:left="1560" w:hanging="1560"/>
      </w:pPr>
      <w:r>
        <w:tab/>
        <w:t>(a)</w:t>
      </w:r>
      <w:r>
        <w:tab/>
        <w:t>is not contained in a residential property; and</w:t>
      </w:r>
    </w:p>
    <w:p>
      <w:pPr>
        <w:pStyle w:val="yMiscellaneousBody"/>
        <w:tabs>
          <w:tab w:val="left" w:pos="1134"/>
        </w:tabs>
        <w:ind w:left="1560" w:hanging="1560"/>
      </w:pPr>
      <w:r>
        <w:tab/>
        <w:t>(b)</w:t>
      </w:r>
      <w:r>
        <w:tab/>
        <w:t>is not covered by item 3, 4, 5, 6, 14, 15, 16 or 17,</w:t>
      </w:r>
    </w:p>
    <w:p>
      <w:pPr>
        <w:pStyle w:val="yMiscellaneousBody"/>
        <w:ind w:left="851" w:hanging="851"/>
      </w:pPr>
      <w:r>
        <w:tab/>
        <w:t>the charge is —</w:t>
      </w:r>
    </w:p>
    <w:p>
      <w:pPr>
        <w:pStyle w:val="yMiscellaneousBody"/>
        <w:ind w:left="851" w:hanging="851"/>
      </w:pPr>
      <w:r>
        <w:tab/>
        <w:t>if (</w:t>
      </w:r>
      <w:r>
        <w:rPr>
          <w:b/>
        </w:rPr>
        <w:t>P</w:t>
      </w:r>
      <w:r>
        <w:t xml:space="preserve"> + </w:t>
      </w:r>
      <w:r>
        <w:rPr>
          <w:b/>
        </w:rPr>
        <w:t>Q</w:t>
      </w:r>
      <w:r>
        <w:t xml:space="preserve">) </w:t>
      </w:r>
      <w:r>
        <w:sym w:font="Symbol" w:char="F0A3"/>
      </w:r>
      <w:r>
        <w:t xml:space="preserve"> </w:t>
      </w:r>
      <w:r>
        <w:rPr>
          <w:b/>
        </w:rPr>
        <w:t>R</w:t>
      </w:r>
      <w:r>
        <w:t>,</w:t>
      </w:r>
    </w:p>
    <w:p>
      <w:pPr>
        <w:pStyle w:val="yMiscellaneousBody"/>
        <w:ind w:left="851" w:hanging="851"/>
      </w:pPr>
      <w:r>
        <w:tab/>
        <w:t xml:space="preserve">then </w:t>
      </w:r>
      <w:r>
        <w:rPr>
          <w:b/>
        </w:rPr>
        <w:t>P</w:t>
      </w:r>
      <w:r>
        <w:t xml:space="preserve"> + </w:t>
      </w:r>
      <w:r>
        <w:rPr>
          <w:b/>
        </w:rPr>
        <w:t>Q</w:t>
      </w:r>
    </w:p>
    <w:p>
      <w:pPr>
        <w:pStyle w:val="yMiscellaneousBody"/>
        <w:ind w:left="851" w:hanging="851"/>
      </w:pP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w:t>
      </w:r>
      <w:r>
        <w:sym w:font="Symbol" w:char="F0A3"/>
      </w:r>
      <w:r>
        <w:t xml:space="preserve"> </w:t>
      </w:r>
      <w:r>
        <w:rPr>
          <w:b/>
        </w:rPr>
        <w:t>W</w:t>
      </w:r>
      <w:r>
        <w:t>,</w:t>
      </w:r>
    </w:p>
    <w:p>
      <w:pPr>
        <w:pStyle w:val="yMiscellaneousBody"/>
        <w:ind w:left="851" w:hanging="851"/>
      </w:pPr>
      <w:r>
        <w:tab/>
        <w:t xml:space="preserve">then </w:t>
      </w:r>
      <w:r>
        <w:rPr>
          <w:b/>
        </w:rPr>
        <w:t>R</w:t>
      </w:r>
    </w:p>
    <w:p>
      <w:pPr>
        <w:pStyle w:val="yMiscellaneousBody"/>
        <w:ind w:left="851" w:hanging="851"/>
      </w:pP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&gt; </w:t>
      </w:r>
      <w:r>
        <w:rPr>
          <w:b/>
        </w:rPr>
        <w:t>W</w:t>
      </w:r>
      <w:r>
        <w:t>,</w:t>
      </w:r>
    </w:p>
    <w:p>
      <w:pPr>
        <w:pStyle w:val="yMiscellaneousBody"/>
        <w:ind w:left="851" w:hanging="851"/>
      </w:pPr>
      <w:r>
        <w:tab/>
        <w:t xml:space="preserve">then </w:t>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MiscellaneousBody"/>
        <w:ind w:left="851" w:hanging="851"/>
      </w:pPr>
      <w:r>
        <w:tab/>
        <w:t xml:space="preserve">where — </w:t>
      </w:r>
    </w:p>
    <w:p>
      <w:pPr>
        <w:pStyle w:val="yMiscellaneousBody"/>
        <w:tabs>
          <w:tab w:val="left" w:pos="1134"/>
          <w:tab w:val="left" w:pos="1701"/>
        </w:tabs>
      </w:pPr>
      <w:r>
        <w:tab/>
      </w:r>
      <w:r>
        <w:rPr>
          <w:b/>
        </w:rPr>
        <w:t>P</w:t>
      </w:r>
      <w:r>
        <w:t xml:space="preserve"> =</w:t>
      </w:r>
      <w:r>
        <w:tab/>
        <w:t>the service charge calculated in accordance with item 18;</w:t>
      </w:r>
    </w:p>
    <w:p>
      <w:pPr>
        <w:pStyle w:val="yMiscellaneousBody"/>
        <w:tabs>
          <w:tab w:val="left" w:pos="1134"/>
          <w:tab w:val="left" w:pos="1701"/>
        </w:tabs>
      </w:pPr>
      <w:r>
        <w:tab/>
      </w:r>
      <w:r>
        <w:rPr>
          <w:b/>
        </w:rPr>
        <w:t>Q</w:t>
      </w:r>
      <w:r>
        <w:t xml:space="preserve"> =</w:t>
      </w:r>
      <w:r>
        <w:tab/>
        <w:t>the discharge charge calculated in accordance with item 19;</w:t>
      </w:r>
    </w:p>
    <w:p>
      <w:pPr>
        <w:pStyle w:val="yMiscellaneousBody"/>
        <w:tabs>
          <w:tab w:val="left" w:pos="1134"/>
          <w:tab w:val="left" w:pos="1701"/>
        </w:tabs>
      </w:pPr>
      <w:r>
        <w:tab/>
      </w:r>
      <w:r>
        <w:rPr>
          <w:b/>
        </w:rPr>
        <w:t>R</w:t>
      </w:r>
      <w:r>
        <w:t xml:space="preserve"> =</w:t>
      </w:r>
      <w:r>
        <w:tab/>
      </w:r>
      <w:r>
        <w:rPr>
          <w:b/>
        </w:rPr>
        <w:t>A</w:t>
      </w:r>
      <w:r>
        <w:t xml:space="preserve"> </w:t>
      </w:r>
      <w:r>
        <w:sym w:font="Symbol" w:char="F0B4"/>
      </w:r>
      <w:r>
        <w:t xml:space="preserve"> </w:t>
      </w:r>
      <w:r>
        <w:rPr>
          <w:b/>
        </w:rPr>
        <w:t>S</w:t>
      </w:r>
      <w:r>
        <w:t>;</w:t>
      </w:r>
    </w:p>
    <w:p>
      <w:pPr>
        <w:pStyle w:val="yMiscellaneousBody"/>
        <w:tabs>
          <w:tab w:val="left" w:pos="1134"/>
          <w:tab w:val="left" w:pos="1701"/>
        </w:tabs>
      </w:pPr>
      <w:r>
        <w:tab/>
      </w:r>
      <w:r>
        <w:rPr>
          <w:b/>
        </w:rPr>
        <w:t>A</w:t>
      </w:r>
      <w:r>
        <w:t xml:space="preserve"> =</w:t>
      </w:r>
      <w:r>
        <w:tab/>
        <w:t xml:space="preserve">the charge payable under this item for the previous financial </w:t>
      </w:r>
      <w:r>
        <w:tab/>
      </w:r>
      <w:r>
        <w:tab/>
        <w:t>year;</w:t>
      </w:r>
    </w:p>
    <w:p>
      <w:pPr>
        <w:pStyle w:val="yMiscellaneousBody"/>
        <w:tabs>
          <w:tab w:val="left" w:pos="1134"/>
          <w:tab w:val="left" w:pos="1701"/>
        </w:tabs>
      </w:pPr>
      <w:r>
        <w:tab/>
      </w:r>
      <w:r>
        <w:rPr>
          <w:b/>
        </w:rPr>
        <w:t>S</w:t>
      </w:r>
      <w:r>
        <w:t xml:space="preserve"> =</w:t>
      </w:r>
      <w:r>
        <w:tab/>
      </w:r>
      <w:r>
        <w:rPr>
          <w:szCs w:val="22"/>
        </w:rPr>
        <w:t>1.111</w:t>
      </w:r>
      <w:r>
        <w:t>;</w:t>
      </w:r>
    </w:p>
    <w:p>
      <w:pPr>
        <w:pStyle w:val="yMiscellaneousBody"/>
        <w:tabs>
          <w:tab w:val="left" w:pos="1134"/>
          <w:tab w:val="left" w:pos="1701"/>
        </w:tabs>
      </w:pPr>
      <w:r>
        <w:rPr>
          <w:b/>
        </w:rPr>
        <w:tab/>
        <w:t>N</w:t>
      </w:r>
      <w:r>
        <w:t xml:space="preserve"> =</w:t>
      </w:r>
      <w:r>
        <w:tab/>
        <w:t>the discharge volume for the current discharge year;</w:t>
      </w:r>
    </w:p>
    <w:p>
      <w:pPr>
        <w:pStyle w:val="yMiscellaneousBody"/>
        <w:tabs>
          <w:tab w:val="left" w:pos="1134"/>
          <w:tab w:val="left" w:pos="1701"/>
        </w:tabs>
      </w:pPr>
      <w:r>
        <w:tab/>
      </w:r>
      <w:r>
        <w:rPr>
          <w:b/>
        </w:rPr>
        <w:t>W</w:t>
      </w:r>
      <w:r>
        <w:t xml:space="preserve"> =</w:t>
      </w:r>
      <w:r>
        <w:tab/>
        <w:t>the discharge volume for the previous discharge year;</w:t>
      </w:r>
    </w:p>
    <w:p>
      <w:pPr>
        <w:pStyle w:val="yMiscellaneousBody"/>
        <w:tabs>
          <w:tab w:val="left" w:pos="1134"/>
          <w:tab w:val="left" w:pos="1701"/>
        </w:tabs>
      </w:pPr>
      <w:r>
        <w:tab/>
      </w:r>
      <w:r>
        <w:rPr>
          <w:b/>
        </w:rPr>
        <w:t>I</w:t>
      </w:r>
      <w:r>
        <w:t xml:space="preserve"> =</w:t>
      </w:r>
      <w:r>
        <w:tab/>
      </w:r>
      <w:r>
        <w:rPr>
          <w:szCs w:val="22"/>
        </w:rPr>
        <w:t>$3.258</w:t>
      </w:r>
      <w:r>
        <w:t>.</w:t>
      </w:r>
    </w:p>
    <w:p>
      <w:pPr>
        <w:pStyle w:val="yHeading5"/>
        <w:tabs>
          <w:tab w:val="clear" w:pos="879"/>
        </w:tabs>
        <w:ind w:left="851" w:hanging="851"/>
      </w:pPr>
      <w:bookmarkStart w:id="391" w:name="_Toc453243651"/>
      <w:bookmarkStart w:id="392" w:name="_Toc455404216"/>
      <w:r>
        <w:rPr>
          <w:rStyle w:val="CharSClsNo"/>
        </w:rPr>
        <w:t>14</w:t>
      </w:r>
      <w:r>
        <w:t>.</w:t>
      </w:r>
      <w:r>
        <w:tab/>
        <w:t>Metropolitan government trading organisation and non</w:t>
      </w:r>
      <w:r>
        <w:noBreakHyphen/>
        <w:t>commercial government property</w:t>
      </w:r>
      <w:bookmarkEnd w:id="391"/>
      <w:bookmarkEnd w:id="392"/>
    </w:p>
    <w:p>
      <w:pPr>
        <w:pStyle w:val="yMiscellaneousBody"/>
        <w:tabs>
          <w:tab w:val="left" w:pos="284"/>
          <w:tab w:val="right" w:leader="dot" w:pos="6804"/>
        </w:tabs>
        <w:ind w:left="851" w:hanging="851"/>
      </w:pPr>
      <w:r>
        <w:tab/>
        <w:t>(1)</w:t>
      </w:r>
      <w:r>
        <w:tab/>
        <w:t>In respect of land in the metropolitan area held by a government trading organisation or a public authority that holds non</w:t>
      </w:r>
      <w:r>
        <w:noBreakHyphen/>
        <w:t>commercial government property, the charge is —</w:t>
      </w:r>
    </w:p>
    <w:p>
      <w:pPr>
        <w:pStyle w:val="yMiscellaneousBody"/>
      </w:pPr>
      <w:r>
        <w:tab/>
      </w:r>
      <w:r>
        <w:rPr>
          <w:b/>
        </w:rPr>
        <w:t>Y</w:t>
      </w:r>
      <w:r>
        <w:t xml:space="preserve"> + </w:t>
      </w:r>
      <w:r>
        <w:rPr>
          <w:b/>
        </w:rPr>
        <w:t>Q</w:t>
      </w:r>
    </w:p>
    <w:p>
      <w:pPr>
        <w:pStyle w:val="yMiscellaneousBody"/>
      </w:pPr>
      <w:r>
        <w:tab/>
        <w:t xml:space="preserve">where — </w:t>
      </w:r>
    </w:p>
    <w:p>
      <w:pPr>
        <w:pStyle w:val="zyMiscellaneousBody"/>
        <w:tabs>
          <w:tab w:val="left" w:pos="1134"/>
          <w:tab w:val="left" w:pos="1701"/>
        </w:tabs>
        <w:ind w:left="1701" w:hanging="1701"/>
      </w:pPr>
      <w:r>
        <w:tab/>
      </w:r>
      <w:r>
        <w:rPr>
          <w:b/>
        </w:rPr>
        <w:t>Y</w:t>
      </w:r>
      <w:r>
        <w:t xml:space="preserve"> =</w:t>
      </w:r>
      <w:r>
        <w:tab/>
        <w:t>the charge according to the number of major fixtures for the land, that is, “</w:t>
      </w:r>
      <w:r>
        <w:rPr>
          <w:b/>
        </w:rPr>
        <w:t>C</w:t>
      </w:r>
      <w:r>
        <w:t>” in item 18;</w:t>
      </w:r>
    </w:p>
    <w:p>
      <w:pPr>
        <w:pStyle w:val="z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284"/>
          <w:tab w:val="right" w:leader="dot" w:pos="6804"/>
        </w:tabs>
        <w:ind w:left="851" w:hanging="851"/>
      </w:pPr>
      <w:r>
        <w:tab/>
        <w:t>(2)</w:t>
      </w:r>
      <w:r>
        <w:tab/>
        <w:t>Sub</w:t>
      </w:r>
      <w:r>
        <w:noBreakHyphen/>
        <w:t>item (1) does not apply to public land.</w:t>
      </w:r>
    </w:p>
    <w:p>
      <w:pPr>
        <w:pStyle w:val="yHeading5"/>
        <w:tabs>
          <w:tab w:val="clear" w:pos="879"/>
        </w:tabs>
        <w:ind w:left="851" w:hanging="851"/>
      </w:pPr>
      <w:bookmarkStart w:id="393" w:name="_Toc453243652"/>
      <w:bookmarkStart w:id="394" w:name="_Toc455404217"/>
      <w:r>
        <w:rPr>
          <w:rStyle w:val="CharSClsNo"/>
        </w:rPr>
        <w:t>15</w:t>
      </w:r>
      <w:r>
        <w:t>.</w:t>
      </w:r>
      <w:r>
        <w:tab/>
        <w:t>Metropolitan non</w:t>
      </w:r>
      <w:r>
        <w:noBreakHyphen/>
        <w:t>strata titled caravan park with long</w:t>
      </w:r>
      <w:r>
        <w:noBreakHyphen/>
        <w:t>term residential caravan bays</w:t>
      </w:r>
      <w:bookmarkEnd w:id="393"/>
      <w:bookmarkEnd w:id="394"/>
    </w:p>
    <w:p>
      <w:pPr>
        <w:pStyle w:val="yMiscellaneousBody"/>
        <w:tabs>
          <w:tab w:val="left" w:pos="284"/>
          <w:tab w:val="right" w:leader="dot" w:pos="6804"/>
        </w:tabs>
        <w:ind w:left="851" w:hanging="851"/>
      </w:pPr>
      <w:r>
        <w:tab/>
      </w:r>
      <w:r>
        <w:tab/>
        <w:t>In respect of a caravan park in the metropolitan area that —</w:t>
      </w:r>
    </w:p>
    <w:p>
      <w:pPr>
        <w:pStyle w:val="yMiscellaneousBody"/>
        <w:tabs>
          <w:tab w:val="left" w:pos="1134"/>
        </w:tabs>
        <w:ind w:left="1560" w:hanging="1560"/>
      </w:pPr>
      <w:r>
        <w:tab/>
        <w:t>(a)</w:t>
      </w:r>
      <w:r>
        <w:tab/>
        <w:t>does not consist wholly of strata</w:t>
      </w:r>
      <w:r>
        <w:noBreakHyphen/>
        <w:t>titled caravan bays; and</w:t>
      </w:r>
    </w:p>
    <w:p>
      <w:pPr>
        <w:pStyle w:val="yMiscellaneousBody"/>
        <w:tabs>
          <w:tab w:val="left" w:pos="1134"/>
        </w:tabs>
        <w:ind w:left="1560" w:hanging="1560"/>
      </w:pPr>
      <w:r>
        <w:tab/>
        <w:t>(b)</w:t>
      </w:r>
      <w:r>
        <w:tab/>
        <w:t>has long</w:t>
      </w:r>
      <w:r>
        <w:noBreakHyphen/>
        <w:t>term residential caravan bays,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AA</w:t>
      </w:r>
      <w:r>
        <w:t xml:space="preserve"> + </w:t>
      </w:r>
      <w:r>
        <w:rPr>
          <w:b/>
        </w:rPr>
        <w:t>AB</w:t>
      </w:r>
    </w:p>
    <w:p>
      <w:pPr>
        <w:pStyle w:val="yMiscellaneousBody"/>
        <w:tabs>
          <w:tab w:val="left" w:pos="284"/>
          <w:tab w:val="right" w:leader="dot" w:pos="6804"/>
        </w:tabs>
        <w:ind w:left="851" w:hanging="851"/>
      </w:pPr>
      <w:r>
        <w:tab/>
      </w:r>
      <w:r>
        <w:tab/>
        <w:t xml:space="preserve">where — </w:t>
      </w:r>
    </w:p>
    <w:p>
      <w:pPr>
        <w:pStyle w:val="zyMiscellaneousBody"/>
        <w:tabs>
          <w:tab w:val="left" w:pos="1134"/>
          <w:tab w:val="left" w:pos="1701"/>
        </w:tabs>
        <w:ind w:left="1701" w:hanging="2268"/>
      </w:pPr>
      <w:r>
        <w:tab/>
      </w:r>
      <w:r>
        <w:rPr>
          <w:b/>
        </w:rPr>
        <w:t>AA</w:t>
      </w:r>
      <w:r>
        <w:t xml:space="preserve"> =</w:t>
      </w:r>
      <w:r>
        <w:tab/>
      </w:r>
      <w:r>
        <w:rPr>
          <w:szCs w:val="22"/>
        </w:rPr>
        <w:t xml:space="preserve">$292.77 </w:t>
      </w:r>
      <w:r>
        <w:t>for each long</w:t>
      </w:r>
      <w:r>
        <w:noBreakHyphen/>
        <w:t>term residential caravan bay;</w:t>
      </w:r>
    </w:p>
    <w:p>
      <w:pPr>
        <w:pStyle w:val="zyMiscellaneousBody"/>
        <w:tabs>
          <w:tab w:val="left" w:pos="1134"/>
          <w:tab w:val="left" w:pos="1701"/>
        </w:tabs>
        <w:ind w:left="1701" w:hanging="2268"/>
      </w:pPr>
      <w:r>
        <w:tab/>
      </w:r>
      <w:r>
        <w:rPr>
          <w:b/>
        </w:rPr>
        <w:t>AB</w:t>
      </w:r>
      <w:r>
        <w:t xml:space="preserve"> =</w:t>
      </w:r>
      <w:r>
        <w:tab/>
        <w:t>for those parts of the caravan park not contained in long</w:t>
      </w:r>
      <w:r>
        <w:noBreakHyphen/>
        <w:t xml:space="preserve">term residential caravan bays — </w:t>
      </w:r>
    </w:p>
    <w:p>
      <w:pPr>
        <w:pStyle w:val="z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zyMiscellaneousBody"/>
        <w:tabs>
          <w:tab w:val="left" w:pos="1701"/>
        </w:tabs>
      </w:pPr>
      <w:r>
        <w:tab/>
        <w:t xml:space="preserve">then </w:t>
      </w:r>
      <w:r>
        <w:rPr>
          <w:b/>
        </w:rPr>
        <w:t>Y</w:t>
      </w:r>
      <w:r>
        <w:t xml:space="preserve"> + </w:t>
      </w:r>
      <w:r>
        <w:rPr>
          <w:b/>
        </w:rPr>
        <w:t>Q</w:t>
      </w:r>
    </w:p>
    <w:p>
      <w:pPr>
        <w:pStyle w:val="zyMiscellaneousBody"/>
        <w:tabs>
          <w:tab w:val="left" w:pos="1701"/>
        </w:tabs>
      </w:pPr>
      <w:r>
        <w:tab/>
        <w:t xml:space="preserve">or if — </w:t>
      </w:r>
    </w:p>
    <w:p>
      <w:pPr>
        <w:pStyle w:val="zyMiscellaneousBody"/>
        <w:tabs>
          <w:tab w:val="left" w:pos="1985"/>
        </w:tabs>
      </w:pPr>
      <w:r>
        <w:tab/>
        <w:t>(</w:t>
      </w:r>
      <w:r>
        <w:rPr>
          <w:b/>
        </w:rPr>
        <w:t>Y</w:t>
      </w:r>
      <w:r>
        <w:t xml:space="preserve"> + </w:t>
      </w:r>
      <w:r>
        <w:rPr>
          <w:b/>
        </w:rPr>
        <w:t>Q</w:t>
      </w:r>
      <w:r>
        <w:t xml:space="preserve">) &gt; </w:t>
      </w:r>
      <w:r>
        <w:rPr>
          <w:b/>
        </w:rPr>
        <w:t>R</w:t>
      </w:r>
      <w:r>
        <w:t>; and</w:t>
      </w:r>
    </w:p>
    <w:p>
      <w:pPr>
        <w:pStyle w:val="zyMiscellaneousBody"/>
        <w:tabs>
          <w:tab w:val="left" w:pos="1985"/>
        </w:tabs>
      </w:pPr>
      <w:r>
        <w:tab/>
      </w:r>
      <w:r>
        <w:rPr>
          <w:b/>
        </w:rPr>
        <w:t>N</w:t>
      </w:r>
      <w:r>
        <w:t xml:space="preserve"> </w:t>
      </w:r>
      <w:r>
        <w:sym w:font="Symbol" w:char="F0A3"/>
      </w:r>
      <w:r>
        <w:t xml:space="preserve"> </w:t>
      </w:r>
      <w:r>
        <w:rPr>
          <w:b/>
        </w:rPr>
        <w:t>W</w:t>
      </w:r>
      <w:r>
        <w:t>,</w:t>
      </w:r>
    </w:p>
    <w:p>
      <w:pPr>
        <w:pStyle w:val="zyMiscellaneousBody"/>
        <w:tabs>
          <w:tab w:val="left" w:pos="1701"/>
        </w:tabs>
      </w:pPr>
      <w:r>
        <w:tab/>
        <w:t xml:space="preserve">then </w:t>
      </w:r>
      <w:r>
        <w:rPr>
          <w:b/>
        </w:rPr>
        <w:t>R</w:t>
      </w:r>
    </w:p>
    <w:p>
      <w:pPr>
        <w:pStyle w:val="zyMiscellaneousBody"/>
        <w:tabs>
          <w:tab w:val="left" w:pos="1701"/>
        </w:tabs>
      </w:pPr>
      <w:r>
        <w:tab/>
        <w:t xml:space="preserve">or if — </w:t>
      </w:r>
    </w:p>
    <w:p>
      <w:pPr>
        <w:pStyle w:val="zyMiscellaneousBody"/>
        <w:tabs>
          <w:tab w:val="left" w:pos="1985"/>
        </w:tabs>
      </w:pPr>
      <w:r>
        <w:tab/>
        <w:t>(</w:t>
      </w:r>
      <w:r>
        <w:rPr>
          <w:b/>
        </w:rPr>
        <w:t>Y</w:t>
      </w:r>
      <w:r>
        <w:t xml:space="preserve"> + </w:t>
      </w:r>
      <w:r>
        <w:rPr>
          <w:b/>
        </w:rPr>
        <w:t>Q</w:t>
      </w:r>
      <w:r>
        <w:t xml:space="preserve">) &gt; </w:t>
      </w:r>
      <w:r>
        <w:rPr>
          <w:b/>
        </w:rPr>
        <w:t>R</w:t>
      </w:r>
      <w:r>
        <w:t>; and</w:t>
      </w:r>
    </w:p>
    <w:p>
      <w:pPr>
        <w:pStyle w:val="zyMiscellaneousBody"/>
        <w:tabs>
          <w:tab w:val="left" w:pos="1985"/>
        </w:tabs>
      </w:pPr>
      <w:r>
        <w:tab/>
      </w:r>
      <w:r>
        <w:rPr>
          <w:b/>
        </w:rPr>
        <w:t>N</w:t>
      </w:r>
      <w:r>
        <w:t xml:space="preserve"> &gt; </w:t>
      </w:r>
      <w:r>
        <w:rPr>
          <w:b/>
        </w:rPr>
        <w:t>W</w:t>
      </w:r>
      <w:r>
        <w:t>,</w:t>
      </w:r>
    </w:p>
    <w:p>
      <w:pPr>
        <w:pStyle w:val="zyMiscellaneousBody"/>
        <w:tabs>
          <w:tab w:val="left" w:pos="1701"/>
        </w:tabs>
      </w:pPr>
      <w:r>
        <w:tab/>
        <w:t xml:space="preserve">then — </w:t>
      </w:r>
    </w:p>
    <w:p>
      <w:pPr>
        <w:pStyle w:val="zyMiscellaneousBody"/>
        <w:tabs>
          <w:tab w:val="left" w:pos="1985"/>
        </w:tabs>
      </w:pPr>
      <w:r>
        <w:tab/>
      </w:r>
      <w:r>
        <w:rPr>
          <w:b/>
        </w:rPr>
        <w:t>R</w:t>
      </w:r>
      <w:r>
        <w:t xml:space="preserve"> + ((</w:t>
      </w:r>
      <w:r>
        <w:rPr>
          <w:b/>
        </w:rPr>
        <w:t>N</w:t>
      </w:r>
      <w:r>
        <w:t xml:space="preserve"> – </w:t>
      </w:r>
      <w:r>
        <w:rPr>
          <w:b/>
        </w:rPr>
        <w:t>W</w:t>
      </w:r>
      <w:r>
        <w:t xml:space="preserve">) </w:t>
      </w:r>
      <w:r>
        <w:sym w:font="Symbol" w:char="F0B4"/>
      </w:r>
      <w:r>
        <w:t xml:space="preserve"> </w:t>
      </w:r>
      <w:r>
        <w:rPr>
          <w:b/>
        </w:rPr>
        <w:t>I)</w:t>
      </w:r>
    </w:p>
    <w:p>
      <w:pPr>
        <w:pStyle w:val="zyMiscellaneousBody"/>
        <w:tabs>
          <w:tab w:val="left" w:pos="1701"/>
        </w:tabs>
      </w:pPr>
      <w:r>
        <w:tab/>
        <w:t xml:space="preserve">where — </w:t>
      </w:r>
    </w:p>
    <w:p>
      <w:pPr>
        <w:pStyle w:val="zyMiscellaneousBody"/>
        <w:tabs>
          <w:tab w:val="left" w:pos="1985"/>
          <w:tab w:val="left" w:pos="2552"/>
        </w:tabs>
        <w:ind w:left="2552" w:hanging="2977"/>
      </w:pPr>
      <w:r>
        <w:tab/>
      </w:r>
      <w:r>
        <w:rPr>
          <w:b/>
        </w:rPr>
        <w:t>Y</w:t>
      </w:r>
      <w:r>
        <w:t xml:space="preserve"> =</w:t>
      </w:r>
      <w:r>
        <w:tab/>
        <w:t>the charge according to the number of major fixtures for the relevant part of the caravan park, that is, “</w:t>
      </w:r>
      <w:r>
        <w:rPr>
          <w:b/>
        </w:rPr>
        <w:t>C</w:t>
      </w:r>
      <w:r>
        <w:t>” in item 18;</w:t>
      </w:r>
    </w:p>
    <w:p>
      <w:pPr>
        <w:pStyle w:val="zyMiscellaneousBody"/>
        <w:tabs>
          <w:tab w:val="left" w:pos="1985"/>
          <w:tab w:val="left" w:pos="2552"/>
        </w:tabs>
        <w:ind w:left="2552" w:hanging="2977"/>
      </w:pPr>
      <w:r>
        <w:tab/>
      </w:r>
      <w:r>
        <w:rPr>
          <w:b/>
        </w:rPr>
        <w:t>Q</w:t>
      </w:r>
      <w:r>
        <w:t xml:space="preserve"> =</w:t>
      </w:r>
      <w:r>
        <w:tab/>
        <w:t>the discharge charge calculated in accordance with item 19;</w:t>
      </w:r>
    </w:p>
    <w:p>
      <w:pPr>
        <w:pStyle w:val="zyMiscellaneousBody"/>
        <w:tabs>
          <w:tab w:val="left" w:pos="1985"/>
          <w:tab w:val="left" w:pos="2552"/>
        </w:tabs>
        <w:ind w:left="2552" w:hanging="2977"/>
      </w:pPr>
      <w:r>
        <w:tab/>
      </w:r>
      <w:r>
        <w:rPr>
          <w:b/>
        </w:rPr>
        <w:t>R</w:t>
      </w:r>
      <w:r>
        <w:t xml:space="preserve"> =</w:t>
      </w:r>
      <w:r>
        <w:tab/>
      </w:r>
      <w:r>
        <w:rPr>
          <w:b/>
        </w:rPr>
        <w:t>A</w:t>
      </w:r>
      <w:r>
        <w:t xml:space="preserve"> x </w:t>
      </w:r>
      <w:r>
        <w:rPr>
          <w:b/>
        </w:rPr>
        <w:t>S</w:t>
      </w:r>
      <w:r>
        <w:t>;</w:t>
      </w:r>
    </w:p>
    <w:p>
      <w:pPr>
        <w:pStyle w:val="zyMiscellaneousBody"/>
        <w:tabs>
          <w:tab w:val="left" w:pos="1985"/>
          <w:tab w:val="left" w:pos="2552"/>
        </w:tabs>
        <w:ind w:left="2552" w:hanging="2977"/>
      </w:pPr>
      <w:r>
        <w:tab/>
      </w:r>
      <w:r>
        <w:rPr>
          <w:b/>
        </w:rPr>
        <w:t>A</w:t>
      </w:r>
      <w:r>
        <w:t xml:space="preserve"> =</w:t>
      </w:r>
      <w:r>
        <w:tab/>
        <w:t>the charge payable under this item for the previous financial year;</w:t>
      </w:r>
    </w:p>
    <w:p>
      <w:pPr>
        <w:pStyle w:val="zyMiscellaneousBody"/>
        <w:tabs>
          <w:tab w:val="left" w:pos="1985"/>
          <w:tab w:val="left" w:pos="2552"/>
        </w:tabs>
        <w:ind w:left="2552" w:hanging="2977"/>
      </w:pPr>
      <w:r>
        <w:tab/>
      </w:r>
      <w:r>
        <w:rPr>
          <w:b/>
        </w:rPr>
        <w:t>S</w:t>
      </w:r>
      <w:r>
        <w:t xml:space="preserve"> =</w:t>
      </w:r>
      <w:r>
        <w:tab/>
      </w:r>
      <w:r>
        <w:rPr>
          <w:szCs w:val="22"/>
        </w:rPr>
        <w:t>1.111</w:t>
      </w:r>
      <w:r>
        <w:t>;</w:t>
      </w:r>
    </w:p>
    <w:p>
      <w:pPr>
        <w:pStyle w:val="zyMiscellaneousBody"/>
        <w:tabs>
          <w:tab w:val="left" w:pos="1985"/>
          <w:tab w:val="left" w:pos="2552"/>
        </w:tabs>
        <w:ind w:left="2552" w:hanging="2977"/>
      </w:pPr>
      <w:r>
        <w:tab/>
      </w:r>
      <w:r>
        <w:rPr>
          <w:b/>
        </w:rPr>
        <w:t>N</w:t>
      </w:r>
      <w:r>
        <w:t xml:space="preserve"> =</w:t>
      </w:r>
      <w:r>
        <w:tab/>
        <w:t>the discharge volume for the current discharge year;</w:t>
      </w:r>
    </w:p>
    <w:p>
      <w:pPr>
        <w:pStyle w:val="zyMiscellaneousBody"/>
        <w:tabs>
          <w:tab w:val="left" w:pos="1985"/>
          <w:tab w:val="left" w:pos="2552"/>
        </w:tabs>
        <w:ind w:left="2552" w:hanging="2977"/>
      </w:pPr>
      <w:r>
        <w:tab/>
      </w:r>
      <w:r>
        <w:rPr>
          <w:b/>
        </w:rPr>
        <w:t>W</w:t>
      </w:r>
      <w:r>
        <w:t xml:space="preserve"> =</w:t>
      </w:r>
      <w:r>
        <w:tab/>
        <w:t>the discharge volume for the previous discharge year;</w:t>
      </w:r>
    </w:p>
    <w:p>
      <w:pPr>
        <w:pStyle w:val="zyMiscellaneousBody"/>
        <w:tabs>
          <w:tab w:val="left" w:pos="1985"/>
          <w:tab w:val="left" w:pos="2552"/>
        </w:tabs>
        <w:ind w:left="2552" w:hanging="2977"/>
      </w:pPr>
      <w:r>
        <w:tab/>
      </w:r>
      <w:r>
        <w:rPr>
          <w:b/>
        </w:rPr>
        <w:t>I</w:t>
      </w:r>
      <w:r>
        <w:t xml:space="preserve"> =</w:t>
      </w:r>
      <w:r>
        <w:tab/>
      </w:r>
      <w:r>
        <w:rPr>
          <w:szCs w:val="22"/>
        </w:rPr>
        <w:t>$3.258</w:t>
      </w:r>
      <w:r>
        <w:t>.</w:t>
      </w:r>
    </w:p>
    <w:p>
      <w:pPr>
        <w:pStyle w:val="yHeading5"/>
        <w:tabs>
          <w:tab w:val="clear" w:pos="879"/>
        </w:tabs>
        <w:ind w:left="851" w:hanging="851"/>
      </w:pPr>
      <w:bookmarkStart w:id="395" w:name="_Toc453243653"/>
      <w:bookmarkStart w:id="396" w:name="_Toc455404218"/>
      <w:r>
        <w:rPr>
          <w:rStyle w:val="CharSClsNo"/>
        </w:rPr>
        <w:t>16</w:t>
      </w:r>
      <w:r>
        <w:t>.</w:t>
      </w:r>
      <w:r>
        <w:tab/>
        <w:t>Metropolitan nursing home</w:t>
      </w:r>
      <w:bookmarkEnd w:id="395"/>
      <w:bookmarkEnd w:id="396"/>
    </w:p>
    <w:p>
      <w:pPr>
        <w:pStyle w:val="yMiscellaneousBody"/>
        <w:tabs>
          <w:tab w:val="left" w:pos="284"/>
          <w:tab w:val="right" w:leader="dot" w:pos="6804"/>
        </w:tabs>
        <w:ind w:left="851" w:hanging="851"/>
      </w:pPr>
      <w:r>
        <w:tab/>
      </w:r>
      <w:r>
        <w:tab/>
        <w:t>In respect of a nursing home in the metropolitan area, other than a nursing home that is, or is part of, an aged home, the charge is —</w:t>
      </w:r>
    </w:p>
    <w:p>
      <w:pPr>
        <w:pStyle w:val="zyMiscellaneousBody"/>
        <w:tabs>
          <w:tab w:val="left" w:pos="851"/>
        </w:tabs>
        <w:ind w:left="879" w:hanging="879"/>
      </w:pPr>
      <w:r>
        <w:tab/>
        <w:t>if (</w:t>
      </w:r>
      <w:r>
        <w:rPr>
          <w:b/>
        </w:rPr>
        <w:t>T</w:t>
      </w:r>
      <w:r>
        <w:t xml:space="preserve"> + </w:t>
      </w:r>
      <w:r>
        <w:rPr>
          <w:b/>
        </w:rPr>
        <w:t>Q</w:t>
      </w:r>
      <w:r>
        <w:t xml:space="preserve">) </w:t>
      </w:r>
      <w:r>
        <w:sym w:font="Symbol" w:char="F0A3"/>
      </w:r>
      <w:r>
        <w:t xml:space="preserve"> </w:t>
      </w:r>
      <w:r>
        <w:rPr>
          <w:b/>
        </w:rPr>
        <w:t>R</w:t>
      </w:r>
      <w:r>
        <w:t>,</w:t>
      </w:r>
    </w:p>
    <w:p>
      <w:pPr>
        <w:pStyle w:val="zyMiscellaneousBody"/>
        <w:tabs>
          <w:tab w:val="left" w:pos="851"/>
        </w:tabs>
        <w:ind w:left="879" w:hanging="879"/>
      </w:pPr>
      <w:r>
        <w:tab/>
        <w:t xml:space="preserve">then </w:t>
      </w:r>
      <w:r>
        <w:rPr>
          <w:b/>
        </w:rPr>
        <w:t>T</w:t>
      </w:r>
      <w:r>
        <w:t xml:space="preserve"> + </w:t>
      </w:r>
      <w:r>
        <w:rPr>
          <w:b/>
        </w:rPr>
        <w:t>Q</w:t>
      </w:r>
    </w:p>
    <w:p>
      <w:pPr>
        <w:pStyle w:val="zyMiscellaneousBody"/>
        <w:tabs>
          <w:tab w:val="left" w:pos="851"/>
        </w:tabs>
        <w:ind w:left="879" w:hanging="879"/>
      </w:pPr>
      <w:r>
        <w:tab/>
        <w:t>or if (</w:t>
      </w:r>
      <w:r>
        <w:rPr>
          <w:b/>
        </w:rPr>
        <w:t>T</w:t>
      </w:r>
      <w:r>
        <w:t xml:space="preserve"> + </w:t>
      </w:r>
      <w:r>
        <w:rPr>
          <w:b/>
        </w:rPr>
        <w:t>Q</w:t>
      </w:r>
      <w:r>
        <w:t xml:space="preserve">) &gt; </w:t>
      </w:r>
      <w:r>
        <w:rPr>
          <w:b/>
        </w:rPr>
        <w:t>R</w:t>
      </w:r>
      <w:r>
        <w:t>,</w:t>
      </w:r>
    </w:p>
    <w:p>
      <w:pPr>
        <w:pStyle w:val="zyMiscellaneousBody"/>
        <w:tabs>
          <w:tab w:val="left" w:pos="851"/>
        </w:tabs>
        <w:ind w:left="879" w:hanging="879"/>
      </w:pPr>
      <w:r>
        <w:tab/>
        <w:t xml:space="preserve">then </w:t>
      </w:r>
      <w:r>
        <w:rPr>
          <w:b/>
        </w:rPr>
        <w:t>R</w:t>
      </w:r>
    </w:p>
    <w:p>
      <w:pPr>
        <w:pStyle w:val="zyMiscellaneousBody"/>
        <w:tabs>
          <w:tab w:val="left" w:pos="851"/>
        </w:tabs>
        <w:ind w:left="879" w:hanging="879"/>
      </w:pPr>
      <w:r>
        <w:tab/>
        <w:t xml:space="preserve">where — </w:t>
      </w:r>
    </w:p>
    <w:p>
      <w:pPr>
        <w:pStyle w:val="zyMiscellaneousBody"/>
        <w:tabs>
          <w:tab w:val="left" w:pos="1134"/>
          <w:tab w:val="left" w:pos="1701"/>
        </w:tabs>
        <w:ind w:left="1701" w:hanging="1701"/>
      </w:pPr>
      <w:r>
        <w:tab/>
      </w:r>
      <w:r>
        <w:rPr>
          <w:b/>
        </w:rPr>
        <w:t>Q</w:t>
      </w:r>
      <w:r>
        <w:t xml:space="preserve"> =</w:t>
      </w:r>
      <w:r>
        <w:tab/>
        <w:t>the discharge charge calculated in accordance with item 19;</w:t>
      </w:r>
    </w:p>
    <w:p>
      <w:pPr>
        <w:pStyle w:val="zyMiscellaneousBody"/>
        <w:tabs>
          <w:tab w:val="left" w:pos="1134"/>
          <w:tab w:val="left" w:pos="1701"/>
        </w:tabs>
        <w:ind w:left="1701" w:hanging="1701"/>
      </w:pPr>
      <w:r>
        <w:tab/>
      </w:r>
      <w:r>
        <w:rPr>
          <w:b/>
        </w:rPr>
        <w:t>R</w:t>
      </w:r>
      <w:r>
        <w:t xml:space="preserve"> =</w:t>
      </w:r>
      <w:r>
        <w:tab/>
      </w:r>
      <w:r>
        <w:rPr>
          <w:b/>
        </w:rPr>
        <w:t>A</w:t>
      </w:r>
      <w:r>
        <w:t xml:space="preserve"> x </w:t>
      </w:r>
      <w:r>
        <w:rPr>
          <w:b/>
        </w:rPr>
        <w:t>S</w:t>
      </w:r>
      <w:r>
        <w:t>;</w:t>
      </w:r>
    </w:p>
    <w:p>
      <w:pPr>
        <w:pStyle w:val="zyMiscellaneousBody"/>
        <w:tabs>
          <w:tab w:val="left" w:pos="1134"/>
          <w:tab w:val="left" w:pos="1701"/>
        </w:tabs>
        <w:ind w:left="1701" w:hanging="1701"/>
      </w:pPr>
      <w:r>
        <w:tab/>
      </w:r>
      <w:r>
        <w:rPr>
          <w:b/>
        </w:rPr>
        <w:t>A</w:t>
      </w:r>
      <w:r>
        <w:t xml:space="preserve"> =</w:t>
      </w:r>
      <w:r>
        <w:tab/>
        <w:t>the charge payable under this item for the previous financial year;</w:t>
      </w:r>
    </w:p>
    <w:p>
      <w:pPr>
        <w:pStyle w:val="zyMiscellaneousBody"/>
        <w:tabs>
          <w:tab w:val="left" w:pos="1134"/>
          <w:tab w:val="left" w:pos="1701"/>
        </w:tabs>
        <w:ind w:left="1701" w:hanging="1701"/>
      </w:pPr>
      <w:r>
        <w:tab/>
      </w:r>
      <w:r>
        <w:rPr>
          <w:b/>
        </w:rPr>
        <w:t>S</w:t>
      </w:r>
      <w:r>
        <w:t xml:space="preserve"> =</w:t>
      </w:r>
      <w:r>
        <w:tab/>
      </w:r>
      <w:r>
        <w:rPr>
          <w:szCs w:val="22"/>
        </w:rPr>
        <w:t>1.111</w:t>
      </w:r>
      <w:r>
        <w:t>;</w:t>
      </w:r>
    </w:p>
    <w:p>
      <w:pPr>
        <w:pStyle w:val="z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zyMiscellaneousBody"/>
        <w:tabs>
          <w:tab w:val="left" w:pos="1134"/>
          <w:tab w:val="left" w:pos="1701"/>
        </w:tabs>
        <w:ind w:left="1701" w:hanging="1701"/>
      </w:pPr>
      <w:r>
        <w:tab/>
      </w:r>
      <w:r>
        <w:rPr>
          <w:b/>
        </w:rPr>
        <w:t>U</w:t>
      </w:r>
      <w:r>
        <w:t xml:space="preserve"> =</w:t>
      </w:r>
      <w:r>
        <w:tab/>
        <w:t>the number of beds in the nursing home;</w:t>
      </w:r>
    </w:p>
    <w:p>
      <w:pPr>
        <w:pStyle w:val="zyMiscellaneousBody"/>
        <w:tabs>
          <w:tab w:val="left" w:pos="1134"/>
          <w:tab w:val="left" w:pos="1701"/>
        </w:tabs>
        <w:ind w:left="1701" w:hanging="1701"/>
      </w:pPr>
      <w:r>
        <w:tab/>
      </w:r>
      <w:r>
        <w:rPr>
          <w:b/>
        </w:rPr>
        <w:t>V</w:t>
      </w:r>
      <w:r>
        <w:t xml:space="preserve"> =</w:t>
      </w:r>
      <w:r>
        <w:tab/>
      </w:r>
      <w:r>
        <w:rPr>
          <w:szCs w:val="22"/>
        </w:rPr>
        <w:t>$160.44</w:t>
      </w:r>
      <w:r>
        <w:t>.</w:t>
      </w:r>
    </w:p>
    <w:p>
      <w:pPr>
        <w:pStyle w:val="yHeading5"/>
        <w:tabs>
          <w:tab w:val="clear" w:pos="879"/>
        </w:tabs>
        <w:ind w:left="851" w:hanging="851"/>
      </w:pPr>
      <w:bookmarkStart w:id="397" w:name="_Toc453243654"/>
      <w:bookmarkStart w:id="398" w:name="_Toc455404219"/>
      <w:r>
        <w:rPr>
          <w:rStyle w:val="CharSClsNo"/>
        </w:rPr>
        <w:t>17</w:t>
      </w:r>
      <w:r>
        <w:t>.</w:t>
      </w:r>
      <w:r>
        <w:tab/>
        <w:t>Certain metropolitan strata</w:t>
      </w:r>
      <w:r>
        <w:noBreakHyphen/>
        <w:t>titled units</w:t>
      </w:r>
      <w:bookmarkEnd w:id="397"/>
      <w:bookmarkEnd w:id="398"/>
    </w:p>
    <w:p>
      <w:pPr>
        <w:pStyle w:val="yMiscellaneousBody"/>
        <w:tabs>
          <w:tab w:val="left" w:pos="284"/>
          <w:tab w:val="right" w:leader="dot" w:pos="6804"/>
        </w:tabs>
        <w:ind w:left="851" w:hanging="851"/>
      </w:pPr>
      <w:r>
        <w:tab/>
      </w:r>
      <w:r>
        <w:tab/>
        <w:t>In respect of land in the metropolitan area that —</w:t>
      </w:r>
    </w:p>
    <w:p>
      <w:pPr>
        <w:pStyle w:val="yMiscellaneousBody"/>
        <w:tabs>
          <w:tab w:val="left" w:pos="1134"/>
        </w:tabs>
        <w:ind w:left="1560" w:hanging="1560"/>
      </w:pPr>
      <w:r>
        <w:tab/>
        <w:t>(a)</w:t>
      </w:r>
      <w:r>
        <w:tab/>
        <w:t>is contained in a lot; and</w:t>
      </w:r>
    </w:p>
    <w:p>
      <w:pPr>
        <w:pStyle w:val="yMiscellaneousBody"/>
        <w:tabs>
          <w:tab w:val="left" w:pos="1134"/>
        </w:tabs>
        <w:ind w:left="1560" w:hanging="1560"/>
      </w:pPr>
      <w:r>
        <w:tab/>
        <w:t>(b)</w:t>
      </w:r>
      <w:r>
        <w:tab/>
        <w:t>is classified as non</w:t>
      </w:r>
      <w:r>
        <w:noBreakHyphen/>
        <w:t>residential; and</w:t>
      </w:r>
    </w:p>
    <w:p>
      <w:pPr>
        <w:pStyle w:val="yMiscellaneousBody"/>
        <w:tabs>
          <w:tab w:val="left" w:pos="1134"/>
        </w:tabs>
        <w:ind w:left="1560" w:hanging="1560"/>
      </w:pPr>
      <w:r>
        <w:tab/>
        <w:t>(c)</w:t>
      </w:r>
      <w:r>
        <w:tab/>
        <w:t>is not covered by item 5 or 6; and</w:t>
      </w:r>
    </w:p>
    <w:p>
      <w:pPr>
        <w:pStyle w:val="yMiscellaneousBody"/>
        <w:tabs>
          <w:tab w:val="left" w:pos="1134"/>
        </w:tabs>
        <w:ind w:left="1560" w:hanging="1560"/>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ind w:left="1560" w:hanging="1560"/>
      </w:pPr>
      <w:r>
        <w:tab/>
        <w:t>(e)</w:t>
      </w:r>
      <w:r>
        <w:tab/>
        <w:t>the number of major fixtures shared by all units on the relevant strata plan is less than the number of those units,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zyMiscellaneousBody"/>
        <w:tabs>
          <w:tab w:val="left" w:pos="1134"/>
          <w:tab w:val="left" w:pos="1701"/>
        </w:tabs>
        <w:ind w:left="1701" w:hanging="1701"/>
      </w:pPr>
      <w:r>
        <w:tab/>
      </w:r>
      <w:r>
        <w:rPr>
          <w:b/>
        </w:rPr>
        <w:t>T</w:t>
      </w:r>
      <w:r>
        <w:t xml:space="preserve"> =</w:t>
      </w:r>
      <w:r>
        <w:tab/>
      </w:r>
      <w:r>
        <w:rPr>
          <w:szCs w:val="22"/>
        </w:rPr>
        <w:t>$551.20</w:t>
      </w:r>
      <w:r>
        <w:t>;</w:t>
      </w:r>
    </w:p>
    <w:p>
      <w:pPr>
        <w:pStyle w:val="zyMiscellaneousBody"/>
        <w:tabs>
          <w:tab w:val="left" w:pos="1134"/>
          <w:tab w:val="left" w:pos="1701"/>
        </w:tabs>
        <w:ind w:left="1701" w:hanging="1701"/>
      </w:pPr>
      <w:r>
        <w:tab/>
      </w:r>
      <w:r>
        <w:rPr>
          <w:b/>
        </w:rPr>
        <w:t>Q</w:t>
      </w:r>
      <w:r>
        <w:t xml:space="preserve"> =</w:t>
      </w:r>
      <w:r>
        <w:tab/>
        <w:t>the discharge charge calculated in accordance with item 19.</w:t>
      </w:r>
    </w:p>
    <w:p>
      <w:pPr>
        <w:pStyle w:val="yHeading4"/>
      </w:pPr>
      <w:bookmarkStart w:id="399" w:name="_Toc453239601"/>
      <w:bookmarkStart w:id="400" w:name="_Toc453239772"/>
      <w:bookmarkStart w:id="401" w:name="_Toc453239949"/>
      <w:bookmarkStart w:id="402" w:name="_Toc453240162"/>
      <w:bookmarkStart w:id="403" w:name="_Toc453243655"/>
      <w:bookmarkStart w:id="404" w:name="_Toc455155329"/>
      <w:bookmarkStart w:id="405" w:name="_Toc455404220"/>
      <w:r>
        <w:t>Subdivision 3</w:t>
      </w:r>
      <w:r>
        <w:rPr>
          <w:b w:val="0"/>
        </w:rPr>
        <w:t> — </w:t>
      </w:r>
      <w:r>
        <w:t>Calculation of certain factors for the purposes of Subdivision 2</w:t>
      </w:r>
      <w:bookmarkEnd w:id="399"/>
      <w:bookmarkEnd w:id="400"/>
      <w:bookmarkEnd w:id="401"/>
      <w:bookmarkEnd w:id="402"/>
      <w:bookmarkEnd w:id="403"/>
      <w:bookmarkEnd w:id="404"/>
      <w:bookmarkEnd w:id="405"/>
    </w:p>
    <w:p>
      <w:pPr>
        <w:pStyle w:val="yFootnoteheading"/>
      </w:pPr>
      <w:r>
        <w:tab/>
        <w:t>[Heading inserted in Gazette 27 Jun 2016 p. 2576.]</w:t>
      </w:r>
    </w:p>
    <w:p>
      <w:pPr>
        <w:pStyle w:val="yHeading5"/>
        <w:tabs>
          <w:tab w:val="clear" w:pos="879"/>
        </w:tabs>
        <w:ind w:left="851" w:hanging="851"/>
      </w:pPr>
      <w:bookmarkStart w:id="406" w:name="_Toc453243656"/>
      <w:bookmarkStart w:id="407" w:name="_Toc455404221"/>
      <w:r>
        <w:rPr>
          <w:rStyle w:val="CharSClsNo"/>
        </w:rPr>
        <w:t>18</w:t>
      </w:r>
      <w:r>
        <w:t>.</w:t>
      </w:r>
      <w:r>
        <w:tab/>
        <w:t>Service charge</w:t>
      </w:r>
      <w:bookmarkEnd w:id="406"/>
      <w:bookmarkEnd w:id="407"/>
    </w:p>
    <w:p>
      <w:pPr>
        <w:pStyle w:val="yMiscellaneousBody"/>
        <w:tabs>
          <w:tab w:val="left" w:pos="284"/>
          <w:tab w:val="right" w:leader="dot" w:pos="6804"/>
        </w:tabs>
        <w:ind w:left="851" w:hanging="851"/>
      </w:pPr>
      <w:r>
        <w:tab/>
      </w:r>
      <w:r>
        <w:tab/>
        <w:t>The service charge (</w:t>
      </w:r>
      <w:r>
        <w:rPr>
          <w:b/>
          <w:i/>
        </w:rPr>
        <w:t>P</w:t>
      </w:r>
      <w:r>
        <w:t>) is —</w:t>
      </w:r>
    </w:p>
    <w:p>
      <w:pPr>
        <w:pStyle w:val="zyMiscellaneousBody"/>
        <w:tabs>
          <w:tab w:val="left" w:pos="284"/>
        </w:tabs>
        <w:ind w:left="879" w:right="-2" w:hanging="879"/>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A</w:t>
      </w:r>
      <w:r>
        <w:t xml:space="preserve"> </w:t>
      </w:r>
      <w:r>
        <w:sym w:font="Symbol" w:char="F0B4"/>
      </w:r>
      <w:r>
        <w:t xml:space="preserve"> </w:t>
      </w:r>
      <w:r>
        <w:rPr>
          <w:b/>
        </w:rPr>
        <w:t>B</w:t>
      </w:r>
    </w:p>
    <w:p>
      <w:pPr>
        <w:pStyle w:val="yMiscellaneousBody"/>
        <w:tabs>
          <w:tab w:val="left" w:pos="284"/>
          <w:tab w:val="right" w:leader="dot" w:pos="6804"/>
        </w:tabs>
        <w:ind w:left="851" w:hanging="851"/>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C</w:t>
      </w:r>
    </w:p>
    <w:p>
      <w:pPr>
        <w:pStyle w:val="yMiscellaneousBody"/>
        <w:tabs>
          <w:tab w:val="left" w:pos="284"/>
          <w:tab w:val="right" w:leader="dot" w:pos="6804"/>
        </w:tabs>
        <w:ind w:left="851" w:hanging="851"/>
      </w:pPr>
      <w:r>
        <w:tab/>
      </w:r>
      <w:r>
        <w:tab/>
        <w:t xml:space="preserve">where — </w:t>
      </w:r>
    </w:p>
    <w:p>
      <w:pPr>
        <w:pStyle w:val="zyMiscellaneousBody"/>
        <w:tabs>
          <w:tab w:val="left" w:pos="1134"/>
          <w:tab w:val="left" w:pos="1701"/>
        </w:tabs>
        <w:ind w:left="1701" w:hanging="1701"/>
      </w:pPr>
      <w:r>
        <w:tab/>
      </w:r>
      <w:r>
        <w:rPr>
          <w:b/>
        </w:rPr>
        <w:t>A</w:t>
      </w:r>
      <w:r>
        <w:t xml:space="preserve"> =</w:t>
      </w:r>
      <w:r>
        <w:tab/>
        <w:t>the charge payable, for the previous financial year, under the item in Subdivision 2 for which this item is being applied;</w:t>
      </w:r>
    </w:p>
    <w:p>
      <w:pPr>
        <w:pStyle w:val="zyMiscellaneousBody"/>
        <w:tabs>
          <w:tab w:val="left" w:pos="1134"/>
          <w:tab w:val="left" w:pos="1701"/>
        </w:tabs>
        <w:ind w:left="1701" w:hanging="1701"/>
      </w:pPr>
      <w:r>
        <w:tab/>
      </w:r>
      <w:r>
        <w:rPr>
          <w:b/>
        </w:rPr>
        <w:t>B</w:t>
      </w:r>
      <w:r>
        <w:t xml:space="preserve"> =</w:t>
      </w:r>
      <w:r>
        <w:tab/>
      </w:r>
      <w:r>
        <w:rPr>
          <w:szCs w:val="22"/>
        </w:rPr>
        <w:t>1.111</w:t>
      </w:r>
      <w:r>
        <w:t>;</w:t>
      </w:r>
    </w:p>
    <w:p>
      <w:pPr>
        <w:pStyle w:val="z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zyMiscellaneousBody"/>
        <w:tabs>
          <w:tab w:val="left" w:pos="1134"/>
          <w:tab w:val="left" w:pos="1701"/>
        </w:tabs>
        <w:ind w:left="1701" w:hanging="1701"/>
      </w:pPr>
      <w:r>
        <w:tab/>
      </w:r>
      <w:r>
        <w:rPr>
          <w:b/>
        </w:rPr>
        <w:t>D</w:t>
      </w:r>
      <w:r>
        <w:t xml:space="preserve"> =</w:t>
      </w:r>
      <w:r>
        <w:tab/>
        <w:t>the discharge charge calculated in accordance with item 19.</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zyTableNAm"/>
              <w:keepNext/>
              <w:jc w:val="center"/>
            </w:pPr>
          </w:p>
        </w:tc>
        <w:tc>
          <w:tcPr>
            <w:tcW w:w="2268" w:type="dxa"/>
            <w:tcBorders>
              <w:top w:val="single" w:sz="4" w:space="0" w:color="auto"/>
              <w:bottom w:val="single" w:sz="4" w:space="0" w:color="auto"/>
            </w:tcBorders>
          </w:tcPr>
          <w:p>
            <w:pPr>
              <w:pStyle w:val="yTableNAm"/>
            </w:pPr>
            <w:r>
              <w:rPr>
                <w:b/>
              </w:rPr>
              <w:t>Charge</w:t>
            </w:r>
          </w:p>
        </w:tc>
      </w:tr>
      <w:tr>
        <w:tc>
          <w:tcPr>
            <w:tcW w:w="2268" w:type="dxa"/>
            <w:tcMar>
              <w:left w:w="482" w:type="dxa"/>
            </w:tcMar>
          </w:tcPr>
          <w:p>
            <w:pPr>
              <w:pStyle w:val="yTableNAm"/>
            </w:pPr>
            <w:r>
              <w:t>1</w:t>
            </w:r>
            <w:r>
              <w:rPr>
                <w:vertAlign w:val="superscript"/>
              </w:rPr>
              <w:t>st</w:t>
            </w:r>
            <w:r>
              <w:t xml:space="preserve"> fixture</w:t>
            </w:r>
          </w:p>
        </w:tc>
        <w:tc>
          <w:tcPr>
            <w:tcW w:w="2268" w:type="dxa"/>
          </w:tcPr>
          <w:p>
            <w:pPr>
              <w:pStyle w:val="yTableNAm"/>
            </w:pPr>
            <w:r>
              <w:rPr>
                <w:szCs w:val="22"/>
              </w:rPr>
              <w:t>$886.68</w:t>
            </w:r>
          </w:p>
        </w:tc>
      </w:tr>
      <w:tr>
        <w:tc>
          <w:tcPr>
            <w:tcW w:w="2268" w:type="dxa"/>
            <w:tcMar>
              <w:left w:w="482" w:type="dxa"/>
            </w:tcMar>
          </w:tcPr>
          <w:p>
            <w:pPr>
              <w:pStyle w:val="yTableNAm"/>
            </w:pPr>
            <w:r>
              <w:t>2</w:t>
            </w:r>
            <w:r>
              <w:rPr>
                <w:vertAlign w:val="superscript"/>
              </w:rPr>
              <w:t>nd</w:t>
            </w:r>
            <w:r>
              <w:t xml:space="preserve"> fixture</w:t>
            </w:r>
          </w:p>
        </w:tc>
        <w:tc>
          <w:tcPr>
            <w:tcW w:w="2268" w:type="dxa"/>
          </w:tcPr>
          <w:p>
            <w:pPr>
              <w:pStyle w:val="yTableNAm"/>
            </w:pPr>
            <w:r>
              <w:rPr>
                <w:szCs w:val="22"/>
              </w:rPr>
              <w:t>$379.55</w:t>
            </w:r>
          </w:p>
        </w:tc>
      </w:tr>
      <w:tr>
        <w:tc>
          <w:tcPr>
            <w:tcW w:w="2268" w:type="dxa"/>
            <w:tcMar>
              <w:left w:w="482" w:type="dxa"/>
            </w:tcMar>
          </w:tcPr>
          <w:p>
            <w:pPr>
              <w:pStyle w:val="yTableNAm"/>
            </w:pPr>
            <w:r>
              <w:t>3</w:t>
            </w:r>
            <w:r>
              <w:rPr>
                <w:vertAlign w:val="superscript"/>
              </w:rPr>
              <w:t>rd</w:t>
            </w:r>
            <w:r>
              <w:t xml:space="preserve"> fixture</w:t>
            </w:r>
          </w:p>
        </w:tc>
        <w:tc>
          <w:tcPr>
            <w:tcW w:w="2268" w:type="dxa"/>
          </w:tcPr>
          <w:p>
            <w:pPr>
              <w:pStyle w:val="yTableNAm"/>
            </w:pPr>
            <w:r>
              <w:rPr>
                <w:szCs w:val="22"/>
              </w:rPr>
              <w:t>$506.88</w:t>
            </w:r>
          </w:p>
        </w:tc>
      </w:tr>
      <w:tr>
        <w:tc>
          <w:tcPr>
            <w:tcW w:w="2268" w:type="dxa"/>
            <w:tcBorders>
              <w:bottom w:val="single" w:sz="4" w:space="0" w:color="auto"/>
            </w:tcBorders>
            <w:tcMar>
              <w:left w:w="482" w:type="dxa"/>
            </w:tcMar>
          </w:tcPr>
          <w:p>
            <w:pPr>
              <w:pStyle w:val="yTableNAm"/>
            </w:pPr>
            <w:r>
              <w:t>4</w:t>
            </w:r>
            <w:r>
              <w:rPr>
                <w:vertAlign w:val="superscript"/>
              </w:rPr>
              <w:t>th</w:t>
            </w:r>
            <w:r>
              <w:t xml:space="preserve"> and subsequent</w:t>
            </w:r>
            <w:r>
              <w:br/>
              <w:t>fixtures</w:t>
            </w:r>
          </w:p>
        </w:tc>
        <w:tc>
          <w:tcPr>
            <w:tcW w:w="2268" w:type="dxa"/>
            <w:tcBorders>
              <w:bottom w:val="single" w:sz="4" w:space="0" w:color="auto"/>
            </w:tcBorders>
          </w:tcPr>
          <w:p>
            <w:pPr>
              <w:pStyle w:val="yTableNAm"/>
            </w:pPr>
            <w:r>
              <w:rPr>
                <w:szCs w:val="22"/>
              </w:rPr>
              <w:t>$551.20</w:t>
            </w:r>
          </w:p>
        </w:tc>
      </w:tr>
    </w:tbl>
    <w:p>
      <w:pPr>
        <w:pStyle w:val="yHeading5"/>
        <w:tabs>
          <w:tab w:val="clear" w:pos="879"/>
        </w:tabs>
        <w:ind w:left="851" w:hanging="851"/>
      </w:pPr>
      <w:bookmarkStart w:id="408" w:name="_Toc453243657"/>
      <w:bookmarkStart w:id="409" w:name="_Toc455404222"/>
      <w:r>
        <w:rPr>
          <w:rStyle w:val="CharSClsNo"/>
        </w:rPr>
        <w:t>19</w:t>
      </w:r>
      <w:r>
        <w:t>.</w:t>
      </w:r>
      <w:r>
        <w:tab/>
        <w:t>Discharge charge</w:t>
      </w:r>
      <w:bookmarkEnd w:id="408"/>
      <w:bookmarkEnd w:id="409"/>
    </w:p>
    <w:p>
      <w:pPr>
        <w:pStyle w:val="yMiscellaneousBody"/>
        <w:keepNext/>
        <w:tabs>
          <w:tab w:val="left" w:pos="284"/>
          <w:tab w:val="right" w:leader="dot" w:pos="6804"/>
        </w:tabs>
        <w:ind w:left="851" w:hanging="851"/>
      </w:pPr>
      <w:r>
        <w:tab/>
      </w:r>
      <w:r>
        <w:tab/>
        <w:t>The discharge charge (</w:t>
      </w:r>
      <w:r>
        <w:rPr>
          <w:b/>
          <w:i/>
        </w:rPr>
        <w:t>Q</w:t>
      </w:r>
      <w:r>
        <w:t>) is —</w:t>
      </w:r>
    </w:p>
    <w:p>
      <w:pPr>
        <w:pStyle w:val="yMiscellaneousBody"/>
        <w:tabs>
          <w:tab w:val="left" w:pos="284"/>
          <w:tab w:val="right" w:leader="dot" w:pos="6804"/>
        </w:tabs>
        <w:ind w:left="851" w:hanging="851"/>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284"/>
          <w:tab w:val="right" w:leader="dot" w:pos="6804"/>
        </w:tabs>
        <w:ind w:left="851" w:hanging="851"/>
      </w:pPr>
      <w:r>
        <w:tab/>
      </w:r>
      <w:r>
        <w:tab/>
        <w:t>then nil</w:t>
      </w:r>
    </w:p>
    <w:p>
      <w:pPr>
        <w:pStyle w:val="yMiscellaneousBody"/>
        <w:tabs>
          <w:tab w:val="left" w:pos="284"/>
          <w:tab w:val="right" w:leader="dot" w:pos="6804"/>
        </w:tabs>
        <w:ind w:left="851" w:hanging="851"/>
      </w:pPr>
      <w:r>
        <w:tab/>
      </w: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284"/>
          <w:tab w:val="right" w:leader="dot" w:pos="6804"/>
        </w:tabs>
        <w:ind w:left="851" w:hanging="851"/>
      </w:pPr>
      <w:r>
        <w:tab/>
      </w: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284"/>
          <w:tab w:val="right" w:leader="dot" w:pos="6804"/>
        </w:tabs>
        <w:ind w:left="851" w:hanging="851"/>
      </w:pPr>
      <w:r>
        <w:tab/>
      </w:r>
      <w:r>
        <w:tab/>
        <w:t xml:space="preserve">where — </w:t>
      </w:r>
    </w:p>
    <w:p>
      <w:pPr>
        <w:pStyle w:val="z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z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zyMiscellaneousBody"/>
        <w:tabs>
          <w:tab w:val="left" w:pos="1134"/>
          <w:tab w:val="left" w:pos="1701"/>
        </w:tabs>
        <w:ind w:left="1701" w:hanging="1701"/>
      </w:pPr>
      <w:r>
        <w:tab/>
      </w:r>
      <w:r>
        <w:rPr>
          <w:b/>
        </w:rPr>
        <w:t>H</w:t>
      </w:r>
      <w:r>
        <w:t xml:space="preserve"> =</w:t>
      </w:r>
      <w:r>
        <w:tab/>
        <w:t>the discharge allowance for the current discharge year worked out in accordance with item 20;</w:t>
      </w:r>
    </w:p>
    <w:p>
      <w:pPr>
        <w:pStyle w:val="zyMiscellaneousBody"/>
        <w:tabs>
          <w:tab w:val="left" w:pos="1134"/>
          <w:tab w:val="left" w:pos="1701"/>
        </w:tabs>
        <w:ind w:left="1701" w:hanging="1701"/>
      </w:pPr>
      <w:r>
        <w:tab/>
      </w:r>
      <w:r>
        <w:rPr>
          <w:b/>
        </w:rPr>
        <w:t>I</w:t>
      </w:r>
      <w:r>
        <w:t xml:space="preserve"> =</w:t>
      </w:r>
      <w:r>
        <w:tab/>
      </w:r>
      <w:r>
        <w:rPr>
          <w:szCs w:val="22"/>
        </w:rPr>
        <w:t>$3.258</w:t>
      </w:r>
      <w:r>
        <w:t>,</w:t>
      </w:r>
    </w:p>
    <w:p>
      <w:pPr>
        <w:pStyle w:val="yMiscellaneousBody"/>
        <w:tabs>
          <w:tab w:val="left" w:pos="284"/>
          <w:tab w:val="right" w:leader="dot" w:pos="6804"/>
        </w:tabs>
        <w:ind w:left="851" w:hanging="851"/>
      </w:pPr>
      <w:r>
        <w:tab/>
      </w: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tabs>
          <w:tab w:val="clear" w:pos="879"/>
        </w:tabs>
        <w:ind w:left="851" w:hanging="851"/>
      </w:pPr>
      <w:bookmarkStart w:id="410" w:name="_Toc453243658"/>
      <w:bookmarkStart w:id="411" w:name="_Toc455404223"/>
      <w:r>
        <w:rPr>
          <w:rStyle w:val="CharSClsNo"/>
        </w:rPr>
        <w:t>20</w:t>
      </w:r>
      <w:r>
        <w:t>.</w:t>
      </w:r>
      <w:r>
        <w:tab/>
        <w:t>Discharge allowance</w:t>
      </w:r>
      <w:bookmarkEnd w:id="410"/>
      <w:bookmarkEnd w:id="411"/>
    </w:p>
    <w:p>
      <w:pPr>
        <w:pStyle w:val="yMiscellaneousBody"/>
        <w:tabs>
          <w:tab w:val="left" w:pos="284"/>
          <w:tab w:val="right" w:leader="dot" w:pos="6804"/>
        </w:tabs>
        <w:ind w:left="851" w:hanging="851"/>
      </w:pPr>
      <w:r>
        <w:tab/>
        <w:t>(1)</w:t>
      </w:r>
      <w:r>
        <w:tab/>
        <w:t>The discharge allowance for the current discharge year is —</w:t>
      </w:r>
    </w:p>
    <w:p>
      <w:pPr>
        <w:pStyle w:val="yMiscellaneousBody"/>
        <w:tabs>
          <w:tab w:val="left" w:pos="1134"/>
        </w:tabs>
        <w:ind w:left="1560" w:hanging="1560"/>
      </w:pPr>
      <w:r>
        <w:tab/>
        <w:t>(a)</w:t>
      </w:r>
      <w:r>
        <w:tab/>
        <w:t>for land to which item 13 applies that is not covered by paragraph (e) — 200 kL;</w:t>
      </w:r>
    </w:p>
    <w:p>
      <w:pPr>
        <w:pStyle w:val="yMiscellaneousBody"/>
        <w:tabs>
          <w:tab w:val="left" w:pos="1134"/>
        </w:tabs>
        <w:ind w:left="1560" w:hanging="1560"/>
      </w:pPr>
      <w:r>
        <w:tab/>
        <w:t>(b)</w:t>
      </w:r>
      <w:r>
        <w:tab/>
        <w:t>for land held by a government trading organisation or by a public authority that holds non</w:t>
      </w:r>
      <w:r>
        <w:noBreakHyphen/>
        <w:t>commercial government property — 200 kL;</w:t>
      </w:r>
    </w:p>
    <w:p>
      <w:pPr>
        <w:pStyle w:val="yMiscellaneousBody"/>
        <w:tabs>
          <w:tab w:val="left" w:pos="1134"/>
        </w:tabs>
        <w:ind w:left="1560" w:hanging="1560"/>
      </w:pPr>
      <w:r>
        <w:tab/>
        <w:t>(c)</w:t>
      </w:r>
      <w:r>
        <w:tab/>
        <w:t>for a caravan park referred to in item 15, the amount (in kL) calculated in accordance with the formula in sub</w:t>
      </w:r>
      <w:r>
        <w:noBreakHyphen/>
        <w:t>item (2);</w:t>
      </w:r>
    </w:p>
    <w:p>
      <w:pPr>
        <w:pStyle w:val="yMiscellaneousBody"/>
        <w:tabs>
          <w:tab w:val="left" w:pos="1134"/>
        </w:tabs>
        <w:ind w:left="1560" w:hanging="1560"/>
      </w:pPr>
      <w:r>
        <w:tab/>
        <w:t>(d)</w:t>
      </w:r>
      <w:r>
        <w:tab/>
        <w:t>for a nursing home referred to in item 16 — 75 kL per bed;</w:t>
      </w:r>
    </w:p>
    <w:p>
      <w:pPr>
        <w:pStyle w:val="yMiscellaneousBody"/>
        <w:tabs>
          <w:tab w:val="left" w:pos="1134"/>
        </w:tabs>
        <w:ind w:left="1560" w:hanging="1560"/>
      </w:pPr>
      <w:r>
        <w:tab/>
        <w:t>(e)</w:t>
      </w:r>
      <w:r>
        <w:tab/>
        <w:t>for properties that share a metered property water supply connection — 200 kL for each property.</w:t>
      </w:r>
    </w:p>
    <w:p>
      <w:pPr>
        <w:pStyle w:val="yMiscellaneousBody"/>
        <w:keepNext/>
        <w:tabs>
          <w:tab w:val="left" w:pos="284"/>
          <w:tab w:val="right" w:leader="dot" w:pos="6804"/>
        </w:tabs>
        <w:ind w:left="851" w:hanging="851"/>
      </w:pPr>
      <w:r>
        <w:tab/>
        <w:t>(2)</w:t>
      </w:r>
      <w:r>
        <w:tab/>
        <w:t>The formula for the purposes of sub</w:t>
      </w:r>
      <w:r>
        <w:noBreakHyphen/>
        <w:t>item (1)(c) is —</w:t>
      </w:r>
    </w:p>
    <w:p>
      <w:pPr>
        <w:pStyle w:val="zyMiscellaneousBody"/>
        <w:tabs>
          <w:tab w:val="left" w:pos="1560"/>
        </w:tabs>
        <w:ind w:left="1701" w:hanging="1701"/>
      </w:pPr>
      <w:r>
        <w:rPr>
          <w:b/>
        </w:rPr>
        <w:tab/>
        <w:t>L</w:t>
      </w:r>
      <w:r>
        <w:t xml:space="preserve"> + </w:t>
      </w:r>
      <w:r>
        <w:rPr>
          <w:b/>
        </w:rPr>
        <w:t>M</w:t>
      </w:r>
    </w:p>
    <w:p>
      <w:pPr>
        <w:pStyle w:val="zyMiscellaneousBody"/>
        <w:tabs>
          <w:tab w:val="left" w:pos="1560"/>
        </w:tabs>
        <w:ind w:left="1701" w:hanging="1701"/>
      </w:pPr>
      <w:r>
        <w:tab/>
        <w:t xml:space="preserve">where — </w:t>
      </w:r>
    </w:p>
    <w:p>
      <w:pPr>
        <w:pStyle w:val="zyMiscellaneousBody"/>
        <w:tabs>
          <w:tab w:val="left" w:pos="1985"/>
          <w:tab w:val="left" w:pos="2552"/>
        </w:tabs>
      </w:pPr>
      <w:r>
        <w:tab/>
      </w:r>
      <w:r>
        <w:rPr>
          <w:b/>
        </w:rPr>
        <w:t>L</w:t>
      </w:r>
      <w:r>
        <w:t xml:space="preserve"> =</w:t>
      </w:r>
      <w:r>
        <w:tab/>
        <w:t>200;</w:t>
      </w:r>
    </w:p>
    <w:p>
      <w:pPr>
        <w:pStyle w:val="zyMiscellaneousBody"/>
        <w:tabs>
          <w:tab w:val="left" w:pos="1985"/>
          <w:tab w:val="left" w:pos="2552"/>
        </w:tabs>
      </w:pPr>
      <w:r>
        <w:tab/>
      </w:r>
      <w:r>
        <w:rPr>
          <w:b/>
        </w:rPr>
        <w:t>M</w:t>
      </w:r>
      <w:r>
        <w:t xml:space="preserve"> =</w:t>
      </w:r>
      <w:r>
        <w:tab/>
        <w:t>75 kL for each long</w:t>
      </w:r>
      <w:r>
        <w:noBreakHyphen/>
        <w:t xml:space="preserve">term residential caravan </w:t>
      </w:r>
      <w:r>
        <w:tab/>
      </w:r>
      <w:r>
        <w:tab/>
        <w:t>bay.</w:t>
      </w:r>
    </w:p>
    <w:p>
      <w:pPr>
        <w:pStyle w:val="yHeading4"/>
      </w:pPr>
      <w:bookmarkStart w:id="412" w:name="_Toc453239605"/>
      <w:bookmarkStart w:id="413" w:name="_Toc453239776"/>
      <w:bookmarkStart w:id="414" w:name="_Toc453239953"/>
      <w:bookmarkStart w:id="415" w:name="_Toc453240166"/>
      <w:bookmarkStart w:id="416" w:name="_Toc453243659"/>
      <w:bookmarkStart w:id="417" w:name="_Toc455155333"/>
      <w:bookmarkStart w:id="418" w:name="_Toc455404224"/>
      <w:r>
        <w:t>Subdivision 4</w:t>
      </w:r>
      <w:r>
        <w:rPr>
          <w:b w:val="0"/>
        </w:rPr>
        <w:t> — </w:t>
      </w:r>
      <w:r>
        <w:t>Combined charges: non</w:t>
      </w:r>
      <w:r>
        <w:noBreakHyphen/>
        <w:t>metropolitan</w:t>
      </w:r>
      <w:bookmarkEnd w:id="412"/>
      <w:bookmarkEnd w:id="413"/>
      <w:bookmarkEnd w:id="414"/>
      <w:bookmarkEnd w:id="415"/>
      <w:bookmarkEnd w:id="416"/>
      <w:bookmarkEnd w:id="417"/>
      <w:bookmarkEnd w:id="418"/>
    </w:p>
    <w:p>
      <w:pPr>
        <w:pStyle w:val="yFootnoteheading"/>
      </w:pPr>
      <w:r>
        <w:tab/>
        <w:t>[Heading inserted in Gazette 27 Jun 2016 p. 2578.]</w:t>
      </w:r>
    </w:p>
    <w:p>
      <w:pPr>
        <w:pStyle w:val="yHeading5"/>
        <w:tabs>
          <w:tab w:val="clear" w:pos="879"/>
        </w:tabs>
        <w:ind w:left="851" w:hanging="851"/>
      </w:pPr>
      <w:bookmarkStart w:id="419" w:name="_Toc453243660"/>
      <w:bookmarkStart w:id="420" w:name="_Toc455404225"/>
      <w:r>
        <w:rPr>
          <w:rStyle w:val="CharSClsNo"/>
        </w:rPr>
        <w:t>21</w:t>
      </w:r>
      <w:r>
        <w:t>.</w:t>
      </w:r>
      <w:r>
        <w:tab/>
        <w:t>Non</w:t>
      </w:r>
      <w:r>
        <w:noBreakHyphen/>
        <w:t>metropolitan non</w:t>
      </w:r>
      <w:r>
        <w:noBreakHyphen/>
        <w:t>residential</w:t>
      </w:r>
      <w:bookmarkEnd w:id="419"/>
      <w:bookmarkEnd w:id="420"/>
    </w:p>
    <w:p>
      <w:pPr>
        <w:pStyle w:val="yMiscellaneousBody"/>
        <w:tabs>
          <w:tab w:val="left" w:pos="284"/>
          <w:tab w:val="right" w:leader="dot" w:pos="6804"/>
        </w:tabs>
        <w:ind w:left="851" w:hanging="851"/>
      </w:pPr>
      <w:r>
        <w:tab/>
      </w:r>
      <w:r>
        <w:tab/>
        <w:t>In respect of land in the non</w:t>
      </w:r>
      <w:r>
        <w:noBreakHyphen/>
        <w:t>metropolitan area that —</w:t>
      </w:r>
    </w:p>
    <w:p>
      <w:pPr>
        <w:pStyle w:val="yMiscellaneousBody"/>
        <w:tabs>
          <w:tab w:val="left" w:pos="1134"/>
        </w:tabs>
        <w:ind w:left="1560" w:hanging="1560"/>
      </w:pPr>
      <w:r>
        <w:tab/>
        <w:t>(a)</w:t>
      </w:r>
      <w:r>
        <w:tab/>
        <w:t>is classified as non</w:t>
      </w:r>
      <w:r>
        <w:noBreakHyphen/>
        <w:t>residential property or is held by a government trading organisation or a public authority that holds non</w:t>
      </w:r>
      <w:r>
        <w:noBreakHyphen/>
        <w:t>commercial government property; and</w:t>
      </w:r>
    </w:p>
    <w:p>
      <w:pPr>
        <w:pStyle w:val="yMiscellaneousBody"/>
        <w:tabs>
          <w:tab w:val="left" w:pos="1134"/>
        </w:tabs>
        <w:ind w:left="1560" w:hanging="1560"/>
      </w:pPr>
      <w:r>
        <w:tab/>
        <w:t>(b)</w:t>
      </w:r>
      <w:r>
        <w:tab/>
        <w:t>is not covered by item 5, 6, 10, 22, 23 or 24,</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t>if (</w:t>
      </w:r>
      <w:r>
        <w:rPr>
          <w:b/>
        </w:rPr>
        <w:t>P</w:t>
      </w:r>
      <w:r>
        <w:t xml:space="preserve"> + </w:t>
      </w:r>
      <w:r>
        <w:rPr>
          <w:b/>
        </w:rPr>
        <w:t>Q</w:t>
      </w:r>
      <w:r>
        <w:t xml:space="preserve">) </w:t>
      </w:r>
      <w:r>
        <w:sym w:font="Symbol" w:char="F0A3"/>
      </w:r>
      <w:r>
        <w:t xml:space="preserve"> </w:t>
      </w:r>
      <w:r>
        <w:rPr>
          <w:b/>
        </w:rPr>
        <w:t>R</w:t>
      </w:r>
      <w:r>
        <w:t>,</w:t>
      </w:r>
    </w:p>
    <w:p>
      <w:pPr>
        <w:pStyle w:val="yMiscellaneousBody"/>
        <w:tabs>
          <w:tab w:val="left" w:pos="284"/>
          <w:tab w:val="right" w:leader="dot" w:pos="6804"/>
        </w:tabs>
        <w:ind w:left="851" w:hanging="851"/>
      </w:pPr>
      <w:r>
        <w:tab/>
      </w:r>
      <w:r>
        <w:tab/>
        <w:t xml:space="preserve">then </w:t>
      </w:r>
      <w:r>
        <w:rPr>
          <w:b/>
        </w:rPr>
        <w:t>P</w:t>
      </w:r>
      <w:r>
        <w:t xml:space="preserve"> + </w:t>
      </w:r>
      <w:r>
        <w:rPr>
          <w:b/>
        </w:rPr>
        <w:t>Q</w:t>
      </w:r>
    </w:p>
    <w:p>
      <w:pPr>
        <w:pStyle w:val="yMiscellaneousBody"/>
        <w:tabs>
          <w:tab w:val="left" w:pos="284"/>
          <w:tab w:val="right" w:leader="dot" w:pos="6804"/>
        </w:tabs>
        <w:ind w:left="851" w:hanging="851"/>
      </w:pPr>
      <w:r>
        <w:tab/>
      </w:r>
      <w:r>
        <w:tab/>
        <w:t xml:space="preserve">or if — </w:t>
      </w:r>
    </w:p>
    <w:p>
      <w:pPr>
        <w:pStyle w:val="zyMiscellaneousBody"/>
        <w:keepNext/>
        <w:ind w:left="1134" w:hanging="1134"/>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w:t>
      </w:r>
      <w:r>
        <w:sym w:font="Symbol" w:char="F0A3"/>
      </w:r>
      <w:r>
        <w:t xml:space="preserve"> </w:t>
      </w:r>
      <w:r>
        <w:rPr>
          <w:b/>
        </w:rPr>
        <w:t>W</w:t>
      </w:r>
      <w:r>
        <w:t>,</w:t>
      </w:r>
    </w:p>
    <w:p>
      <w:pPr>
        <w:pStyle w:val="yMiscellaneousBody"/>
        <w:tabs>
          <w:tab w:val="left" w:pos="284"/>
          <w:tab w:val="right" w:leader="dot" w:pos="6804"/>
        </w:tabs>
        <w:ind w:left="851" w:hanging="851"/>
      </w:pPr>
      <w:r>
        <w:tab/>
      </w:r>
      <w:r>
        <w:tab/>
        <w:t xml:space="preserve">then </w:t>
      </w:r>
      <w:r>
        <w:rPr>
          <w:b/>
        </w:rPr>
        <w:t>R</w:t>
      </w:r>
    </w:p>
    <w:p>
      <w:pPr>
        <w:pStyle w:val="yMiscellaneousBody"/>
        <w:tabs>
          <w:tab w:val="left" w:pos="284"/>
          <w:tab w:val="right" w:leader="dot" w:pos="6804"/>
        </w:tabs>
        <w:ind w:left="851" w:hanging="851"/>
      </w:pPr>
      <w:r>
        <w:tab/>
      </w: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&gt; </w:t>
      </w:r>
      <w:r>
        <w:rPr>
          <w:b/>
        </w:rPr>
        <w:t>W</w:t>
      </w:r>
      <w:r>
        <w:t>,</w:t>
      </w:r>
    </w:p>
    <w:p>
      <w:pPr>
        <w:pStyle w:val="yMiscellaneousBody"/>
        <w:tabs>
          <w:tab w:val="left" w:pos="284"/>
          <w:tab w:val="right" w:leader="dot" w:pos="6804"/>
        </w:tabs>
        <w:ind w:left="851" w:hanging="851"/>
      </w:pPr>
      <w:r>
        <w:tab/>
      </w: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keepNext/>
        <w:tabs>
          <w:tab w:val="left" w:pos="284"/>
          <w:tab w:val="right" w:leader="dot" w:pos="6804"/>
        </w:tabs>
        <w:ind w:left="851" w:hanging="851"/>
      </w:pPr>
      <w:r>
        <w:tab/>
      </w:r>
      <w:r>
        <w:tab/>
        <w:t xml:space="preserve">where — </w:t>
      </w:r>
    </w:p>
    <w:p>
      <w:pPr>
        <w:pStyle w:val="zyMiscellaneousBody"/>
        <w:tabs>
          <w:tab w:val="left" w:pos="1134"/>
          <w:tab w:val="left" w:pos="1701"/>
        </w:tabs>
        <w:ind w:left="1701" w:hanging="1701"/>
      </w:pPr>
      <w:r>
        <w:tab/>
      </w:r>
      <w:r>
        <w:rPr>
          <w:b/>
        </w:rPr>
        <w:t>P</w:t>
      </w:r>
      <w:r>
        <w:t xml:space="preserve"> =</w:t>
      </w:r>
      <w:r>
        <w:tab/>
        <w:t>the service charge calculated in accordance with item 25;</w:t>
      </w:r>
    </w:p>
    <w:p>
      <w:pPr>
        <w:pStyle w:val="zyMiscellaneousBody"/>
        <w:tabs>
          <w:tab w:val="left" w:pos="1134"/>
          <w:tab w:val="left" w:pos="1701"/>
        </w:tabs>
        <w:ind w:left="1701" w:hanging="1701"/>
      </w:pPr>
      <w:r>
        <w:tab/>
      </w:r>
      <w:r>
        <w:rPr>
          <w:b/>
        </w:rPr>
        <w:t>Q</w:t>
      </w:r>
      <w:r>
        <w:t xml:space="preserve"> =</w:t>
      </w:r>
      <w:r>
        <w:tab/>
        <w:t>the discharge charge calculated in accordance with item 26;</w:t>
      </w:r>
    </w:p>
    <w:p>
      <w:pPr>
        <w:pStyle w:val="zyMiscellaneousBody"/>
        <w:tabs>
          <w:tab w:val="left" w:pos="1134"/>
          <w:tab w:val="left" w:pos="1701"/>
        </w:tabs>
        <w:ind w:left="1701" w:hanging="1701"/>
      </w:pPr>
      <w:r>
        <w:tab/>
      </w:r>
      <w:r>
        <w:rPr>
          <w:b/>
        </w:rPr>
        <w:t>R</w:t>
      </w:r>
      <w:r>
        <w:t xml:space="preserve"> =</w:t>
      </w:r>
      <w:r>
        <w:tab/>
        <w:t>the maximum charge calculated in accordance with item 28;</w:t>
      </w:r>
    </w:p>
    <w:p>
      <w:pPr>
        <w:pStyle w:val="zyMiscellaneousBody"/>
        <w:tabs>
          <w:tab w:val="left" w:pos="1134"/>
          <w:tab w:val="left" w:pos="1701"/>
        </w:tabs>
        <w:ind w:left="1701" w:hanging="1701"/>
      </w:pPr>
      <w:r>
        <w:tab/>
      </w:r>
      <w:r>
        <w:rPr>
          <w:b/>
        </w:rPr>
        <w:t>N</w:t>
      </w:r>
      <w:r>
        <w:t xml:space="preserve"> =</w:t>
      </w:r>
      <w:r>
        <w:tab/>
        <w:t>the discharge volume for the current discharge year;</w:t>
      </w:r>
    </w:p>
    <w:p>
      <w:pPr>
        <w:pStyle w:val="zyMiscellaneousBody"/>
        <w:tabs>
          <w:tab w:val="left" w:pos="1134"/>
          <w:tab w:val="left" w:pos="1701"/>
        </w:tabs>
        <w:ind w:left="1701" w:hanging="1701"/>
      </w:pPr>
      <w:r>
        <w:tab/>
      </w:r>
      <w:r>
        <w:rPr>
          <w:b/>
        </w:rPr>
        <w:t>W</w:t>
      </w:r>
      <w:r>
        <w:t xml:space="preserve"> =</w:t>
      </w:r>
      <w:r>
        <w:tab/>
        <w:t>the discharge volume for the most recently completed discharge year;</w:t>
      </w:r>
    </w:p>
    <w:p>
      <w:pPr>
        <w:pStyle w:val="zyMiscellaneousBody"/>
        <w:tabs>
          <w:tab w:val="left" w:pos="1134"/>
          <w:tab w:val="left" w:pos="1701"/>
        </w:tabs>
        <w:ind w:left="1701" w:hanging="1701"/>
      </w:pPr>
      <w:r>
        <w:tab/>
      </w:r>
      <w:r>
        <w:rPr>
          <w:b/>
        </w:rPr>
        <w:t>I</w:t>
      </w:r>
      <w:r>
        <w:t xml:space="preserve"> =</w:t>
      </w:r>
      <w:r>
        <w:tab/>
      </w:r>
      <w:r>
        <w:rPr>
          <w:szCs w:val="22"/>
        </w:rPr>
        <w:t>$3.258</w:t>
      </w:r>
      <w:r>
        <w:t>.</w:t>
      </w:r>
    </w:p>
    <w:p>
      <w:pPr>
        <w:pStyle w:val="yHeading5"/>
        <w:tabs>
          <w:tab w:val="clear" w:pos="879"/>
        </w:tabs>
        <w:ind w:left="851" w:hanging="851"/>
      </w:pPr>
      <w:bookmarkStart w:id="421" w:name="_Toc453243661"/>
      <w:bookmarkStart w:id="422" w:name="_Toc455404226"/>
      <w:r>
        <w:rPr>
          <w:rStyle w:val="CharSClsNo"/>
        </w:rPr>
        <w:t>22</w:t>
      </w:r>
      <w:r>
        <w:t>.</w:t>
      </w:r>
      <w:r>
        <w:tab/>
        <w:t>Non</w:t>
      </w:r>
      <w:r>
        <w:noBreakHyphen/>
        <w:t>metropolitan non</w:t>
      </w:r>
      <w:r>
        <w:noBreakHyphen/>
        <w:t>strata titled caravan park with long</w:t>
      </w:r>
      <w:r>
        <w:noBreakHyphen/>
        <w:t>term residential caravan bays</w:t>
      </w:r>
      <w:bookmarkEnd w:id="421"/>
      <w:bookmarkEnd w:id="422"/>
    </w:p>
    <w:p>
      <w:pPr>
        <w:pStyle w:val="yMiscellaneousBody"/>
        <w:tabs>
          <w:tab w:val="left" w:pos="284"/>
          <w:tab w:val="right" w:leader="dot" w:pos="6804"/>
        </w:tabs>
        <w:ind w:left="851" w:hanging="851"/>
      </w:pPr>
      <w:r>
        <w:tab/>
      </w:r>
      <w:r>
        <w:tab/>
        <w:t>In respect of a caravan park in the non</w:t>
      </w:r>
      <w:r>
        <w:noBreakHyphen/>
        <w:t xml:space="preserve">metropolitan area that — </w:t>
      </w:r>
    </w:p>
    <w:p>
      <w:pPr>
        <w:pStyle w:val="yMiscellaneousBody"/>
        <w:tabs>
          <w:tab w:val="left" w:pos="1134"/>
        </w:tabs>
        <w:ind w:left="1560" w:hanging="1560"/>
      </w:pPr>
      <w:r>
        <w:tab/>
        <w:t>(a)</w:t>
      </w:r>
      <w:r>
        <w:tab/>
        <w:t>does not consist wholly of strata</w:t>
      </w:r>
      <w:r>
        <w:noBreakHyphen/>
        <w:t>titled caravan bays; and</w:t>
      </w:r>
    </w:p>
    <w:p>
      <w:pPr>
        <w:pStyle w:val="yMiscellaneousBody"/>
        <w:tabs>
          <w:tab w:val="left" w:pos="1134"/>
        </w:tabs>
        <w:ind w:left="1560" w:hanging="1560"/>
      </w:pPr>
      <w:r>
        <w:tab/>
        <w:t>(b)</w:t>
      </w:r>
      <w:r>
        <w:tab/>
        <w:t>has long</w:t>
      </w:r>
      <w:r>
        <w:noBreakHyphen/>
        <w:t>term residential caravan bays,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AA</w:t>
      </w:r>
      <w:r>
        <w:t xml:space="preserve"> + </w:t>
      </w:r>
      <w:r>
        <w:rPr>
          <w:b/>
        </w:rPr>
        <w:t>AB</w:t>
      </w:r>
    </w:p>
    <w:p>
      <w:pPr>
        <w:pStyle w:val="yMiscellaneousBody"/>
        <w:tabs>
          <w:tab w:val="left" w:pos="284"/>
          <w:tab w:val="right" w:leader="dot" w:pos="6804"/>
        </w:tabs>
        <w:ind w:left="851" w:hanging="851"/>
      </w:pPr>
      <w:r>
        <w:tab/>
      </w:r>
      <w:r>
        <w:tab/>
        <w:t xml:space="preserve">where — </w:t>
      </w:r>
    </w:p>
    <w:p>
      <w:pPr>
        <w:pStyle w:val="zyMiscellaneousBody"/>
        <w:tabs>
          <w:tab w:val="left" w:pos="1134"/>
          <w:tab w:val="left" w:pos="1701"/>
        </w:tabs>
        <w:ind w:left="1701" w:hanging="2268"/>
      </w:pPr>
      <w:r>
        <w:tab/>
      </w:r>
      <w:r>
        <w:rPr>
          <w:b/>
        </w:rPr>
        <w:t>AA</w:t>
      </w:r>
      <w:r>
        <w:t xml:space="preserve"> =</w:t>
      </w:r>
      <w:r>
        <w:tab/>
      </w:r>
      <w:r>
        <w:rPr>
          <w:szCs w:val="22"/>
        </w:rPr>
        <w:t>$292.77</w:t>
      </w:r>
      <w:r>
        <w:t xml:space="preserve"> for each long</w:t>
      </w:r>
      <w:r>
        <w:noBreakHyphen/>
        <w:t>term residential caravan bay;</w:t>
      </w:r>
    </w:p>
    <w:p>
      <w:pPr>
        <w:pStyle w:val="zyMiscellaneousBody"/>
        <w:tabs>
          <w:tab w:val="left" w:pos="1134"/>
          <w:tab w:val="left" w:pos="1701"/>
        </w:tabs>
        <w:ind w:left="1701" w:hanging="2268"/>
      </w:pPr>
      <w:r>
        <w:tab/>
      </w:r>
      <w:r>
        <w:rPr>
          <w:b/>
        </w:rPr>
        <w:t>AB</w:t>
      </w:r>
      <w:r>
        <w:t xml:space="preserve"> =</w:t>
      </w:r>
      <w:r>
        <w:tab/>
        <w:t>for those parts of the caravan park not consisting of long</w:t>
      </w:r>
      <w:r>
        <w:noBreakHyphen/>
        <w:t xml:space="preserve">term residential caravan bays — </w:t>
      </w:r>
    </w:p>
    <w:p>
      <w:pPr>
        <w:pStyle w:val="z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zyMiscellaneousBody"/>
        <w:tabs>
          <w:tab w:val="left" w:pos="1701"/>
        </w:tabs>
      </w:pPr>
      <w:r>
        <w:tab/>
        <w:t xml:space="preserve">then </w:t>
      </w:r>
      <w:r>
        <w:rPr>
          <w:b/>
        </w:rPr>
        <w:t>Y</w:t>
      </w:r>
      <w:r>
        <w:t xml:space="preserve"> + </w:t>
      </w:r>
      <w:r>
        <w:rPr>
          <w:b/>
        </w:rPr>
        <w:t>Q</w:t>
      </w:r>
    </w:p>
    <w:p>
      <w:pPr>
        <w:pStyle w:val="zyMiscellaneousBody"/>
        <w:tabs>
          <w:tab w:val="left" w:pos="1701"/>
        </w:tabs>
      </w:pPr>
      <w:r>
        <w:tab/>
        <w:t xml:space="preserve">or if — </w:t>
      </w:r>
    </w:p>
    <w:p>
      <w:pPr>
        <w:pStyle w:val="zyMiscellaneousBody"/>
        <w:tabs>
          <w:tab w:val="left" w:pos="1985"/>
        </w:tabs>
      </w:pPr>
      <w:r>
        <w:tab/>
        <w:t>(</w:t>
      </w:r>
      <w:r>
        <w:rPr>
          <w:b/>
        </w:rPr>
        <w:t>Y</w:t>
      </w:r>
      <w:r>
        <w:t xml:space="preserve"> + </w:t>
      </w:r>
      <w:r>
        <w:rPr>
          <w:b/>
        </w:rPr>
        <w:t>Q</w:t>
      </w:r>
      <w:r>
        <w:t xml:space="preserve">) &gt; </w:t>
      </w:r>
      <w:r>
        <w:rPr>
          <w:b/>
        </w:rPr>
        <w:t>R</w:t>
      </w:r>
      <w:r>
        <w:t>; and</w:t>
      </w:r>
    </w:p>
    <w:p>
      <w:pPr>
        <w:pStyle w:val="zyMiscellaneousBody"/>
        <w:tabs>
          <w:tab w:val="left" w:pos="1985"/>
        </w:tabs>
      </w:pPr>
      <w:r>
        <w:tab/>
      </w:r>
      <w:r>
        <w:rPr>
          <w:b/>
        </w:rPr>
        <w:t>N</w:t>
      </w:r>
      <w:r>
        <w:t xml:space="preserve"> </w:t>
      </w:r>
      <w:r>
        <w:sym w:font="Symbol" w:char="F0A3"/>
      </w:r>
      <w:r>
        <w:t xml:space="preserve"> </w:t>
      </w:r>
      <w:r>
        <w:rPr>
          <w:b/>
        </w:rPr>
        <w:t>W</w:t>
      </w:r>
      <w:r>
        <w:t>,</w:t>
      </w:r>
    </w:p>
    <w:p>
      <w:pPr>
        <w:pStyle w:val="zyMiscellaneousBody"/>
        <w:tabs>
          <w:tab w:val="left" w:pos="1701"/>
        </w:tabs>
        <w:rPr>
          <w:b/>
        </w:rPr>
      </w:pPr>
      <w:r>
        <w:tab/>
        <w:t xml:space="preserve">then </w:t>
      </w:r>
      <w:r>
        <w:rPr>
          <w:b/>
        </w:rPr>
        <w:t>R</w:t>
      </w:r>
    </w:p>
    <w:p>
      <w:pPr>
        <w:pStyle w:val="zyMiscellaneousBody"/>
        <w:tabs>
          <w:tab w:val="left" w:pos="1701"/>
        </w:tabs>
      </w:pPr>
      <w:r>
        <w:tab/>
        <w:t xml:space="preserve">or if — </w:t>
      </w:r>
    </w:p>
    <w:p>
      <w:pPr>
        <w:pStyle w:val="zyMiscellaneousBody"/>
        <w:tabs>
          <w:tab w:val="left" w:pos="1985"/>
        </w:tabs>
      </w:pPr>
      <w:r>
        <w:tab/>
        <w:t>(</w:t>
      </w:r>
      <w:r>
        <w:rPr>
          <w:b/>
        </w:rPr>
        <w:t>Y</w:t>
      </w:r>
      <w:r>
        <w:t xml:space="preserve"> + </w:t>
      </w:r>
      <w:r>
        <w:rPr>
          <w:b/>
        </w:rPr>
        <w:t>Q</w:t>
      </w:r>
      <w:r>
        <w:t xml:space="preserve">) &gt; </w:t>
      </w:r>
      <w:r>
        <w:rPr>
          <w:b/>
        </w:rPr>
        <w:t>R</w:t>
      </w:r>
      <w:r>
        <w:t>; and</w:t>
      </w:r>
    </w:p>
    <w:p>
      <w:pPr>
        <w:pStyle w:val="zyMiscellaneousBody"/>
        <w:tabs>
          <w:tab w:val="left" w:pos="1985"/>
        </w:tabs>
      </w:pPr>
      <w:r>
        <w:tab/>
      </w:r>
      <w:r>
        <w:rPr>
          <w:b/>
        </w:rPr>
        <w:t>N</w:t>
      </w:r>
      <w:r>
        <w:t xml:space="preserve"> &gt; </w:t>
      </w:r>
      <w:r>
        <w:rPr>
          <w:b/>
        </w:rPr>
        <w:t>W</w:t>
      </w:r>
      <w:r>
        <w:t>,</w:t>
      </w:r>
    </w:p>
    <w:p>
      <w:pPr>
        <w:pStyle w:val="zyMiscellaneousBody"/>
        <w:tabs>
          <w:tab w:val="left" w:pos="1701"/>
        </w:tabs>
      </w:pP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zyMiscellaneousBody"/>
        <w:tabs>
          <w:tab w:val="left" w:pos="1701"/>
        </w:tabs>
      </w:pPr>
      <w:r>
        <w:tab/>
        <w:t xml:space="preserve">where — </w:t>
      </w:r>
    </w:p>
    <w:p>
      <w:pPr>
        <w:pStyle w:val="zyMiscellaneousBody"/>
        <w:tabs>
          <w:tab w:val="left" w:pos="1985"/>
          <w:tab w:val="left" w:pos="2552"/>
        </w:tabs>
        <w:ind w:left="2552" w:hanging="2977"/>
      </w:pPr>
      <w:r>
        <w:tab/>
      </w:r>
      <w:r>
        <w:rPr>
          <w:b/>
        </w:rPr>
        <w:t>Y</w:t>
      </w:r>
      <w:r>
        <w:t xml:space="preserve"> =</w:t>
      </w:r>
      <w:r>
        <w:tab/>
        <w:t>the charge according to the number of major fixtures for the relevant part of the caravan park, that is, “</w:t>
      </w:r>
      <w:r>
        <w:rPr>
          <w:b/>
        </w:rPr>
        <w:t>C</w:t>
      </w:r>
      <w:r>
        <w:t>” in item 25;</w:t>
      </w:r>
    </w:p>
    <w:p>
      <w:pPr>
        <w:pStyle w:val="zyMiscellaneousBody"/>
        <w:tabs>
          <w:tab w:val="left" w:pos="1985"/>
          <w:tab w:val="left" w:pos="2552"/>
        </w:tabs>
        <w:ind w:left="2552" w:hanging="2977"/>
      </w:pPr>
      <w:r>
        <w:tab/>
      </w:r>
      <w:r>
        <w:rPr>
          <w:b/>
        </w:rPr>
        <w:t>Q</w:t>
      </w:r>
      <w:r>
        <w:t xml:space="preserve"> =</w:t>
      </w:r>
      <w:r>
        <w:tab/>
        <w:t>the discharge charge calculated in accordance with item 26;</w:t>
      </w:r>
    </w:p>
    <w:p>
      <w:pPr>
        <w:pStyle w:val="zyMiscellaneousBody"/>
        <w:tabs>
          <w:tab w:val="left" w:pos="1985"/>
          <w:tab w:val="left" w:pos="2552"/>
        </w:tabs>
        <w:ind w:left="2552" w:hanging="2977"/>
      </w:pPr>
      <w:r>
        <w:tab/>
      </w:r>
      <w:r>
        <w:rPr>
          <w:b/>
        </w:rPr>
        <w:t>R</w:t>
      </w:r>
      <w:r>
        <w:t xml:space="preserve"> =</w:t>
      </w:r>
      <w:r>
        <w:tab/>
        <w:t>the maximum charge calculated in accordance with item 28;</w:t>
      </w:r>
    </w:p>
    <w:p>
      <w:pPr>
        <w:pStyle w:val="zyMiscellaneousBody"/>
        <w:tabs>
          <w:tab w:val="left" w:pos="1985"/>
          <w:tab w:val="left" w:pos="2552"/>
        </w:tabs>
        <w:ind w:left="2552" w:hanging="2977"/>
      </w:pPr>
      <w:r>
        <w:tab/>
      </w:r>
      <w:r>
        <w:rPr>
          <w:b/>
        </w:rPr>
        <w:t>N</w:t>
      </w:r>
      <w:r>
        <w:t xml:space="preserve"> =</w:t>
      </w:r>
      <w:r>
        <w:tab/>
        <w:t>the discharge volume for the current discharge year;</w:t>
      </w:r>
    </w:p>
    <w:p>
      <w:pPr>
        <w:pStyle w:val="zyMiscellaneousBody"/>
        <w:tabs>
          <w:tab w:val="left" w:pos="1985"/>
          <w:tab w:val="left" w:pos="2552"/>
        </w:tabs>
        <w:ind w:left="2552" w:hanging="2977"/>
      </w:pPr>
      <w:r>
        <w:tab/>
      </w:r>
      <w:r>
        <w:rPr>
          <w:b/>
        </w:rPr>
        <w:t>W</w:t>
      </w:r>
      <w:r>
        <w:t xml:space="preserve"> =</w:t>
      </w:r>
      <w:r>
        <w:tab/>
        <w:t>the discharge volume for the most recently completed discharge year;</w:t>
      </w:r>
    </w:p>
    <w:p>
      <w:pPr>
        <w:pStyle w:val="zyMiscellaneousBody"/>
        <w:tabs>
          <w:tab w:val="left" w:pos="1985"/>
          <w:tab w:val="left" w:pos="2552"/>
        </w:tabs>
        <w:ind w:left="2552" w:hanging="2977"/>
      </w:pPr>
      <w:r>
        <w:tab/>
      </w:r>
      <w:r>
        <w:rPr>
          <w:b/>
        </w:rPr>
        <w:t>I</w:t>
      </w:r>
      <w:r>
        <w:t xml:space="preserve"> =</w:t>
      </w:r>
      <w:r>
        <w:tab/>
      </w:r>
      <w:r>
        <w:rPr>
          <w:szCs w:val="22"/>
        </w:rPr>
        <w:t>$3.258</w:t>
      </w:r>
      <w:r>
        <w:t>.</w:t>
      </w:r>
    </w:p>
    <w:p>
      <w:pPr>
        <w:pStyle w:val="yHeading5"/>
        <w:tabs>
          <w:tab w:val="clear" w:pos="879"/>
        </w:tabs>
        <w:ind w:left="851" w:hanging="851"/>
      </w:pPr>
      <w:bookmarkStart w:id="423" w:name="_Toc453243662"/>
      <w:bookmarkStart w:id="424" w:name="_Toc455404227"/>
      <w:r>
        <w:rPr>
          <w:rStyle w:val="CharSClsNo"/>
        </w:rPr>
        <w:t>23</w:t>
      </w:r>
      <w:r>
        <w:t>.</w:t>
      </w:r>
      <w:r>
        <w:tab/>
        <w:t>Non</w:t>
      </w:r>
      <w:r>
        <w:noBreakHyphen/>
        <w:t>metropolitan nursing home</w:t>
      </w:r>
      <w:bookmarkEnd w:id="423"/>
      <w:bookmarkEnd w:id="424"/>
    </w:p>
    <w:p>
      <w:pPr>
        <w:pStyle w:val="yMiscellaneousBody"/>
        <w:tabs>
          <w:tab w:val="left" w:pos="284"/>
          <w:tab w:val="right" w:leader="dot" w:pos="6804"/>
        </w:tabs>
        <w:ind w:left="851" w:hanging="851"/>
      </w:pPr>
      <w:r>
        <w:tab/>
      </w:r>
      <w:r>
        <w:tab/>
        <w:t>In respect of a nursing home in the non</w:t>
      </w:r>
      <w:r>
        <w:noBreakHyphen/>
        <w:t>metropolitan area, other than a nursing home that is, or is part of, an aged home, the charge is —</w:t>
      </w:r>
    </w:p>
    <w:p>
      <w:pPr>
        <w:pStyle w:val="yMiscellaneousBody"/>
        <w:tabs>
          <w:tab w:val="left" w:pos="284"/>
          <w:tab w:val="right" w:leader="dot" w:pos="6804"/>
        </w:tabs>
        <w:ind w:left="851" w:hanging="851"/>
      </w:pPr>
      <w:r>
        <w:tab/>
      </w: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284"/>
          <w:tab w:val="right" w:leader="dot" w:pos="6804"/>
        </w:tabs>
        <w:ind w:left="851" w:hanging="851"/>
      </w:pPr>
      <w:r>
        <w:tab/>
      </w:r>
      <w:r>
        <w:tab/>
        <w:t xml:space="preserve">then </w:t>
      </w:r>
      <w:r>
        <w:rPr>
          <w:b/>
        </w:rPr>
        <w:t>T</w:t>
      </w:r>
      <w:r>
        <w:t xml:space="preserve"> + </w:t>
      </w:r>
      <w:r>
        <w:rPr>
          <w:b/>
        </w:rPr>
        <w:t>Q</w:t>
      </w:r>
    </w:p>
    <w:p>
      <w:pPr>
        <w:pStyle w:val="yMiscellaneousBody"/>
        <w:tabs>
          <w:tab w:val="left" w:pos="284"/>
          <w:tab w:val="right" w:leader="dot" w:pos="6804"/>
        </w:tabs>
        <w:ind w:left="851" w:hanging="851"/>
      </w:pPr>
      <w:r>
        <w:tab/>
      </w:r>
      <w:r>
        <w:tab/>
        <w:t>or if (</w:t>
      </w:r>
      <w:r>
        <w:rPr>
          <w:b/>
        </w:rPr>
        <w:t>T</w:t>
      </w:r>
      <w:r>
        <w:t xml:space="preserve"> + </w:t>
      </w:r>
      <w:r>
        <w:rPr>
          <w:b/>
        </w:rPr>
        <w:t>Q</w:t>
      </w:r>
      <w:r>
        <w:t xml:space="preserve">) &gt; </w:t>
      </w:r>
      <w:r>
        <w:rPr>
          <w:b/>
        </w:rPr>
        <w:t>R</w:t>
      </w:r>
      <w:r>
        <w:t>,</w:t>
      </w:r>
    </w:p>
    <w:p>
      <w:pPr>
        <w:pStyle w:val="yMiscellaneousBody"/>
        <w:tabs>
          <w:tab w:val="left" w:pos="284"/>
          <w:tab w:val="right" w:leader="dot" w:pos="6804"/>
        </w:tabs>
        <w:ind w:left="851" w:hanging="851"/>
      </w:pPr>
      <w:r>
        <w:tab/>
      </w:r>
      <w:r>
        <w:tab/>
        <w:t xml:space="preserve">then </w:t>
      </w:r>
      <w:r>
        <w:rPr>
          <w:b/>
        </w:rPr>
        <w:t>R</w:t>
      </w:r>
    </w:p>
    <w:p>
      <w:pPr>
        <w:pStyle w:val="yMiscellaneousBody"/>
        <w:tabs>
          <w:tab w:val="left" w:pos="284"/>
          <w:tab w:val="right" w:leader="dot" w:pos="6804"/>
        </w:tabs>
        <w:ind w:left="851" w:hanging="851"/>
      </w:pPr>
      <w:r>
        <w:tab/>
      </w:r>
      <w:r>
        <w:tab/>
        <w:t xml:space="preserve">where — </w:t>
      </w:r>
    </w:p>
    <w:p>
      <w:pPr>
        <w:pStyle w:val="zyMiscellaneousBody"/>
        <w:tabs>
          <w:tab w:val="left" w:pos="1134"/>
          <w:tab w:val="left" w:pos="1701"/>
        </w:tabs>
        <w:ind w:left="1701" w:hanging="1701"/>
      </w:pPr>
      <w:r>
        <w:tab/>
      </w:r>
      <w:r>
        <w:rPr>
          <w:b/>
        </w:rPr>
        <w:t>Q</w:t>
      </w:r>
      <w:r>
        <w:t xml:space="preserve"> =</w:t>
      </w:r>
      <w:r>
        <w:tab/>
        <w:t>the discharge charge calculated in accordance with item 26;</w:t>
      </w:r>
    </w:p>
    <w:p>
      <w:pPr>
        <w:pStyle w:val="zyMiscellaneousBody"/>
        <w:tabs>
          <w:tab w:val="left" w:pos="1134"/>
          <w:tab w:val="left" w:pos="1701"/>
        </w:tabs>
        <w:ind w:left="1701" w:hanging="1701"/>
      </w:pPr>
      <w:r>
        <w:tab/>
      </w:r>
      <w:r>
        <w:rPr>
          <w:b/>
        </w:rPr>
        <w:t>R</w:t>
      </w:r>
      <w:r>
        <w:t xml:space="preserve"> =</w:t>
      </w:r>
      <w:r>
        <w:tab/>
        <w:t>the maximum charge calculated in accordance with item 28;</w:t>
      </w:r>
    </w:p>
    <w:p>
      <w:pPr>
        <w:pStyle w:val="z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zyMiscellaneousBody"/>
        <w:tabs>
          <w:tab w:val="left" w:pos="1134"/>
          <w:tab w:val="left" w:pos="1701"/>
        </w:tabs>
        <w:ind w:left="1701" w:hanging="1701"/>
      </w:pPr>
      <w:r>
        <w:tab/>
      </w:r>
      <w:r>
        <w:rPr>
          <w:b/>
        </w:rPr>
        <w:t>U</w:t>
      </w:r>
      <w:r>
        <w:t xml:space="preserve"> =</w:t>
      </w:r>
      <w:r>
        <w:tab/>
        <w:t>the number of beds in the nursing home;</w:t>
      </w:r>
    </w:p>
    <w:p>
      <w:pPr>
        <w:pStyle w:val="zyMiscellaneousBody"/>
        <w:tabs>
          <w:tab w:val="left" w:pos="1134"/>
          <w:tab w:val="left" w:pos="1701"/>
        </w:tabs>
        <w:ind w:left="1701" w:hanging="1701"/>
      </w:pPr>
      <w:r>
        <w:tab/>
      </w:r>
      <w:r>
        <w:rPr>
          <w:b/>
        </w:rPr>
        <w:t>V</w:t>
      </w:r>
      <w:r>
        <w:t xml:space="preserve"> =</w:t>
      </w:r>
      <w:r>
        <w:tab/>
      </w:r>
      <w:r>
        <w:rPr>
          <w:szCs w:val="22"/>
        </w:rPr>
        <w:t>$160.44</w:t>
      </w:r>
      <w:r>
        <w:t>.</w:t>
      </w:r>
    </w:p>
    <w:p>
      <w:pPr>
        <w:pStyle w:val="yHeading5"/>
        <w:tabs>
          <w:tab w:val="clear" w:pos="879"/>
        </w:tabs>
        <w:ind w:left="851" w:hanging="851"/>
      </w:pPr>
      <w:bookmarkStart w:id="425" w:name="_Toc453243663"/>
      <w:bookmarkStart w:id="426" w:name="_Toc455404228"/>
      <w:r>
        <w:rPr>
          <w:rStyle w:val="CharSClsNo"/>
        </w:rPr>
        <w:t>24</w:t>
      </w:r>
      <w:r>
        <w:t>.</w:t>
      </w:r>
      <w:r>
        <w:tab/>
        <w:t>Certain non</w:t>
      </w:r>
      <w:r>
        <w:noBreakHyphen/>
        <w:t>metropolitan strata</w:t>
      </w:r>
      <w:r>
        <w:noBreakHyphen/>
        <w:t>titled units</w:t>
      </w:r>
      <w:bookmarkEnd w:id="425"/>
      <w:bookmarkEnd w:id="426"/>
    </w:p>
    <w:p>
      <w:pPr>
        <w:pStyle w:val="yMiscellaneousBody"/>
        <w:tabs>
          <w:tab w:val="left" w:pos="284"/>
          <w:tab w:val="right" w:leader="dot" w:pos="6804"/>
        </w:tabs>
        <w:ind w:left="851" w:hanging="851"/>
      </w:pPr>
      <w:r>
        <w:tab/>
      </w:r>
      <w:r>
        <w:tab/>
        <w:t>In respect of land in the non</w:t>
      </w:r>
      <w:r>
        <w:noBreakHyphen/>
        <w:t xml:space="preserve">metropolitan area that — </w:t>
      </w:r>
    </w:p>
    <w:p>
      <w:pPr>
        <w:pStyle w:val="yMiscellaneousBody"/>
        <w:tabs>
          <w:tab w:val="left" w:pos="1134"/>
        </w:tabs>
        <w:ind w:left="1560" w:hanging="1560"/>
      </w:pPr>
      <w:r>
        <w:tab/>
        <w:t>(a)</w:t>
      </w:r>
      <w:r>
        <w:tab/>
        <w:t>is contained in a lot; and</w:t>
      </w:r>
    </w:p>
    <w:p>
      <w:pPr>
        <w:pStyle w:val="yMiscellaneousBody"/>
        <w:tabs>
          <w:tab w:val="left" w:pos="1134"/>
        </w:tabs>
        <w:ind w:left="1560" w:hanging="1560"/>
      </w:pPr>
      <w:r>
        <w:tab/>
        <w:t>(b)</w:t>
      </w:r>
      <w:r>
        <w:tab/>
        <w:t>is classified as non</w:t>
      </w:r>
      <w:r>
        <w:noBreakHyphen/>
        <w:t>residential; and</w:t>
      </w:r>
    </w:p>
    <w:p>
      <w:pPr>
        <w:pStyle w:val="yMiscellaneousBody"/>
        <w:tabs>
          <w:tab w:val="left" w:pos="1134"/>
        </w:tabs>
        <w:ind w:left="1560" w:hanging="1560"/>
      </w:pPr>
      <w:r>
        <w:tab/>
        <w:t>(c)</w:t>
      </w:r>
      <w:r>
        <w:tab/>
        <w:t>is not covered by item 5 or 6; and</w:t>
      </w:r>
    </w:p>
    <w:p>
      <w:pPr>
        <w:pStyle w:val="yMiscellaneousBody"/>
        <w:tabs>
          <w:tab w:val="left" w:pos="1134"/>
        </w:tabs>
        <w:ind w:left="1560" w:hanging="1560"/>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ind w:left="1560" w:hanging="1560"/>
      </w:pPr>
      <w:r>
        <w:tab/>
        <w:t>(e)</w:t>
      </w:r>
      <w:r>
        <w:tab/>
        <w:t>the number of major fixtures shared by all units on the relevant strata plan is less than the number of those units,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zyMiscellaneousBody"/>
        <w:tabs>
          <w:tab w:val="left" w:pos="1134"/>
          <w:tab w:val="left" w:pos="1701"/>
        </w:tabs>
        <w:ind w:left="1701" w:hanging="1701"/>
      </w:pPr>
      <w:r>
        <w:tab/>
      </w:r>
      <w:r>
        <w:rPr>
          <w:b/>
        </w:rPr>
        <w:t>T</w:t>
      </w:r>
      <w:r>
        <w:t xml:space="preserve"> =</w:t>
      </w:r>
      <w:r>
        <w:tab/>
      </w:r>
      <w:r>
        <w:rPr>
          <w:szCs w:val="22"/>
        </w:rPr>
        <w:t>$551.20</w:t>
      </w:r>
      <w:r>
        <w:t>;</w:t>
      </w:r>
    </w:p>
    <w:p>
      <w:pPr>
        <w:pStyle w:val="zyMiscellaneousBody"/>
        <w:tabs>
          <w:tab w:val="left" w:pos="1134"/>
          <w:tab w:val="left" w:pos="1701"/>
        </w:tabs>
        <w:ind w:left="1701" w:hanging="1701"/>
      </w:pPr>
      <w:r>
        <w:tab/>
      </w:r>
      <w:r>
        <w:rPr>
          <w:b/>
        </w:rPr>
        <w:t>Q</w:t>
      </w:r>
      <w:r>
        <w:t xml:space="preserve"> =</w:t>
      </w:r>
      <w:r>
        <w:tab/>
        <w:t>the discharge charge calculated in accordance with item 26.</w:t>
      </w:r>
    </w:p>
    <w:p>
      <w:pPr>
        <w:pStyle w:val="yHeading4"/>
      </w:pPr>
      <w:bookmarkStart w:id="427" w:name="_Toc453239610"/>
      <w:bookmarkStart w:id="428" w:name="_Toc453239781"/>
      <w:bookmarkStart w:id="429" w:name="_Toc453239958"/>
      <w:bookmarkStart w:id="430" w:name="_Toc453240171"/>
      <w:bookmarkStart w:id="431" w:name="_Toc453243664"/>
      <w:bookmarkStart w:id="432" w:name="_Toc455155338"/>
      <w:bookmarkStart w:id="433" w:name="_Toc455404229"/>
      <w:r>
        <w:t>Subdivision 5</w:t>
      </w:r>
      <w:r>
        <w:rPr>
          <w:b w:val="0"/>
        </w:rPr>
        <w:t> — </w:t>
      </w:r>
      <w:r>
        <w:t>Calculation of certain factors for the purposes of Subdivision 4</w:t>
      </w:r>
      <w:bookmarkEnd w:id="427"/>
      <w:bookmarkEnd w:id="428"/>
      <w:bookmarkEnd w:id="429"/>
      <w:bookmarkEnd w:id="430"/>
      <w:bookmarkEnd w:id="431"/>
      <w:bookmarkEnd w:id="432"/>
      <w:bookmarkEnd w:id="433"/>
    </w:p>
    <w:p>
      <w:pPr>
        <w:pStyle w:val="yFootnoteheading"/>
      </w:pPr>
      <w:r>
        <w:tab/>
        <w:t>[Heading inserted in Gazette 27 Jun 2016 p. 2582.]</w:t>
      </w:r>
    </w:p>
    <w:p>
      <w:pPr>
        <w:pStyle w:val="yHeading5"/>
        <w:tabs>
          <w:tab w:val="clear" w:pos="879"/>
        </w:tabs>
        <w:ind w:left="851" w:hanging="851"/>
      </w:pPr>
      <w:bookmarkStart w:id="434" w:name="_Toc453243665"/>
      <w:bookmarkStart w:id="435" w:name="_Toc455404230"/>
      <w:r>
        <w:rPr>
          <w:rStyle w:val="CharSClsNo"/>
        </w:rPr>
        <w:t>25</w:t>
      </w:r>
      <w:r>
        <w:t>.</w:t>
      </w:r>
      <w:r>
        <w:tab/>
        <w:t>Service charge</w:t>
      </w:r>
      <w:bookmarkEnd w:id="434"/>
      <w:bookmarkEnd w:id="435"/>
    </w:p>
    <w:p>
      <w:pPr>
        <w:pStyle w:val="yMiscellaneousBody"/>
        <w:tabs>
          <w:tab w:val="left" w:pos="284"/>
          <w:tab w:val="right" w:leader="dot" w:pos="6804"/>
        </w:tabs>
        <w:ind w:left="851" w:hanging="851"/>
      </w:pPr>
      <w:r>
        <w:tab/>
      </w:r>
      <w:r>
        <w:tab/>
        <w:t>The service charge (</w:t>
      </w:r>
      <w:r>
        <w:rPr>
          <w:b/>
          <w:i/>
        </w:rPr>
        <w:t>P</w:t>
      </w:r>
      <w:r>
        <w:t>) is —</w:t>
      </w:r>
    </w:p>
    <w:p>
      <w:pPr>
        <w:pStyle w:val="yMiscellaneousBody"/>
        <w:tabs>
          <w:tab w:val="left" w:pos="284"/>
          <w:tab w:val="right" w:leader="dot" w:pos="6804"/>
        </w:tabs>
        <w:ind w:left="851" w:hanging="851"/>
      </w:pPr>
      <w:r>
        <w:tab/>
      </w:r>
      <w:r>
        <w:tab/>
        <w:t xml:space="preserve">if </w:t>
      </w:r>
      <w:r>
        <w:rPr>
          <w:b/>
        </w:rPr>
        <w:t>R</w:t>
      </w:r>
      <w:r>
        <w:t xml:space="preserve"> </w:t>
      </w:r>
      <w:r>
        <w:sym w:font="Symbol" w:char="F0A3"/>
      </w:r>
      <w:r>
        <w:t xml:space="preserve">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R</w:t>
      </w:r>
    </w:p>
    <w:p>
      <w:pPr>
        <w:pStyle w:val="yMiscellaneousBody"/>
        <w:tabs>
          <w:tab w:val="left" w:pos="284"/>
          <w:tab w:val="right" w:leader="dot" w:pos="6804"/>
        </w:tabs>
        <w:ind w:left="851" w:hanging="851"/>
      </w:pPr>
      <w:r>
        <w:tab/>
      </w:r>
      <w:r>
        <w:tab/>
        <w:t xml:space="preserve">or if </w:t>
      </w:r>
      <w:r>
        <w:rPr>
          <w:b/>
        </w:rPr>
        <w:t>R</w:t>
      </w:r>
      <w:r>
        <w:t xml:space="preserve"> &gt;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C</w:t>
      </w:r>
    </w:p>
    <w:p>
      <w:pPr>
        <w:pStyle w:val="yMiscellaneousBody"/>
        <w:tabs>
          <w:tab w:val="left" w:pos="284"/>
          <w:tab w:val="right" w:leader="dot" w:pos="6804"/>
        </w:tabs>
        <w:ind w:left="851" w:hanging="851"/>
      </w:pPr>
      <w:r>
        <w:tab/>
      </w:r>
      <w:r>
        <w:tab/>
        <w:t xml:space="preserve">where — </w:t>
      </w:r>
    </w:p>
    <w:p>
      <w:pPr>
        <w:pStyle w:val="zyMiscellaneousBody"/>
        <w:tabs>
          <w:tab w:val="left" w:pos="1134"/>
          <w:tab w:val="left" w:pos="1701"/>
        </w:tabs>
        <w:ind w:left="1701" w:hanging="1701"/>
      </w:pPr>
      <w:r>
        <w:tab/>
      </w:r>
      <w:r>
        <w:rPr>
          <w:b/>
        </w:rPr>
        <w:t>R</w:t>
      </w:r>
      <w:r>
        <w:t xml:space="preserve"> =</w:t>
      </w:r>
      <w:r>
        <w:tab/>
        <w:t>the maximum charge calculated in accordance with item 28;</w:t>
      </w:r>
    </w:p>
    <w:p>
      <w:pPr>
        <w:pStyle w:val="z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zyMiscellaneousBody"/>
        <w:tabs>
          <w:tab w:val="left" w:pos="1134"/>
          <w:tab w:val="left" w:pos="1701"/>
        </w:tabs>
        <w:ind w:left="1701" w:hanging="1701"/>
      </w:pPr>
      <w:r>
        <w:tab/>
      </w:r>
      <w:r>
        <w:rPr>
          <w:b/>
        </w:rPr>
        <w:t>D</w:t>
      </w:r>
      <w:r>
        <w:t xml:space="preserve"> =</w:t>
      </w:r>
      <w:r>
        <w:tab/>
        <w:t>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zyTableNAm"/>
              <w:keepNext/>
              <w:jc w:val="center"/>
            </w:pPr>
          </w:p>
        </w:tc>
        <w:tc>
          <w:tcPr>
            <w:tcW w:w="2268" w:type="dxa"/>
            <w:tcBorders>
              <w:top w:val="single" w:sz="4" w:space="0" w:color="auto"/>
              <w:bottom w:val="single" w:sz="4" w:space="0" w:color="auto"/>
            </w:tcBorders>
          </w:tcPr>
          <w:p>
            <w:pPr>
              <w:pStyle w:val="yTableNAm"/>
              <w:jc w:val="center"/>
            </w:pPr>
            <w:r>
              <w:rPr>
                <w:b/>
              </w:rPr>
              <w:t>Charge</w:t>
            </w:r>
          </w:p>
        </w:tc>
      </w:tr>
      <w:tr>
        <w:tc>
          <w:tcPr>
            <w:tcW w:w="2268" w:type="dxa"/>
            <w:tcMar>
              <w:left w:w="284" w:type="dxa"/>
            </w:tcMar>
          </w:tcPr>
          <w:p>
            <w:pPr>
              <w:pStyle w:val="yTableNAm"/>
            </w:pPr>
            <w:r>
              <w:t>1</w:t>
            </w:r>
            <w:r>
              <w:rPr>
                <w:vertAlign w:val="superscript"/>
              </w:rPr>
              <w:t>st</w:t>
            </w:r>
            <w:r>
              <w:t xml:space="preserve"> fixture</w:t>
            </w:r>
          </w:p>
        </w:tc>
        <w:tc>
          <w:tcPr>
            <w:tcW w:w="2268" w:type="dxa"/>
          </w:tcPr>
          <w:p>
            <w:pPr>
              <w:pStyle w:val="yTableNAm"/>
              <w:jc w:val="center"/>
            </w:pPr>
            <w:r>
              <w:rPr>
                <w:szCs w:val="22"/>
              </w:rPr>
              <w:t>$886.68</w:t>
            </w:r>
          </w:p>
        </w:tc>
      </w:tr>
      <w:tr>
        <w:tc>
          <w:tcPr>
            <w:tcW w:w="2268" w:type="dxa"/>
            <w:tcMar>
              <w:left w:w="284" w:type="dxa"/>
            </w:tcMar>
          </w:tcPr>
          <w:p>
            <w:pPr>
              <w:pStyle w:val="yTableNAm"/>
            </w:pPr>
            <w:r>
              <w:t>2</w:t>
            </w:r>
            <w:r>
              <w:rPr>
                <w:vertAlign w:val="superscript"/>
              </w:rPr>
              <w:t>nd</w:t>
            </w:r>
            <w:r>
              <w:t xml:space="preserve"> fixture</w:t>
            </w:r>
          </w:p>
        </w:tc>
        <w:tc>
          <w:tcPr>
            <w:tcW w:w="2268" w:type="dxa"/>
          </w:tcPr>
          <w:p>
            <w:pPr>
              <w:pStyle w:val="yTableNAm"/>
              <w:jc w:val="center"/>
            </w:pPr>
            <w:r>
              <w:rPr>
                <w:szCs w:val="22"/>
              </w:rPr>
              <w:t>$379.55</w:t>
            </w:r>
          </w:p>
        </w:tc>
      </w:tr>
      <w:tr>
        <w:tc>
          <w:tcPr>
            <w:tcW w:w="2268" w:type="dxa"/>
            <w:tcMar>
              <w:left w:w="284" w:type="dxa"/>
            </w:tcMar>
          </w:tcPr>
          <w:p>
            <w:pPr>
              <w:pStyle w:val="yTableNAm"/>
            </w:pPr>
            <w:r>
              <w:t>3</w:t>
            </w:r>
            <w:r>
              <w:rPr>
                <w:vertAlign w:val="superscript"/>
              </w:rPr>
              <w:t>rd</w:t>
            </w:r>
            <w:r>
              <w:t xml:space="preserve"> fixture</w:t>
            </w:r>
          </w:p>
        </w:tc>
        <w:tc>
          <w:tcPr>
            <w:tcW w:w="2268" w:type="dxa"/>
          </w:tcPr>
          <w:p>
            <w:pPr>
              <w:pStyle w:val="yTableNAm"/>
              <w:jc w:val="center"/>
            </w:pPr>
            <w:r>
              <w:rPr>
                <w:szCs w:val="22"/>
              </w:rPr>
              <w:t>$506.88</w:t>
            </w:r>
          </w:p>
        </w:tc>
      </w:tr>
      <w:tr>
        <w:tc>
          <w:tcPr>
            <w:tcW w:w="2268" w:type="dxa"/>
            <w:tcBorders>
              <w:bottom w:val="single" w:sz="4" w:space="0" w:color="auto"/>
            </w:tcBorders>
            <w:tcMar>
              <w:left w:w="284" w:type="dxa"/>
            </w:tcMar>
          </w:tcPr>
          <w:p>
            <w:pPr>
              <w:pStyle w:val="yTableNAm"/>
              <w:ind w:left="283" w:hanging="283"/>
            </w:pPr>
            <w:r>
              <w:t>4</w:t>
            </w:r>
            <w:r>
              <w:rPr>
                <w:vertAlign w:val="superscript"/>
              </w:rPr>
              <w:t>th</w:t>
            </w:r>
            <w:r>
              <w:t xml:space="preserve"> and subsequent</w:t>
            </w:r>
            <w:r>
              <w:br/>
              <w:t>fixtures</w:t>
            </w:r>
          </w:p>
        </w:tc>
        <w:tc>
          <w:tcPr>
            <w:tcW w:w="2268" w:type="dxa"/>
            <w:tcBorders>
              <w:bottom w:val="single" w:sz="4" w:space="0" w:color="auto"/>
            </w:tcBorders>
          </w:tcPr>
          <w:p>
            <w:pPr>
              <w:pStyle w:val="yTableNAm"/>
              <w:jc w:val="center"/>
            </w:pPr>
            <w:r>
              <w:rPr>
                <w:szCs w:val="22"/>
              </w:rPr>
              <w:t>$551.20</w:t>
            </w:r>
          </w:p>
        </w:tc>
      </w:tr>
    </w:tbl>
    <w:p>
      <w:pPr>
        <w:pStyle w:val="yHeading5"/>
        <w:tabs>
          <w:tab w:val="clear" w:pos="879"/>
        </w:tabs>
        <w:ind w:left="851" w:hanging="851"/>
      </w:pPr>
      <w:bookmarkStart w:id="436" w:name="_Toc453243666"/>
      <w:bookmarkStart w:id="437" w:name="_Toc455404231"/>
      <w:r>
        <w:rPr>
          <w:rStyle w:val="CharSClsNo"/>
        </w:rPr>
        <w:t>26</w:t>
      </w:r>
      <w:r>
        <w:t>.</w:t>
      </w:r>
      <w:r>
        <w:tab/>
        <w:t>Discharge charge</w:t>
      </w:r>
      <w:bookmarkEnd w:id="436"/>
      <w:bookmarkEnd w:id="437"/>
    </w:p>
    <w:p>
      <w:pPr>
        <w:pStyle w:val="yMiscellaneousBody"/>
        <w:tabs>
          <w:tab w:val="left" w:pos="284"/>
          <w:tab w:val="right" w:leader="dot" w:pos="6804"/>
        </w:tabs>
        <w:ind w:left="851" w:hanging="851"/>
      </w:pPr>
      <w:r>
        <w:tab/>
      </w:r>
      <w:r>
        <w:tab/>
        <w:t>The discharge charge (</w:t>
      </w:r>
      <w:r>
        <w:rPr>
          <w:b/>
          <w:i/>
        </w:rPr>
        <w:t>Q</w:t>
      </w:r>
      <w:r>
        <w:t>) is —</w:t>
      </w:r>
    </w:p>
    <w:p>
      <w:pPr>
        <w:pStyle w:val="yMiscellaneousBody"/>
        <w:tabs>
          <w:tab w:val="left" w:pos="284"/>
          <w:tab w:val="right" w:leader="dot" w:pos="6804"/>
        </w:tabs>
        <w:ind w:left="851" w:hanging="851"/>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284"/>
          <w:tab w:val="right" w:leader="dot" w:pos="6804"/>
        </w:tabs>
        <w:ind w:left="851" w:hanging="851"/>
      </w:pPr>
      <w:r>
        <w:tab/>
      </w:r>
      <w:r>
        <w:tab/>
        <w:t>then nil</w:t>
      </w:r>
    </w:p>
    <w:p>
      <w:pPr>
        <w:pStyle w:val="yMiscellaneousBody"/>
        <w:tabs>
          <w:tab w:val="left" w:pos="284"/>
          <w:tab w:val="right" w:leader="dot" w:pos="6804"/>
        </w:tabs>
        <w:ind w:left="851" w:hanging="851"/>
      </w:pPr>
      <w:r>
        <w:tab/>
      </w: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284"/>
          <w:tab w:val="right" w:leader="dot" w:pos="6804"/>
        </w:tabs>
        <w:ind w:left="851" w:hanging="851"/>
        <w:rPr>
          <w:b/>
        </w:rPr>
      </w:pPr>
      <w:r>
        <w:tab/>
      </w: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284"/>
          <w:tab w:val="right" w:leader="dot" w:pos="6804"/>
        </w:tabs>
        <w:ind w:left="851" w:hanging="851"/>
      </w:pPr>
      <w:r>
        <w:tab/>
      </w:r>
      <w:r>
        <w:tab/>
        <w:t xml:space="preserve">where — </w:t>
      </w:r>
    </w:p>
    <w:p>
      <w:pPr>
        <w:pStyle w:val="z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z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zyMiscellaneousBody"/>
        <w:tabs>
          <w:tab w:val="left" w:pos="1134"/>
          <w:tab w:val="left" w:pos="1701"/>
        </w:tabs>
        <w:ind w:left="1701" w:hanging="1701"/>
      </w:pPr>
      <w:r>
        <w:tab/>
      </w:r>
      <w:r>
        <w:rPr>
          <w:b/>
        </w:rPr>
        <w:t>H</w:t>
      </w:r>
      <w:r>
        <w:t xml:space="preserve"> =</w:t>
      </w:r>
      <w:r>
        <w:tab/>
        <w:t>the discharge allowance for the current discharge year worked out in accordance with item 27;</w:t>
      </w:r>
    </w:p>
    <w:p>
      <w:pPr>
        <w:pStyle w:val="zyMiscellaneousBody"/>
        <w:tabs>
          <w:tab w:val="left" w:pos="1134"/>
          <w:tab w:val="left" w:pos="1701"/>
        </w:tabs>
        <w:ind w:left="1701" w:hanging="1701"/>
      </w:pPr>
      <w:r>
        <w:tab/>
      </w:r>
      <w:r>
        <w:rPr>
          <w:b/>
        </w:rPr>
        <w:t>I</w:t>
      </w:r>
      <w:r>
        <w:t xml:space="preserve"> =</w:t>
      </w:r>
      <w:r>
        <w:tab/>
      </w:r>
      <w:r>
        <w:rPr>
          <w:szCs w:val="22"/>
        </w:rPr>
        <w:t>$3.258</w:t>
      </w:r>
      <w:r>
        <w:t>,</w:t>
      </w:r>
    </w:p>
    <w:p>
      <w:pPr>
        <w:pStyle w:val="yMiscellaneousBody"/>
        <w:tabs>
          <w:tab w:val="left" w:pos="284"/>
          <w:tab w:val="right" w:leader="dot" w:pos="6804"/>
        </w:tabs>
        <w:ind w:left="851" w:hanging="851"/>
      </w:pPr>
      <w:r>
        <w:tab/>
      </w: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tabs>
          <w:tab w:val="clear" w:pos="879"/>
        </w:tabs>
        <w:ind w:left="851" w:hanging="851"/>
      </w:pPr>
      <w:bookmarkStart w:id="438" w:name="_Toc453243667"/>
      <w:bookmarkStart w:id="439" w:name="_Toc455404232"/>
      <w:r>
        <w:rPr>
          <w:rStyle w:val="CharSClsNo"/>
        </w:rPr>
        <w:t>27</w:t>
      </w:r>
      <w:r>
        <w:t>.</w:t>
      </w:r>
      <w:r>
        <w:tab/>
        <w:t>Discharge allowance</w:t>
      </w:r>
      <w:bookmarkEnd w:id="438"/>
      <w:bookmarkEnd w:id="439"/>
    </w:p>
    <w:p>
      <w:pPr>
        <w:pStyle w:val="yMiscellaneousBody"/>
        <w:tabs>
          <w:tab w:val="left" w:pos="284"/>
          <w:tab w:val="right" w:leader="dot" w:pos="6804"/>
        </w:tabs>
        <w:ind w:left="851" w:hanging="851"/>
      </w:pPr>
      <w:r>
        <w:tab/>
        <w:t>(1)</w:t>
      </w:r>
      <w:r>
        <w:tab/>
        <w:t>The discharge allowance for the current discharge year is —</w:t>
      </w:r>
    </w:p>
    <w:p>
      <w:pPr>
        <w:pStyle w:val="yMiscellaneousBody"/>
        <w:tabs>
          <w:tab w:val="left" w:pos="1134"/>
        </w:tabs>
        <w:ind w:left="1560" w:hanging="1560"/>
      </w:pPr>
      <w:r>
        <w:tab/>
        <w:t>(a)</w:t>
      </w:r>
      <w:r>
        <w:tab/>
        <w:t>for land to which item 21 applies that is not covered by paragraph (e) — 200 kL;</w:t>
      </w:r>
    </w:p>
    <w:p>
      <w:pPr>
        <w:pStyle w:val="yMiscellaneousBody"/>
        <w:tabs>
          <w:tab w:val="left" w:pos="1134"/>
        </w:tabs>
        <w:ind w:left="1560" w:hanging="1560"/>
      </w:pPr>
      <w:r>
        <w:tab/>
        <w:t>(b)</w:t>
      </w:r>
      <w:r>
        <w:tab/>
        <w:t>for land held by a government trading organisation or by a public authority that holds non</w:t>
      </w:r>
      <w:r>
        <w:noBreakHyphen/>
        <w:t>commercial government property — 200 kL;</w:t>
      </w:r>
    </w:p>
    <w:p>
      <w:pPr>
        <w:pStyle w:val="yMiscellaneousBody"/>
        <w:tabs>
          <w:tab w:val="left" w:pos="1134"/>
        </w:tabs>
        <w:ind w:left="1560" w:hanging="1560"/>
      </w:pPr>
      <w:r>
        <w:tab/>
        <w:t>(c)</w:t>
      </w:r>
      <w:r>
        <w:tab/>
        <w:t>for a caravan park referred to in item 22 — the amount (in kL) calculated in accordance with the formula in sub</w:t>
      </w:r>
      <w:r>
        <w:noBreakHyphen/>
        <w:t>item (2);</w:t>
      </w:r>
    </w:p>
    <w:p>
      <w:pPr>
        <w:pStyle w:val="yMiscellaneousBody"/>
        <w:tabs>
          <w:tab w:val="left" w:pos="1134"/>
        </w:tabs>
        <w:ind w:left="1560" w:hanging="1560"/>
      </w:pPr>
      <w:r>
        <w:tab/>
        <w:t>(d)</w:t>
      </w:r>
      <w:r>
        <w:tab/>
        <w:t>for a nursing home referred to in item 23 — 75 kL per bed;</w:t>
      </w:r>
    </w:p>
    <w:p>
      <w:pPr>
        <w:pStyle w:val="yMiscellaneousBody"/>
        <w:tabs>
          <w:tab w:val="left" w:pos="1134"/>
        </w:tabs>
        <w:ind w:left="1560" w:hanging="1560"/>
      </w:pPr>
      <w:r>
        <w:tab/>
        <w:t>(e)</w:t>
      </w:r>
      <w:r>
        <w:tab/>
        <w:t>for properties that share a metered property water supply connection — 200 kL for each property.</w:t>
      </w:r>
    </w:p>
    <w:p>
      <w:pPr>
        <w:pStyle w:val="yMiscellaneousBody"/>
        <w:tabs>
          <w:tab w:val="left" w:pos="284"/>
          <w:tab w:val="right" w:leader="dot" w:pos="6804"/>
        </w:tabs>
        <w:ind w:left="851" w:hanging="851"/>
      </w:pPr>
      <w:r>
        <w:tab/>
        <w:t>(2)</w:t>
      </w:r>
      <w:r>
        <w:tab/>
        <w:t>The formula for the purposes of sub</w:t>
      </w:r>
      <w:r>
        <w:noBreakHyphen/>
        <w:t>item (1)(c) is —</w:t>
      </w:r>
    </w:p>
    <w:p>
      <w:pPr>
        <w:pStyle w:val="yMiscellaneousBody"/>
        <w:tabs>
          <w:tab w:val="left" w:pos="284"/>
          <w:tab w:val="right" w:leader="dot" w:pos="6804"/>
        </w:tabs>
        <w:ind w:left="851" w:hanging="851"/>
      </w:pPr>
      <w:r>
        <w:rPr>
          <w:b/>
        </w:rPr>
        <w:tab/>
      </w:r>
      <w:r>
        <w:rPr>
          <w:b/>
        </w:rPr>
        <w:tab/>
        <w:t>L</w:t>
      </w:r>
      <w:r>
        <w:t xml:space="preserve"> + </w:t>
      </w:r>
      <w:r>
        <w:rPr>
          <w:b/>
        </w:rPr>
        <w:t>M</w:t>
      </w:r>
    </w:p>
    <w:p>
      <w:pPr>
        <w:pStyle w:val="yMiscellaneousBody"/>
        <w:tabs>
          <w:tab w:val="left" w:pos="284"/>
          <w:tab w:val="right" w:leader="dot" w:pos="6804"/>
        </w:tabs>
        <w:ind w:left="851" w:hanging="851"/>
      </w:pPr>
      <w:r>
        <w:tab/>
      </w:r>
      <w:r>
        <w:tab/>
        <w:t xml:space="preserve">where — </w:t>
      </w:r>
    </w:p>
    <w:p>
      <w:pPr>
        <w:pStyle w:val="yMiscellaneousBody"/>
      </w:pPr>
      <w:r>
        <w:tab/>
      </w:r>
      <w:r>
        <w:rPr>
          <w:b/>
        </w:rPr>
        <w:t>L</w:t>
      </w:r>
      <w:r>
        <w:t xml:space="preserve"> =</w:t>
      </w:r>
      <w:r>
        <w:tab/>
        <w:t>200;</w:t>
      </w:r>
    </w:p>
    <w:p>
      <w:pPr>
        <w:pStyle w:val="yMiscellaneousBody"/>
      </w:pPr>
      <w:r>
        <w:tab/>
      </w:r>
      <w:r>
        <w:rPr>
          <w:b/>
        </w:rPr>
        <w:t>M</w:t>
      </w:r>
      <w:r>
        <w:t xml:space="preserve"> =</w:t>
      </w:r>
      <w:r>
        <w:tab/>
        <w:t>75 kL for each long</w:t>
      </w:r>
      <w:r>
        <w:noBreakHyphen/>
        <w:t>term residential caravan bay.</w:t>
      </w:r>
    </w:p>
    <w:p>
      <w:pPr>
        <w:pStyle w:val="yHeading5"/>
        <w:tabs>
          <w:tab w:val="clear" w:pos="879"/>
        </w:tabs>
        <w:ind w:left="851" w:hanging="851"/>
      </w:pPr>
      <w:bookmarkStart w:id="440" w:name="_Toc453243668"/>
      <w:bookmarkStart w:id="441" w:name="_Toc455404233"/>
      <w:r>
        <w:rPr>
          <w:rStyle w:val="CharSClsNo"/>
        </w:rPr>
        <w:t>28</w:t>
      </w:r>
      <w:r>
        <w:t>.</w:t>
      </w:r>
      <w:r>
        <w:tab/>
        <w:t>Maximum charge</w:t>
      </w:r>
      <w:bookmarkEnd w:id="440"/>
      <w:bookmarkEnd w:id="441"/>
    </w:p>
    <w:p>
      <w:pPr>
        <w:pStyle w:val="yMiscellaneousBody"/>
        <w:tabs>
          <w:tab w:val="left" w:pos="284"/>
          <w:tab w:val="right" w:leader="dot" w:pos="6804"/>
        </w:tabs>
        <w:ind w:left="851" w:hanging="851"/>
      </w:pPr>
      <w:r>
        <w:tab/>
      </w:r>
      <w:r>
        <w:tab/>
        <w:t>The maximum charge (</w:t>
      </w:r>
      <w:r>
        <w:rPr>
          <w:b/>
          <w:i/>
        </w:rPr>
        <w:t>R</w:t>
      </w:r>
      <w:r>
        <w:t>) is —</w:t>
      </w:r>
    </w:p>
    <w:p>
      <w:pPr>
        <w:pStyle w:val="yMiscellaneousBody"/>
        <w:tabs>
          <w:tab w:val="left" w:pos="284"/>
          <w:tab w:val="right" w:leader="dot" w:pos="6804"/>
        </w:tabs>
        <w:ind w:left="851" w:hanging="851"/>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w:t>
      </w:r>
    </w:p>
    <w:p>
      <w:pPr>
        <w:pStyle w:val="yMiscellaneousBody"/>
        <w:tabs>
          <w:tab w:val="left" w:pos="284"/>
          <w:tab w:val="right" w:leader="dot" w:pos="6804"/>
        </w:tabs>
        <w:ind w:left="851" w:hanging="851"/>
      </w:pPr>
      <w:r>
        <w:tab/>
      </w:r>
      <w:r>
        <w:tab/>
        <w:t xml:space="preserve">then — </w:t>
      </w:r>
    </w:p>
    <w:p>
      <w:pPr>
        <w:pStyle w:val="yMiscellaneousBody"/>
      </w:pPr>
      <w:r>
        <w:tab/>
        <w:t>if (</w:t>
      </w:r>
      <w:r>
        <w:rPr>
          <w:b/>
        </w:rPr>
        <w:t>A</w:t>
      </w:r>
      <w:r>
        <w:t xml:space="preserve"> </w:t>
      </w:r>
      <w:r>
        <w:sym w:font="Symbol" w:char="F0B4"/>
      </w:r>
      <w:r>
        <w:t xml:space="preserve"> </w:t>
      </w:r>
      <w:r>
        <w:rPr>
          <w:b/>
        </w:rPr>
        <w:t>S</w:t>
      </w:r>
      <w:r>
        <w:t>) &gt; (</w:t>
      </w:r>
      <w:r>
        <w:rPr>
          <w:b/>
        </w:rPr>
        <w:t>A</w:t>
      </w:r>
      <w:r>
        <w:t xml:space="preserve"> + </w:t>
      </w:r>
      <w:r>
        <w:rPr>
          <w:b/>
        </w:rPr>
        <w:t>B</w:t>
      </w:r>
      <w:r>
        <w:t>),</w:t>
      </w:r>
    </w:p>
    <w:p>
      <w:pPr>
        <w:pStyle w:val="yMiscellaneousBody"/>
      </w:pPr>
      <w:r>
        <w:tab/>
        <w:t>then (</w:t>
      </w:r>
      <w:r>
        <w:rPr>
          <w:b/>
        </w:rPr>
        <w:t>A</w:t>
      </w:r>
      <w:r>
        <w:t xml:space="preserve"> </w:t>
      </w:r>
      <w:r>
        <w:sym w:font="Symbol" w:char="F0B4"/>
      </w:r>
      <w:r>
        <w:t xml:space="preserve"> </w:t>
      </w:r>
      <w:r>
        <w:rPr>
          <w:b/>
        </w:rPr>
        <w:t>S</w:t>
      </w:r>
      <w:r>
        <w:t>)</w:t>
      </w:r>
    </w:p>
    <w:p>
      <w:pPr>
        <w:pStyle w:val="yMiscellaneousBody"/>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B</w:t>
      </w:r>
      <w:r>
        <w:t>),</w:t>
      </w:r>
    </w:p>
    <w:p>
      <w:pPr>
        <w:pStyle w:val="yMiscellaneousBody"/>
      </w:pPr>
      <w:r>
        <w:tab/>
        <w:t>then (</w:t>
      </w:r>
      <w:r>
        <w:rPr>
          <w:b/>
        </w:rPr>
        <w:t>A</w:t>
      </w:r>
      <w:r>
        <w:t xml:space="preserve"> + </w:t>
      </w:r>
      <w:r>
        <w:rPr>
          <w:b/>
        </w:rPr>
        <w:t>B</w:t>
      </w:r>
      <w:r>
        <w:t>)</w:t>
      </w:r>
    </w:p>
    <w:p>
      <w:pPr>
        <w:pStyle w:val="yMiscellaneousBody"/>
        <w:tabs>
          <w:tab w:val="left" w:pos="284"/>
          <w:tab w:val="right" w:leader="dot" w:pos="6804"/>
        </w:tabs>
        <w:ind w:left="851" w:hanging="851"/>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w:t>
      </w:r>
    </w:p>
    <w:p>
      <w:pPr>
        <w:pStyle w:val="yMiscellaneousBody"/>
        <w:tabs>
          <w:tab w:val="left" w:pos="284"/>
          <w:tab w:val="right" w:leader="dot" w:pos="6804"/>
        </w:tabs>
        <w:ind w:left="851" w:hanging="851"/>
      </w:pPr>
      <w:r>
        <w:tab/>
      </w:r>
      <w:r>
        <w:tab/>
        <w:t xml:space="preserve">then </w:t>
      </w:r>
      <w:r>
        <w:rPr>
          <w:b/>
        </w:rPr>
        <w:t>P</w:t>
      </w:r>
      <w:r>
        <w:t xml:space="preserve"> + </w:t>
      </w:r>
      <w:r>
        <w:rPr>
          <w:b/>
        </w:rPr>
        <w:t>Q</w:t>
      </w:r>
    </w:p>
    <w:p>
      <w:pPr>
        <w:pStyle w:val="yMiscellaneousBody"/>
        <w:tabs>
          <w:tab w:val="left" w:pos="284"/>
          <w:tab w:val="right" w:leader="dot" w:pos="6804"/>
        </w:tabs>
        <w:ind w:left="851" w:hanging="851"/>
      </w:pPr>
      <w:r>
        <w:tab/>
      </w:r>
      <w:r>
        <w:tab/>
        <w:t xml:space="preserve">where — </w:t>
      </w:r>
    </w:p>
    <w:p>
      <w:pPr>
        <w:pStyle w:val="zyMiscellaneousBody"/>
        <w:tabs>
          <w:tab w:val="left" w:pos="1134"/>
          <w:tab w:val="left" w:pos="1701"/>
        </w:tabs>
        <w:ind w:left="1701" w:hanging="1701"/>
      </w:pPr>
      <w:r>
        <w:tab/>
      </w:r>
      <w:r>
        <w:rPr>
          <w:b/>
        </w:rPr>
        <w:t>P</w:t>
      </w:r>
      <w:r>
        <w:t xml:space="preserve"> =</w:t>
      </w:r>
      <w:r>
        <w:tab/>
        <w:t>the service charge calculated in accordance with item 25;</w:t>
      </w:r>
    </w:p>
    <w:p>
      <w:pPr>
        <w:pStyle w:val="zyMiscellaneousBody"/>
        <w:tabs>
          <w:tab w:val="left" w:pos="1134"/>
          <w:tab w:val="left" w:pos="1701"/>
        </w:tabs>
        <w:ind w:left="1701" w:hanging="1701"/>
      </w:pPr>
      <w:r>
        <w:tab/>
      </w:r>
      <w:r>
        <w:rPr>
          <w:b/>
        </w:rPr>
        <w:t>Q</w:t>
      </w:r>
      <w:r>
        <w:t xml:space="preserve"> =</w:t>
      </w:r>
      <w:r>
        <w:tab/>
        <w:t>the discharge charge calculated in accordance with item 26;</w:t>
      </w:r>
    </w:p>
    <w:p>
      <w:pPr>
        <w:pStyle w:val="zyMiscellaneousBody"/>
        <w:tabs>
          <w:tab w:val="left" w:pos="1134"/>
          <w:tab w:val="left" w:pos="1701"/>
        </w:tabs>
        <w:ind w:left="1701" w:hanging="1701"/>
      </w:pPr>
      <w:r>
        <w:tab/>
      </w:r>
      <w:r>
        <w:rPr>
          <w:b/>
        </w:rPr>
        <w:t>A</w:t>
      </w:r>
      <w:r>
        <w:t xml:space="preserve"> =</w:t>
      </w:r>
      <w:r>
        <w:tab/>
        <w:t>the charge payable, for the previous financial year, under the item in Subdivision 4 for which this item is being applied;</w:t>
      </w:r>
    </w:p>
    <w:p>
      <w:pPr>
        <w:pStyle w:val="zyMiscellaneousBody"/>
        <w:tabs>
          <w:tab w:val="left" w:pos="1134"/>
          <w:tab w:val="left" w:pos="1701"/>
        </w:tabs>
        <w:ind w:left="1701" w:hanging="1701"/>
      </w:pPr>
      <w:r>
        <w:tab/>
      </w:r>
      <w:r>
        <w:rPr>
          <w:b/>
        </w:rPr>
        <w:t>S</w:t>
      </w:r>
      <w:r>
        <w:t xml:space="preserve"> =</w:t>
      </w:r>
      <w:r>
        <w:tab/>
      </w:r>
      <w:r>
        <w:rPr>
          <w:szCs w:val="22"/>
        </w:rPr>
        <w:t>1.111</w:t>
      </w:r>
      <w:r>
        <w:t>;</w:t>
      </w:r>
    </w:p>
    <w:p>
      <w:pPr>
        <w:pStyle w:val="zyMiscellaneousBody"/>
        <w:tabs>
          <w:tab w:val="left" w:pos="1134"/>
          <w:tab w:val="left" w:pos="1701"/>
        </w:tabs>
        <w:ind w:left="1701" w:hanging="1701"/>
      </w:pPr>
      <w:r>
        <w:tab/>
      </w:r>
      <w:r>
        <w:rPr>
          <w:b/>
        </w:rPr>
        <w:t>B</w:t>
      </w:r>
      <w:r>
        <w:t xml:space="preserve"> =</w:t>
      </w:r>
      <w:r>
        <w:tab/>
        <w:t>$166.67.</w:t>
      </w:r>
    </w:p>
    <w:p>
      <w:pPr>
        <w:pStyle w:val="yFootnotesection"/>
      </w:pPr>
      <w:r>
        <w:tab/>
        <w:t>[Division 2 inserted in Gazette 27 Jun 2016 p. 2572</w:t>
      </w:r>
      <w:r>
        <w:noBreakHyphen/>
        <w:t>84.]</w:t>
      </w:r>
    </w:p>
    <w:p>
      <w:pPr>
        <w:pStyle w:val="yHeading3"/>
        <w:rPr>
          <w:b w:val="0"/>
        </w:rPr>
      </w:pPr>
      <w:bookmarkStart w:id="442" w:name="_Toc453239615"/>
      <w:bookmarkStart w:id="443" w:name="_Toc453239786"/>
      <w:bookmarkStart w:id="444" w:name="_Toc453239963"/>
      <w:bookmarkStart w:id="445" w:name="_Toc453240176"/>
      <w:bookmarkStart w:id="446" w:name="_Toc453243669"/>
      <w:bookmarkStart w:id="447" w:name="_Toc455155343"/>
      <w:bookmarkStart w:id="448" w:name="_Toc455404234"/>
      <w:r>
        <w:t>Division 3</w:t>
      </w:r>
      <w:r>
        <w:rPr>
          <w:b w:val="0"/>
        </w:rPr>
        <w:t> — </w:t>
      </w:r>
      <w:r>
        <w:rPr>
          <w:rStyle w:val="CharSDivText"/>
        </w:rPr>
        <w:t>Discharge charges: trade waste and effluent</w:t>
      </w:r>
      <w:bookmarkEnd w:id="442"/>
      <w:bookmarkEnd w:id="443"/>
      <w:bookmarkEnd w:id="444"/>
      <w:bookmarkEnd w:id="445"/>
      <w:bookmarkEnd w:id="446"/>
      <w:bookmarkEnd w:id="447"/>
      <w:bookmarkEnd w:id="448"/>
    </w:p>
    <w:p>
      <w:pPr>
        <w:pStyle w:val="yFootnoteheading"/>
      </w:pPr>
      <w:r>
        <w:tab/>
        <w:t>[Heading inserted in Gazette 27 Jun 2016 p. 2584.]</w:t>
      </w:r>
    </w:p>
    <w:p>
      <w:pPr>
        <w:pStyle w:val="yHeading5"/>
        <w:tabs>
          <w:tab w:val="clear" w:pos="879"/>
        </w:tabs>
        <w:ind w:left="851" w:hanging="851"/>
      </w:pPr>
      <w:bookmarkStart w:id="449" w:name="_Toc453243670"/>
      <w:bookmarkStart w:id="450" w:name="_Toc455404235"/>
      <w:r>
        <w:rPr>
          <w:rStyle w:val="CharSClsNo"/>
        </w:rPr>
        <w:t>29</w:t>
      </w:r>
      <w:r>
        <w:t>.</w:t>
      </w:r>
      <w:r>
        <w:tab/>
        <w:t>Discharge charges for 2016/17 year and subsequent years</w:t>
      </w:r>
      <w:bookmarkEnd w:id="449"/>
      <w:bookmarkEnd w:id="450"/>
    </w:p>
    <w:p>
      <w:pPr>
        <w:pStyle w:val="yMiscellaneousBody"/>
        <w:tabs>
          <w:tab w:val="left" w:pos="284"/>
          <w:tab w:val="right" w:leader="dot" w:pos="6804"/>
        </w:tabs>
        <w:ind w:left="851" w:hanging="851"/>
      </w:pPr>
      <w:r>
        <w:tab/>
      </w:r>
      <w:r>
        <w:tab/>
        <w:t xml:space="preserve">The charges set out in this Division apply for trade waste or effluent discharged in the </w:t>
      </w:r>
      <w:r>
        <w:rPr>
          <w:szCs w:val="22"/>
        </w:rPr>
        <w:t>2016/17</w:t>
      </w:r>
      <w:r>
        <w:t> financial year and each subsequent year.</w:t>
      </w:r>
    </w:p>
    <w:p>
      <w:pPr>
        <w:pStyle w:val="yHeading5"/>
        <w:tabs>
          <w:tab w:val="clear" w:pos="879"/>
        </w:tabs>
        <w:ind w:left="851" w:hanging="851"/>
      </w:pPr>
      <w:bookmarkStart w:id="451" w:name="_Toc453243671"/>
      <w:bookmarkStart w:id="452" w:name="_Toc455404236"/>
      <w:r>
        <w:rPr>
          <w:rStyle w:val="CharSClsNo"/>
        </w:rPr>
        <w:t>30</w:t>
      </w:r>
      <w:r>
        <w:t>.</w:t>
      </w:r>
      <w:r>
        <w:tab/>
        <w:t>Trade waste discharged into sewer under approval</w:t>
      </w:r>
      <w:bookmarkEnd w:id="451"/>
      <w:bookmarkEnd w:id="452"/>
    </w:p>
    <w:p>
      <w:pPr>
        <w:pStyle w:val="yMiscellaneousBody"/>
        <w:tabs>
          <w:tab w:val="left" w:pos="284"/>
          <w:tab w:val="right" w:leader="dot" w:pos="6804"/>
        </w:tabs>
        <w:ind w:left="851" w:hanging="851"/>
      </w:pPr>
      <w:r>
        <w:tab/>
        <w:t>(1)</w:t>
      </w:r>
      <w:r>
        <w:tab/>
        <w:t xml:space="preserve">In this item — </w:t>
      </w:r>
    </w:p>
    <w:p>
      <w:pPr>
        <w:pStyle w:val="yDefstart"/>
      </w:pPr>
      <w:r>
        <w:tab/>
      </w:r>
      <w:r>
        <w:rPr>
          <w:rStyle w:val="CharDefText"/>
        </w:rPr>
        <w:t>B.O.D.</w:t>
      </w:r>
      <w:r>
        <w:t xml:space="preserve"> means </w:t>
      </w:r>
      <w:r>
        <w:rPr>
          <w:szCs w:val="22"/>
        </w:rPr>
        <w:t>biochemical</w:t>
      </w:r>
      <w:r>
        <w:t xml:space="preserve">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MiscellaneousBody"/>
        <w:tabs>
          <w:tab w:val="left" w:pos="284"/>
          <w:tab w:val="right" w:leader="dot" w:pos="6804"/>
        </w:tabs>
        <w:ind w:left="851" w:hanging="851"/>
      </w:pPr>
      <w:r>
        <w:tab/>
        <w:t>(2)</w:t>
      </w:r>
      <w:r>
        <w:tab/>
        <w:t xml:space="preserve">For </w:t>
      </w:r>
      <w:r>
        <w:rPr>
          <w:szCs w:val="22"/>
        </w:rPr>
        <w:t xml:space="preserve">trade waste discharged into a sewer of the </w:t>
      </w:r>
      <w:r>
        <w:rPr>
          <w:szCs w:val="22"/>
        </w:rPr>
        <w:br/>
        <w:t xml:space="preserve">Water Corporation under an approval of the </w:t>
      </w:r>
      <w:r>
        <w:rPr>
          <w:szCs w:val="22"/>
        </w:rPr>
        <w:br/>
        <w:t>Water Corporation, the charge is —</w:t>
      </w:r>
    </w:p>
    <w:p>
      <w:pPr>
        <w:pStyle w:val="zyMiscellaneousBody"/>
        <w:tabs>
          <w:tab w:val="left" w:pos="1134"/>
          <w:tab w:val="right" w:leader="dot" w:pos="6804"/>
        </w:tabs>
        <w:spacing w:before="80"/>
        <w:ind w:left="1560" w:right="1983" w:hanging="1560"/>
      </w:pPr>
      <w:r>
        <w:tab/>
        <w:t>(a)</w:t>
      </w:r>
      <w:r>
        <w:tab/>
        <w:t xml:space="preserve">for volume </w:t>
      </w:r>
      <w:r>
        <w:tab/>
        <w:t xml:space="preserve"> </w:t>
      </w:r>
      <w:r>
        <w:rPr>
          <w:szCs w:val="22"/>
        </w:rPr>
        <w:t>143.0</w:t>
      </w:r>
      <w:r>
        <w:t xml:space="preserve"> c/kL</w:t>
      </w:r>
    </w:p>
    <w:p>
      <w:pPr>
        <w:pStyle w:val="yMiscellaneousBody"/>
        <w:tabs>
          <w:tab w:val="left" w:pos="1134"/>
        </w:tabs>
        <w:ind w:left="1560" w:hanging="1560"/>
        <w:rPr>
          <w:szCs w:val="22"/>
        </w:rPr>
      </w:pPr>
      <w:r>
        <w:rPr>
          <w:szCs w:val="22"/>
        </w:rPr>
        <w:tab/>
        <w:t>(b)</w:t>
      </w:r>
      <w:r>
        <w:rPr>
          <w:szCs w:val="22"/>
        </w:rPr>
        <w:tab/>
        <w:t>for B.O.D. with a concentration of —</w:t>
      </w:r>
    </w:p>
    <w:p>
      <w:pPr>
        <w:pStyle w:val="zyMiscellaneousBody"/>
        <w:tabs>
          <w:tab w:val="left" w:pos="2127"/>
          <w:tab w:val="right" w:leader="dot" w:pos="6804"/>
        </w:tabs>
        <w:spacing w:before="80"/>
        <w:ind w:left="1701" w:right="1983"/>
      </w:pPr>
      <w:r>
        <w:t>(i)</w:t>
      </w:r>
      <w:r>
        <w:tab/>
        <w:t xml:space="preserve">up to 5 kg/kL </w:t>
      </w:r>
      <w:r>
        <w:tab/>
        <w:t xml:space="preserve"> </w:t>
      </w:r>
      <w:r>
        <w:rPr>
          <w:szCs w:val="22"/>
        </w:rPr>
        <w:t>119.0</w:t>
      </w:r>
      <w:r>
        <w:t xml:space="preserve"> c/kg</w:t>
      </w:r>
    </w:p>
    <w:p>
      <w:pPr>
        <w:pStyle w:val="zyMiscellaneousBody"/>
        <w:tabs>
          <w:tab w:val="left" w:pos="2127"/>
          <w:tab w:val="right" w:leader="dot" w:pos="6804"/>
        </w:tabs>
        <w:spacing w:before="80"/>
        <w:ind w:left="1701" w:right="1983"/>
      </w:pPr>
      <w:r>
        <w:t>(ii)</w:t>
      </w:r>
      <w:r>
        <w:tab/>
        <w:t xml:space="preserve">over 5 kg/kL </w:t>
      </w:r>
      <w:r>
        <w:tab/>
        <w:t xml:space="preserve"> </w:t>
      </w:r>
      <w:r>
        <w:rPr>
          <w:szCs w:val="22"/>
        </w:rPr>
        <w:t>244.0</w:t>
      </w:r>
      <w:r>
        <w:t xml:space="preserve"> c/kg</w:t>
      </w:r>
    </w:p>
    <w:p>
      <w:pPr>
        <w:pStyle w:val="yMiscellaneousBody"/>
        <w:tabs>
          <w:tab w:val="left" w:pos="1134"/>
        </w:tabs>
        <w:ind w:left="1560" w:hanging="1560"/>
        <w:rPr>
          <w:szCs w:val="22"/>
        </w:rPr>
      </w:pPr>
      <w:r>
        <w:rPr>
          <w:szCs w:val="22"/>
        </w:rPr>
        <w:tab/>
        <w:t>(c)</w:t>
      </w:r>
      <w:r>
        <w:rPr>
          <w:szCs w:val="22"/>
        </w:rPr>
        <w:tab/>
        <w:t>for suspended solids with a concentration of —</w:t>
      </w:r>
    </w:p>
    <w:p>
      <w:pPr>
        <w:pStyle w:val="zyMiscellaneousBody"/>
        <w:tabs>
          <w:tab w:val="left" w:pos="2127"/>
          <w:tab w:val="right" w:leader="dot" w:pos="6804"/>
        </w:tabs>
        <w:spacing w:before="80"/>
        <w:ind w:left="1701" w:right="1983"/>
      </w:pPr>
      <w:r>
        <w:t>(i)</w:t>
      </w:r>
      <w:r>
        <w:tab/>
        <w:t xml:space="preserve">up to 2 kg/kL </w:t>
      </w:r>
      <w:r>
        <w:tab/>
        <w:t xml:space="preserve"> </w:t>
      </w:r>
      <w:r>
        <w:rPr>
          <w:szCs w:val="22"/>
        </w:rPr>
        <w:t>163.0</w:t>
      </w:r>
      <w:r>
        <w:t xml:space="preserve"> c/kg</w:t>
      </w:r>
    </w:p>
    <w:p>
      <w:pPr>
        <w:pStyle w:val="zyMiscellaneousBody"/>
        <w:tabs>
          <w:tab w:val="left" w:pos="2127"/>
          <w:tab w:val="right" w:leader="dot" w:pos="6804"/>
        </w:tabs>
        <w:spacing w:before="80"/>
        <w:ind w:left="1701" w:right="1983"/>
      </w:pPr>
      <w:r>
        <w:t>(ii)</w:t>
      </w:r>
      <w:r>
        <w:tab/>
        <w:t xml:space="preserve">over 2 kg/kL </w:t>
      </w:r>
      <w:r>
        <w:tab/>
        <w:t xml:space="preserve"> </w:t>
      </w:r>
      <w:r>
        <w:rPr>
          <w:szCs w:val="22"/>
        </w:rPr>
        <w:t>327.0</w:t>
      </w:r>
      <w:r>
        <w:t xml:space="preserve"> c/kg</w:t>
      </w:r>
    </w:p>
    <w:p>
      <w:pPr>
        <w:pStyle w:val="yMiscellaneousBody"/>
        <w:tabs>
          <w:tab w:val="left" w:pos="1134"/>
        </w:tabs>
        <w:ind w:left="1560" w:hanging="1560"/>
        <w:rPr>
          <w:szCs w:val="22"/>
        </w:rPr>
      </w:pPr>
      <w:r>
        <w:rPr>
          <w:szCs w:val="22"/>
        </w:rPr>
        <w:tab/>
        <w:t>(d)</w:t>
      </w:r>
      <w:r>
        <w:rPr>
          <w:szCs w:val="22"/>
        </w:rPr>
        <w:tab/>
        <w:t>for chemical oxygen demand with a concentration of —</w:t>
      </w:r>
    </w:p>
    <w:p>
      <w:pPr>
        <w:pStyle w:val="zyMiscellaneousBody"/>
        <w:tabs>
          <w:tab w:val="left" w:pos="2127"/>
          <w:tab w:val="right" w:leader="dot" w:pos="6804"/>
        </w:tabs>
        <w:spacing w:before="80"/>
        <w:ind w:left="1701" w:right="1983"/>
      </w:pPr>
      <w:r>
        <w:t>(i)</w:t>
      </w:r>
      <w:r>
        <w:tab/>
        <w:t xml:space="preserve">up to 10 kg/kL </w:t>
      </w:r>
      <w:r>
        <w:tab/>
        <w:t xml:space="preserve"> </w:t>
      </w:r>
      <w:r>
        <w:rPr>
          <w:szCs w:val="22"/>
        </w:rPr>
        <w:t>48.0</w:t>
      </w:r>
      <w:r>
        <w:t xml:space="preserve"> c/kg</w:t>
      </w:r>
    </w:p>
    <w:p>
      <w:pPr>
        <w:pStyle w:val="zyMiscellaneousBody"/>
        <w:tabs>
          <w:tab w:val="left" w:pos="2127"/>
          <w:tab w:val="right" w:leader="dot" w:pos="6804"/>
        </w:tabs>
        <w:spacing w:before="80"/>
        <w:ind w:left="1701" w:right="1983"/>
      </w:pPr>
      <w:r>
        <w:t>(ii)</w:t>
      </w:r>
      <w:r>
        <w:tab/>
        <w:t xml:space="preserve">over 10 kg/kL </w:t>
      </w:r>
      <w:r>
        <w:tab/>
        <w:t xml:space="preserve"> </w:t>
      </w:r>
      <w:r>
        <w:rPr>
          <w:szCs w:val="22"/>
        </w:rPr>
        <w:t>97.0</w:t>
      </w:r>
      <w:r>
        <w:t xml:space="preserve"> c/kg</w:t>
      </w:r>
    </w:p>
    <w:p>
      <w:pPr>
        <w:pStyle w:val="yMiscellaneousBody"/>
        <w:tabs>
          <w:tab w:val="left" w:pos="1134"/>
        </w:tabs>
        <w:ind w:left="1560" w:hanging="1560"/>
        <w:rPr>
          <w:szCs w:val="22"/>
        </w:rPr>
      </w:pPr>
      <w:r>
        <w:rPr>
          <w:szCs w:val="22"/>
        </w:rPr>
        <w:tab/>
        <w:t>(e)</w:t>
      </w:r>
      <w:r>
        <w:rPr>
          <w:szCs w:val="22"/>
        </w:rPr>
        <w:tab/>
        <w:t>for oil and grease with a concentration of —</w:t>
      </w:r>
    </w:p>
    <w:p>
      <w:pPr>
        <w:pStyle w:val="zyMiscellaneousBody"/>
        <w:tabs>
          <w:tab w:val="left" w:pos="2127"/>
          <w:tab w:val="right" w:leader="dot" w:pos="6804"/>
        </w:tabs>
        <w:spacing w:before="80"/>
        <w:ind w:left="1701" w:right="1983"/>
      </w:pPr>
      <w:r>
        <w:t>(i)</w:t>
      </w:r>
      <w:r>
        <w:tab/>
        <w:t xml:space="preserve">up to 0.3 kg/kL </w:t>
      </w:r>
      <w:r>
        <w:tab/>
        <w:t xml:space="preserve"> </w:t>
      </w:r>
      <w:r>
        <w:rPr>
          <w:szCs w:val="22"/>
        </w:rPr>
        <w:t>147.0</w:t>
      </w:r>
      <w:r>
        <w:t xml:space="preserve"> c/kg</w:t>
      </w:r>
    </w:p>
    <w:p>
      <w:pPr>
        <w:pStyle w:val="zyMiscellaneousBody"/>
        <w:tabs>
          <w:tab w:val="right" w:leader="dot" w:pos="6804"/>
        </w:tabs>
        <w:spacing w:before="80"/>
        <w:ind w:left="2127" w:right="1983" w:hanging="426"/>
      </w:pPr>
      <w:r>
        <w:t>(ii)</w:t>
      </w:r>
      <w:r>
        <w:tab/>
        <w:t xml:space="preserve">over 0.3 kg/kL but not over 0.6 kg/kL </w:t>
      </w:r>
      <w:r>
        <w:tab/>
        <w:t xml:space="preserve"> </w:t>
      </w:r>
      <w:r>
        <w:rPr>
          <w:szCs w:val="22"/>
        </w:rPr>
        <w:t>289.0</w:t>
      </w:r>
      <w:r>
        <w:t xml:space="preserve"> c/kg</w:t>
      </w:r>
    </w:p>
    <w:p>
      <w:pPr>
        <w:pStyle w:val="zyMiscellaneousBody"/>
        <w:tabs>
          <w:tab w:val="left" w:pos="2127"/>
          <w:tab w:val="right" w:leader="dot" w:pos="6804"/>
        </w:tabs>
        <w:spacing w:before="80"/>
        <w:ind w:left="1701" w:right="1983"/>
      </w:pPr>
      <w:r>
        <w:t>(iii)</w:t>
      </w:r>
      <w:r>
        <w:tab/>
        <w:t xml:space="preserve">over 0.6 kg/kL </w:t>
      </w:r>
      <w:r>
        <w:tab/>
        <w:t xml:space="preserve"> </w:t>
      </w:r>
      <w:r>
        <w:rPr>
          <w:szCs w:val="22"/>
        </w:rPr>
        <w:t>581.0</w:t>
      </w:r>
      <w:r>
        <w:t xml:space="preserve"> c/kg</w:t>
      </w:r>
    </w:p>
    <w:p>
      <w:pPr>
        <w:pStyle w:val="yMiscellaneousBody"/>
        <w:tabs>
          <w:tab w:val="left" w:pos="1134"/>
        </w:tabs>
        <w:ind w:left="1560" w:hanging="1560"/>
        <w:rPr>
          <w:szCs w:val="22"/>
        </w:rPr>
      </w:pPr>
      <w:r>
        <w:rPr>
          <w:szCs w:val="22"/>
        </w:rPr>
        <w:tab/>
        <w:t>(f)</w:t>
      </w:r>
      <w:r>
        <w:rPr>
          <w:szCs w:val="22"/>
        </w:rPr>
        <w:tab/>
        <w:t>for acidity to pH 6 (expressed as calcium carbonate) —</w:t>
      </w:r>
    </w:p>
    <w:p>
      <w:pPr>
        <w:pStyle w:val="zyMiscellaneousBody"/>
        <w:tabs>
          <w:tab w:val="left" w:pos="2127"/>
          <w:tab w:val="right" w:leader="dot" w:pos="6804"/>
        </w:tabs>
        <w:spacing w:before="80"/>
        <w:ind w:left="1701" w:right="1983"/>
      </w:pPr>
      <w:r>
        <w:t>(i)</w:t>
      </w:r>
      <w:r>
        <w:tab/>
        <w:t xml:space="preserve">up to 0.1 kg/kL </w:t>
      </w:r>
      <w:r>
        <w:tab/>
        <w:t xml:space="preserve"> </w:t>
      </w:r>
      <w:r>
        <w:rPr>
          <w:szCs w:val="22"/>
        </w:rPr>
        <w:t>41.0</w:t>
      </w:r>
      <w:r>
        <w:t xml:space="preserve"> c/kg</w:t>
      </w:r>
    </w:p>
    <w:p>
      <w:pPr>
        <w:pStyle w:val="zyMiscellaneousBody"/>
        <w:tabs>
          <w:tab w:val="left" w:pos="2127"/>
          <w:tab w:val="right" w:leader="dot" w:pos="6804"/>
        </w:tabs>
        <w:spacing w:before="80"/>
        <w:ind w:left="2127" w:right="1983" w:hanging="426"/>
      </w:pPr>
      <w:r>
        <w:t>(ii)</w:t>
      </w:r>
      <w:r>
        <w:tab/>
        <w:t xml:space="preserve">over 0.1 kg/kL but not over 0.3 kg/kL </w:t>
      </w:r>
      <w:r>
        <w:tab/>
        <w:t xml:space="preserve"> </w:t>
      </w:r>
      <w:r>
        <w:rPr>
          <w:szCs w:val="22"/>
        </w:rPr>
        <w:t>85.0</w:t>
      </w:r>
      <w:r>
        <w:t xml:space="preserve"> c/kg</w:t>
      </w:r>
    </w:p>
    <w:p>
      <w:pPr>
        <w:pStyle w:val="zyMiscellaneousBody"/>
        <w:tabs>
          <w:tab w:val="left" w:pos="2127"/>
          <w:tab w:val="right" w:leader="dot" w:pos="6804"/>
        </w:tabs>
        <w:spacing w:before="80"/>
        <w:ind w:left="1701" w:right="1983"/>
      </w:pPr>
      <w:r>
        <w:t>(iii)</w:t>
      </w:r>
      <w:r>
        <w:tab/>
        <w:t xml:space="preserve">over 0.3 kg/kL </w:t>
      </w:r>
      <w:r>
        <w:tab/>
        <w:t xml:space="preserve"> </w:t>
      </w:r>
      <w:r>
        <w:rPr>
          <w:szCs w:val="22"/>
        </w:rPr>
        <w:t>169.0</w:t>
      </w:r>
      <w:r>
        <w:t xml:space="preserve"> c/kg</w:t>
      </w:r>
    </w:p>
    <w:p>
      <w:pPr>
        <w:pStyle w:val="yMiscellaneousBody"/>
        <w:tabs>
          <w:tab w:val="left" w:pos="1134"/>
        </w:tabs>
        <w:ind w:left="1560" w:hanging="1560"/>
        <w:rPr>
          <w:szCs w:val="22"/>
        </w:rPr>
      </w:pPr>
      <w:r>
        <w:rPr>
          <w:szCs w:val="22"/>
        </w:rPr>
        <w:tab/>
        <w:t>(g)</w:t>
      </w:r>
      <w:r>
        <w:rPr>
          <w:szCs w:val="22"/>
        </w:rPr>
        <w:tab/>
        <w:t>for alkalinity to pH 10 (expressed as calcium carbonate) —</w:t>
      </w:r>
    </w:p>
    <w:p>
      <w:pPr>
        <w:pStyle w:val="zyMiscellaneousBody"/>
        <w:tabs>
          <w:tab w:val="left" w:pos="2127"/>
          <w:tab w:val="right" w:leader="dot" w:pos="6804"/>
        </w:tabs>
        <w:spacing w:before="80"/>
        <w:ind w:left="1701" w:right="1983"/>
      </w:pPr>
      <w:r>
        <w:t>(i)</w:t>
      </w:r>
      <w:r>
        <w:tab/>
        <w:t xml:space="preserve">up to 0.1 kg/kL </w:t>
      </w:r>
      <w:r>
        <w:tab/>
        <w:t xml:space="preserve"> 13.0 c/kg</w:t>
      </w:r>
    </w:p>
    <w:p>
      <w:pPr>
        <w:pStyle w:val="zyMiscellaneousBody"/>
        <w:tabs>
          <w:tab w:val="right" w:leader="dot" w:pos="6804"/>
        </w:tabs>
        <w:spacing w:before="80"/>
        <w:ind w:left="2127" w:right="1983" w:hanging="426"/>
      </w:pPr>
      <w:r>
        <w:t>(ii)</w:t>
      </w:r>
      <w:r>
        <w:tab/>
        <w:t xml:space="preserve">over 0.1 kg/kL but not over 0.2 kg/kL </w:t>
      </w:r>
      <w:r>
        <w:tab/>
        <w:t xml:space="preserve"> </w:t>
      </w:r>
      <w:r>
        <w:rPr>
          <w:szCs w:val="22"/>
        </w:rPr>
        <w:t>31.0</w:t>
      </w:r>
      <w:r>
        <w:t xml:space="preserve"> c/kg</w:t>
      </w:r>
    </w:p>
    <w:p>
      <w:pPr>
        <w:pStyle w:val="zyMiscellaneousBody"/>
        <w:tabs>
          <w:tab w:val="left" w:pos="2127"/>
          <w:tab w:val="right" w:leader="dot" w:pos="6804"/>
        </w:tabs>
        <w:spacing w:before="80"/>
        <w:ind w:left="1701" w:right="1983"/>
      </w:pPr>
      <w:r>
        <w:t>(iii)</w:t>
      </w:r>
      <w:r>
        <w:tab/>
        <w:t xml:space="preserve">over 0.2 kg/kL </w:t>
      </w:r>
      <w:r>
        <w:tab/>
        <w:t xml:space="preserve"> </w:t>
      </w:r>
      <w:r>
        <w:rPr>
          <w:szCs w:val="22"/>
        </w:rPr>
        <w:t>62.0</w:t>
      </w:r>
      <w:r>
        <w:t xml:space="preserve"> c/kg</w:t>
      </w:r>
    </w:p>
    <w:p>
      <w:pPr>
        <w:pStyle w:val="zyMiscellaneousBody"/>
        <w:tabs>
          <w:tab w:val="left" w:pos="1134"/>
          <w:tab w:val="right" w:leader="dot" w:pos="6804"/>
        </w:tabs>
        <w:spacing w:before="80"/>
        <w:ind w:left="1560" w:right="1983" w:hanging="1560"/>
      </w:pPr>
      <w:r>
        <w:tab/>
        <w:t>(h)</w:t>
      </w:r>
      <w:r>
        <w:tab/>
        <w:t xml:space="preserve">for nitrogen </w:t>
      </w:r>
      <w:r>
        <w:tab/>
        <w:t xml:space="preserve"> </w:t>
      </w:r>
      <w:r>
        <w:rPr>
          <w:szCs w:val="22"/>
        </w:rPr>
        <w:t>130.0</w:t>
      </w:r>
      <w:r>
        <w:t xml:space="preserve"> c/kg</w:t>
      </w:r>
    </w:p>
    <w:p>
      <w:pPr>
        <w:pStyle w:val="zyMiscellaneousBody"/>
        <w:tabs>
          <w:tab w:val="left" w:pos="1134"/>
          <w:tab w:val="right" w:leader="dot" w:pos="6804"/>
        </w:tabs>
        <w:spacing w:before="80"/>
        <w:ind w:left="1560" w:right="1983" w:hanging="1560"/>
      </w:pPr>
      <w:r>
        <w:tab/>
        <w:t>(i)</w:t>
      </w:r>
      <w:r>
        <w:tab/>
        <w:t xml:space="preserve">for phosphorus </w:t>
      </w:r>
      <w:r>
        <w:tab/>
        <w:t xml:space="preserve"> </w:t>
      </w:r>
      <w:r>
        <w:rPr>
          <w:szCs w:val="22"/>
        </w:rPr>
        <w:t>37.0</w:t>
      </w:r>
      <w:r>
        <w:t xml:space="preserve"> c/kg</w:t>
      </w:r>
    </w:p>
    <w:p>
      <w:pPr>
        <w:pStyle w:val="yMiscellaneousBody"/>
        <w:tabs>
          <w:tab w:val="left" w:pos="1134"/>
        </w:tabs>
        <w:ind w:left="1560" w:hanging="1560"/>
        <w:rPr>
          <w:szCs w:val="22"/>
        </w:rPr>
      </w:pPr>
      <w:r>
        <w:rPr>
          <w:szCs w:val="22"/>
        </w:rPr>
        <w:tab/>
        <w:t>(j)</w:t>
      </w:r>
      <w:r>
        <w:rPr>
          <w:szCs w:val="22"/>
        </w:rPr>
        <w:tab/>
        <w:t>for sulphate with a concentration of —</w:t>
      </w:r>
    </w:p>
    <w:p>
      <w:pPr>
        <w:pStyle w:val="zyMiscellaneousBody"/>
        <w:tabs>
          <w:tab w:val="left" w:pos="2127"/>
          <w:tab w:val="right" w:leader="dot" w:pos="6804"/>
        </w:tabs>
        <w:spacing w:before="80"/>
        <w:ind w:left="1701" w:right="1983"/>
      </w:pPr>
      <w:r>
        <w:t>(i)</w:t>
      </w:r>
      <w:r>
        <w:tab/>
        <w:t xml:space="preserve">up to 0.05 kg/kL </w:t>
      </w:r>
      <w:r>
        <w:tab/>
        <w:t xml:space="preserve"> no charge</w:t>
      </w:r>
    </w:p>
    <w:p>
      <w:pPr>
        <w:pStyle w:val="zyMiscellaneousBody"/>
        <w:tabs>
          <w:tab w:val="left" w:pos="2127"/>
          <w:tab w:val="right" w:leader="dot" w:pos="6804"/>
        </w:tabs>
        <w:spacing w:before="80"/>
        <w:ind w:left="1701" w:right="1983"/>
      </w:pPr>
      <w:r>
        <w:t>(ii)</w:t>
      </w:r>
      <w:r>
        <w:tab/>
        <w:t xml:space="preserve">over 0.05 kg/kL </w:t>
      </w:r>
      <w:r>
        <w:tab/>
        <w:t xml:space="preserve"> </w:t>
      </w:r>
      <w:r>
        <w:rPr>
          <w:szCs w:val="22"/>
        </w:rPr>
        <w:t>69.0</w:t>
      </w:r>
      <w:r>
        <w:t xml:space="preserve"> c/kg</w:t>
      </w:r>
    </w:p>
    <w:p>
      <w:pPr>
        <w:pStyle w:val="yMiscellaneousBody"/>
        <w:tabs>
          <w:tab w:val="left" w:pos="1134"/>
        </w:tabs>
        <w:ind w:left="1560" w:hanging="1560"/>
        <w:rPr>
          <w:szCs w:val="22"/>
        </w:rPr>
      </w:pPr>
      <w:r>
        <w:rPr>
          <w:szCs w:val="22"/>
        </w:rPr>
        <w:tab/>
        <w:t>(k)</w:t>
      </w:r>
      <w:r>
        <w:rPr>
          <w:szCs w:val="22"/>
        </w:rPr>
        <w:tab/>
        <w:t>for total dissolved salts with a concentration of —</w:t>
      </w:r>
    </w:p>
    <w:p>
      <w:pPr>
        <w:pStyle w:val="zyMiscellaneousBody"/>
        <w:tabs>
          <w:tab w:val="left" w:pos="2127"/>
          <w:tab w:val="right" w:leader="dot" w:pos="6804"/>
        </w:tabs>
        <w:spacing w:before="80"/>
        <w:ind w:left="1701" w:right="1983"/>
      </w:pPr>
      <w:r>
        <w:t>(i)</w:t>
      </w:r>
      <w:r>
        <w:tab/>
        <w:t xml:space="preserve">up to 1 kg/kL </w:t>
      </w:r>
      <w:r>
        <w:tab/>
        <w:t xml:space="preserve"> no charge</w:t>
      </w:r>
    </w:p>
    <w:p>
      <w:pPr>
        <w:pStyle w:val="zyMiscellaneousBody"/>
        <w:tabs>
          <w:tab w:val="right" w:leader="dot" w:pos="6804"/>
        </w:tabs>
        <w:spacing w:before="80"/>
        <w:ind w:left="2127" w:right="1983" w:hanging="426"/>
      </w:pPr>
      <w:r>
        <w:t>(ii)</w:t>
      </w:r>
      <w:r>
        <w:tab/>
        <w:t xml:space="preserve">over 1 kg/kL but not over 3 kg/kL </w:t>
      </w:r>
      <w:r>
        <w:tab/>
        <w:t xml:space="preserve"> </w:t>
      </w:r>
      <w:r>
        <w:rPr>
          <w:szCs w:val="22"/>
        </w:rPr>
        <w:t>0.1</w:t>
      </w:r>
      <w:r>
        <w:t xml:space="preserve"> c/kg</w:t>
      </w:r>
    </w:p>
    <w:p>
      <w:pPr>
        <w:pStyle w:val="zyMiscellaneousBody"/>
        <w:tabs>
          <w:tab w:val="right" w:leader="dot" w:pos="6804"/>
        </w:tabs>
        <w:spacing w:before="80"/>
        <w:ind w:left="2127" w:right="1983" w:hanging="426"/>
      </w:pPr>
      <w:r>
        <w:t>(iii)</w:t>
      </w:r>
      <w:r>
        <w:tab/>
        <w:t xml:space="preserve">over 3 kg/kL but not over 6 kg/kL </w:t>
      </w:r>
      <w:r>
        <w:tab/>
        <w:t xml:space="preserve"> </w:t>
      </w:r>
      <w:r>
        <w:rPr>
          <w:szCs w:val="22"/>
        </w:rPr>
        <w:t>3.9</w:t>
      </w:r>
      <w:r>
        <w:t xml:space="preserve"> c/kg</w:t>
      </w:r>
    </w:p>
    <w:p>
      <w:pPr>
        <w:pStyle w:val="zyMiscellaneousBody"/>
        <w:tabs>
          <w:tab w:val="left" w:pos="2127"/>
          <w:tab w:val="right" w:leader="dot" w:pos="6804"/>
        </w:tabs>
        <w:spacing w:before="80"/>
        <w:ind w:left="1701" w:right="1983"/>
      </w:pPr>
      <w:r>
        <w:t>(iv)</w:t>
      </w:r>
      <w:r>
        <w:tab/>
        <w:t xml:space="preserve">over 6 kg/kL </w:t>
      </w:r>
      <w:r>
        <w:tab/>
        <w:t xml:space="preserve"> </w:t>
      </w:r>
      <w:r>
        <w:rPr>
          <w:szCs w:val="22"/>
        </w:rPr>
        <w:t>13.7</w:t>
      </w:r>
      <w:r>
        <w:t xml:space="preserve"> c/kg</w:t>
      </w:r>
    </w:p>
    <w:p>
      <w:pPr>
        <w:pStyle w:val="yMiscellaneousBody"/>
        <w:tabs>
          <w:tab w:val="left" w:pos="1134"/>
        </w:tabs>
        <w:ind w:left="1560" w:hanging="1560"/>
        <w:rPr>
          <w:szCs w:val="22"/>
        </w:rPr>
      </w:pPr>
      <w:r>
        <w:rPr>
          <w:szCs w:val="22"/>
        </w:rPr>
        <w:tab/>
        <w:t>(l)</w:t>
      </w:r>
      <w:r>
        <w:rPr>
          <w:szCs w:val="22"/>
        </w:rPr>
        <w:tab/>
        <w:t>for chromium with a discharge rate of —</w:t>
      </w:r>
    </w:p>
    <w:p>
      <w:pPr>
        <w:pStyle w:val="zyMiscellaneousBody"/>
        <w:tabs>
          <w:tab w:val="left" w:pos="2127"/>
          <w:tab w:val="right" w:leader="dot" w:pos="6804"/>
        </w:tabs>
        <w:spacing w:before="80"/>
        <w:ind w:left="1701" w:right="1983"/>
      </w:pPr>
      <w:r>
        <w:t>(i)</w:t>
      </w:r>
      <w:r>
        <w:tab/>
        <w:t xml:space="preserve">up to 0.03 kg/day </w:t>
      </w:r>
      <w:r>
        <w:tab/>
        <w:t xml:space="preserve"> </w:t>
      </w:r>
      <w:r>
        <w:rPr>
          <w:szCs w:val="22"/>
        </w:rPr>
        <w:t>1082.0</w:t>
      </w:r>
      <w:r>
        <w:t xml:space="preserve"> c/kg</w:t>
      </w:r>
    </w:p>
    <w:p>
      <w:pPr>
        <w:pStyle w:val="zyMiscellaneousBody"/>
        <w:tabs>
          <w:tab w:val="right" w:leader="dot" w:pos="6804"/>
        </w:tabs>
        <w:spacing w:before="80"/>
        <w:ind w:left="2127" w:right="1983" w:hanging="426"/>
      </w:pPr>
      <w:r>
        <w:t>(ii)</w:t>
      </w:r>
      <w:r>
        <w:tab/>
        <w:t xml:space="preserve">over 0.03 kg/day but not over 1 kg/day </w:t>
      </w:r>
      <w:r>
        <w:tab/>
      </w:r>
      <w:r>
        <w:rPr>
          <w:szCs w:val="22"/>
        </w:rPr>
        <w:t>2158.0</w:t>
      </w:r>
      <w:r>
        <w:t xml:space="preserve"> c/kg</w:t>
      </w:r>
    </w:p>
    <w:p>
      <w:pPr>
        <w:pStyle w:val="zyMiscellaneousBody"/>
        <w:tabs>
          <w:tab w:val="left" w:pos="2127"/>
          <w:tab w:val="right" w:leader="dot" w:pos="6804"/>
        </w:tabs>
        <w:spacing w:before="80"/>
        <w:ind w:left="1701" w:right="1983"/>
      </w:pPr>
      <w:r>
        <w:t>(iii)</w:t>
      </w:r>
      <w:r>
        <w:tab/>
        <w:t xml:space="preserve">over 1 kg/day </w:t>
      </w:r>
      <w:r>
        <w:tab/>
        <w:t xml:space="preserve"> </w:t>
      </w:r>
      <w:r>
        <w:rPr>
          <w:szCs w:val="22"/>
        </w:rPr>
        <w:t>8646.0</w:t>
      </w:r>
      <w:r>
        <w:t xml:space="preserve"> c/kg</w:t>
      </w:r>
    </w:p>
    <w:p>
      <w:pPr>
        <w:pStyle w:val="yMiscellaneousBody"/>
        <w:tabs>
          <w:tab w:val="left" w:pos="1134"/>
        </w:tabs>
        <w:ind w:left="1560" w:hanging="1560"/>
        <w:rPr>
          <w:szCs w:val="22"/>
        </w:rPr>
      </w:pPr>
      <w:r>
        <w:rPr>
          <w:szCs w:val="22"/>
        </w:rPr>
        <w:tab/>
        <w:t>(m)</w:t>
      </w:r>
      <w:r>
        <w:rPr>
          <w:szCs w:val="22"/>
        </w:rPr>
        <w:tab/>
        <w:t>for copper with a discharge rate of —</w:t>
      </w:r>
    </w:p>
    <w:p>
      <w:pPr>
        <w:pStyle w:val="zyMiscellaneousBody"/>
        <w:tabs>
          <w:tab w:val="left" w:pos="2127"/>
          <w:tab w:val="right" w:leader="dot" w:pos="6804"/>
        </w:tabs>
        <w:spacing w:before="80"/>
        <w:ind w:left="1701" w:right="1983"/>
      </w:pPr>
      <w:r>
        <w:t>(i)</w:t>
      </w:r>
      <w:r>
        <w:tab/>
        <w:t xml:space="preserve">up to 0.03 kg/day </w:t>
      </w:r>
      <w:r>
        <w:tab/>
        <w:t xml:space="preserve"> </w:t>
      </w:r>
      <w:r>
        <w:rPr>
          <w:szCs w:val="22"/>
        </w:rPr>
        <w:t>1082.0</w:t>
      </w:r>
      <w:r>
        <w:t xml:space="preserve"> c/kg</w:t>
      </w:r>
    </w:p>
    <w:p>
      <w:pPr>
        <w:pStyle w:val="zyMiscellaneousBody"/>
        <w:tabs>
          <w:tab w:val="right" w:leader="dot" w:pos="6804"/>
        </w:tabs>
        <w:spacing w:before="80"/>
        <w:ind w:left="2127" w:right="1983" w:hanging="426"/>
      </w:pPr>
      <w:r>
        <w:t>(ii)</w:t>
      </w:r>
      <w:r>
        <w:tab/>
        <w:t xml:space="preserve">over 0.03 kg/day but not over 0.12 kg/day </w:t>
      </w:r>
      <w:r>
        <w:tab/>
        <w:t xml:space="preserve"> </w:t>
      </w:r>
      <w:r>
        <w:rPr>
          <w:szCs w:val="22"/>
        </w:rPr>
        <w:t>2158.0</w:t>
      </w:r>
      <w:r>
        <w:t xml:space="preserve"> c/kg</w:t>
      </w:r>
    </w:p>
    <w:p>
      <w:pPr>
        <w:pStyle w:val="zyMiscellaneousBody"/>
        <w:tabs>
          <w:tab w:val="left" w:pos="2127"/>
          <w:tab w:val="right" w:leader="dot" w:pos="6804"/>
        </w:tabs>
        <w:spacing w:before="80"/>
        <w:ind w:left="1701" w:right="1983"/>
      </w:pPr>
      <w:r>
        <w:t>(iii)</w:t>
      </w:r>
      <w:r>
        <w:tab/>
        <w:t xml:space="preserve">over 0.12 kg/day </w:t>
      </w:r>
      <w:r>
        <w:tab/>
        <w:t xml:space="preserve"> </w:t>
      </w:r>
      <w:r>
        <w:rPr>
          <w:szCs w:val="22"/>
        </w:rPr>
        <w:t>8646.0</w:t>
      </w:r>
      <w:r>
        <w:t xml:space="preserve"> c/kg</w:t>
      </w:r>
    </w:p>
    <w:p>
      <w:pPr>
        <w:pStyle w:val="yMiscellaneousBody"/>
        <w:tabs>
          <w:tab w:val="left" w:pos="1134"/>
        </w:tabs>
        <w:ind w:left="1560" w:hanging="1560"/>
        <w:rPr>
          <w:szCs w:val="22"/>
        </w:rPr>
      </w:pPr>
      <w:r>
        <w:rPr>
          <w:szCs w:val="22"/>
        </w:rPr>
        <w:tab/>
        <w:t>(n)</w:t>
      </w:r>
      <w:r>
        <w:rPr>
          <w:szCs w:val="22"/>
        </w:rPr>
        <w:tab/>
        <w:t>for lead with a discharge rate of —</w:t>
      </w:r>
    </w:p>
    <w:p>
      <w:pPr>
        <w:pStyle w:val="zyMiscellaneousBody"/>
        <w:tabs>
          <w:tab w:val="left" w:pos="2127"/>
          <w:tab w:val="right" w:leader="dot" w:pos="6804"/>
        </w:tabs>
        <w:spacing w:before="80"/>
        <w:ind w:left="1701" w:right="1983"/>
      </w:pPr>
      <w:r>
        <w:t>(i)</w:t>
      </w:r>
      <w:r>
        <w:tab/>
        <w:t xml:space="preserve">up to 0.03 kg/day </w:t>
      </w:r>
      <w:r>
        <w:tab/>
        <w:t xml:space="preserve"> </w:t>
      </w:r>
      <w:r>
        <w:rPr>
          <w:szCs w:val="22"/>
        </w:rPr>
        <w:t>1082.0</w:t>
      </w:r>
      <w:r>
        <w:t xml:space="preserve"> c/kg</w:t>
      </w:r>
    </w:p>
    <w:p>
      <w:pPr>
        <w:pStyle w:val="zyMiscellaneousBody"/>
        <w:tabs>
          <w:tab w:val="right" w:leader="dot" w:pos="6804"/>
        </w:tabs>
        <w:spacing w:before="80"/>
        <w:ind w:left="2127" w:right="1983" w:hanging="426"/>
      </w:pPr>
      <w:r>
        <w:t>(ii)</w:t>
      </w:r>
      <w:r>
        <w:tab/>
        <w:t xml:space="preserve">over 0.03 kg/day but not over 0.3 kg/day </w:t>
      </w:r>
      <w:r>
        <w:tab/>
        <w:t xml:space="preserve"> </w:t>
      </w:r>
      <w:r>
        <w:rPr>
          <w:szCs w:val="22"/>
        </w:rPr>
        <w:t>2158.0</w:t>
      </w:r>
      <w:r>
        <w:t xml:space="preserve"> c/kg</w:t>
      </w:r>
    </w:p>
    <w:p>
      <w:pPr>
        <w:pStyle w:val="zyMiscellaneousBody"/>
        <w:tabs>
          <w:tab w:val="left" w:pos="2127"/>
          <w:tab w:val="right" w:leader="dot" w:pos="6804"/>
        </w:tabs>
        <w:spacing w:before="80"/>
        <w:ind w:left="1701" w:right="1983"/>
      </w:pPr>
      <w:r>
        <w:t>(iii)</w:t>
      </w:r>
      <w:r>
        <w:tab/>
        <w:t xml:space="preserve">over 0.3 kg/day </w:t>
      </w:r>
      <w:r>
        <w:tab/>
        <w:t xml:space="preserve"> </w:t>
      </w:r>
      <w:r>
        <w:rPr>
          <w:szCs w:val="22"/>
        </w:rPr>
        <w:t>8646.0</w:t>
      </w:r>
      <w:r>
        <w:t xml:space="preserve"> c/kg</w:t>
      </w:r>
    </w:p>
    <w:p>
      <w:pPr>
        <w:pStyle w:val="yMiscellaneousBody"/>
        <w:tabs>
          <w:tab w:val="left" w:pos="1134"/>
        </w:tabs>
        <w:ind w:left="1560" w:hanging="1560"/>
        <w:rPr>
          <w:szCs w:val="22"/>
        </w:rPr>
      </w:pPr>
      <w:r>
        <w:rPr>
          <w:szCs w:val="22"/>
        </w:rPr>
        <w:tab/>
        <w:t>(o)</w:t>
      </w:r>
      <w:r>
        <w:rPr>
          <w:szCs w:val="22"/>
        </w:rPr>
        <w:tab/>
        <w:t>for nickel with a discharge rate of —</w:t>
      </w:r>
    </w:p>
    <w:p>
      <w:pPr>
        <w:pStyle w:val="zyMiscellaneousBody"/>
        <w:tabs>
          <w:tab w:val="left" w:pos="2127"/>
          <w:tab w:val="right" w:leader="dot" w:pos="6804"/>
        </w:tabs>
        <w:spacing w:before="80"/>
        <w:ind w:left="1701" w:right="1983"/>
      </w:pPr>
      <w:r>
        <w:t>(i)</w:t>
      </w:r>
      <w:r>
        <w:tab/>
        <w:t xml:space="preserve">up to 0.006 kg/day </w:t>
      </w:r>
      <w:r>
        <w:tab/>
        <w:t xml:space="preserve"> </w:t>
      </w:r>
      <w:r>
        <w:rPr>
          <w:szCs w:val="22"/>
        </w:rPr>
        <w:t>1082.0</w:t>
      </w:r>
      <w:r>
        <w:t xml:space="preserve"> c/kg</w:t>
      </w:r>
    </w:p>
    <w:p>
      <w:pPr>
        <w:pStyle w:val="zyMiscellaneousBody"/>
        <w:tabs>
          <w:tab w:val="right" w:leader="dot" w:pos="6804"/>
        </w:tabs>
        <w:spacing w:before="80"/>
        <w:ind w:left="2127" w:right="1983" w:hanging="426"/>
      </w:pPr>
      <w:r>
        <w:t>(ii)</w:t>
      </w:r>
      <w:r>
        <w:tab/>
        <w:t xml:space="preserve">over 0.006 kg/day but not over 0.15 kg/day </w:t>
      </w:r>
      <w:r>
        <w:tab/>
        <w:t xml:space="preserve"> </w:t>
      </w:r>
      <w:r>
        <w:rPr>
          <w:szCs w:val="22"/>
        </w:rPr>
        <w:t>2158.0</w:t>
      </w:r>
      <w:r>
        <w:t xml:space="preserve"> c/kg</w:t>
      </w:r>
    </w:p>
    <w:p>
      <w:pPr>
        <w:pStyle w:val="zyMiscellaneousBody"/>
        <w:tabs>
          <w:tab w:val="left" w:pos="2127"/>
          <w:tab w:val="right" w:leader="dot" w:pos="6804"/>
        </w:tabs>
        <w:spacing w:before="80"/>
        <w:ind w:left="1701" w:right="1983"/>
      </w:pPr>
      <w:r>
        <w:t>(iii)</w:t>
      </w:r>
      <w:r>
        <w:tab/>
        <w:t xml:space="preserve">over 0.15 kg/day </w:t>
      </w:r>
      <w:r>
        <w:tab/>
        <w:t xml:space="preserve"> </w:t>
      </w:r>
      <w:r>
        <w:rPr>
          <w:szCs w:val="22"/>
        </w:rPr>
        <w:t>8646.0</w:t>
      </w:r>
      <w:r>
        <w:t xml:space="preserve"> c/kg</w:t>
      </w:r>
    </w:p>
    <w:p>
      <w:pPr>
        <w:pStyle w:val="yMiscellaneousBody"/>
        <w:tabs>
          <w:tab w:val="left" w:pos="1134"/>
        </w:tabs>
        <w:ind w:left="1560" w:hanging="1560"/>
        <w:rPr>
          <w:szCs w:val="22"/>
        </w:rPr>
      </w:pPr>
      <w:r>
        <w:rPr>
          <w:szCs w:val="22"/>
        </w:rPr>
        <w:tab/>
        <w:t>(p)</w:t>
      </w:r>
      <w:r>
        <w:rPr>
          <w:szCs w:val="22"/>
        </w:rPr>
        <w:tab/>
        <w:t>for zinc with a discharge rate of —</w:t>
      </w:r>
    </w:p>
    <w:p>
      <w:pPr>
        <w:pStyle w:val="zyMiscellaneousBody"/>
        <w:tabs>
          <w:tab w:val="left" w:pos="2127"/>
          <w:tab w:val="right" w:leader="dot" w:pos="6804"/>
        </w:tabs>
        <w:spacing w:before="80"/>
        <w:ind w:left="1701" w:right="1983"/>
      </w:pPr>
      <w:r>
        <w:t>(i)</w:t>
      </w:r>
      <w:r>
        <w:tab/>
        <w:t xml:space="preserve">up to 0.05 kg/day </w:t>
      </w:r>
      <w:r>
        <w:tab/>
        <w:t xml:space="preserve"> </w:t>
      </w:r>
      <w:r>
        <w:rPr>
          <w:szCs w:val="22"/>
        </w:rPr>
        <w:t>1082.0</w:t>
      </w:r>
      <w:r>
        <w:t xml:space="preserve"> c/kg</w:t>
      </w:r>
    </w:p>
    <w:p>
      <w:pPr>
        <w:pStyle w:val="zyMiscellaneousBody"/>
        <w:tabs>
          <w:tab w:val="right" w:leader="dot" w:pos="6804"/>
        </w:tabs>
        <w:spacing w:before="80"/>
        <w:ind w:left="2127" w:right="1983" w:hanging="426"/>
      </w:pPr>
      <w:r>
        <w:t>(ii)</w:t>
      </w:r>
      <w:r>
        <w:tab/>
        <w:t xml:space="preserve">over 0.05 kg/day but not over 0.5 kg/day </w:t>
      </w:r>
      <w:r>
        <w:tab/>
        <w:t xml:space="preserve"> </w:t>
      </w:r>
      <w:r>
        <w:rPr>
          <w:szCs w:val="22"/>
        </w:rPr>
        <w:t>2158.0</w:t>
      </w:r>
      <w:r>
        <w:t xml:space="preserve"> c/kg</w:t>
      </w:r>
    </w:p>
    <w:p>
      <w:pPr>
        <w:pStyle w:val="zyMiscellaneousBody"/>
        <w:tabs>
          <w:tab w:val="left" w:pos="2127"/>
          <w:tab w:val="right" w:leader="dot" w:pos="6804"/>
        </w:tabs>
        <w:spacing w:before="80"/>
        <w:ind w:left="1701" w:right="1983"/>
      </w:pPr>
      <w:r>
        <w:t>(iii)</w:t>
      </w:r>
      <w:r>
        <w:tab/>
        <w:t xml:space="preserve">over 0.5 kg/day </w:t>
      </w:r>
      <w:r>
        <w:tab/>
        <w:t xml:space="preserve"> </w:t>
      </w:r>
      <w:r>
        <w:rPr>
          <w:szCs w:val="22"/>
        </w:rPr>
        <w:t>8646.0</w:t>
      </w:r>
      <w:r>
        <w:t xml:space="preserve"> c/kg</w:t>
      </w:r>
    </w:p>
    <w:p>
      <w:pPr>
        <w:pStyle w:val="yMiscellaneousBody"/>
        <w:tabs>
          <w:tab w:val="left" w:pos="1134"/>
        </w:tabs>
        <w:ind w:left="1560" w:hanging="1560"/>
        <w:rPr>
          <w:szCs w:val="22"/>
        </w:rPr>
      </w:pPr>
      <w:r>
        <w:rPr>
          <w:szCs w:val="22"/>
        </w:rPr>
        <w:tab/>
        <w:t>(q)</w:t>
      </w:r>
      <w:r>
        <w:rPr>
          <w:szCs w:val="22"/>
        </w:rPr>
        <w:tab/>
        <w:t>for arsenic with a discharge rate of —</w:t>
      </w:r>
    </w:p>
    <w:p>
      <w:pPr>
        <w:pStyle w:val="zyMiscellaneousBody"/>
        <w:tabs>
          <w:tab w:val="left" w:pos="2127"/>
          <w:tab w:val="right" w:leader="dot" w:pos="6804"/>
        </w:tabs>
        <w:spacing w:before="80"/>
        <w:ind w:left="1701" w:right="1983"/>
      </w:pPr>
      <w:r>
        <w:t>(i)</w:t>
      </w:r>
      <w:r>
        <w:tab/>
        <w:t xml:space="preserve">up to 0.001 kg/day </w:t>
      </w:r>
      <w:r>
        <w:tab/>
        <w:t xml:space="preserve"> </w:t>
      </w:r>
      <w:r>
        <w:rPr>
          <w:szCs w:val="22"/>
        </w:rPr>
        <w:t>1082.0</w:t>
      </w:r>
      <w:r>
        <w:t xml:space="preserve"> c/kg</w:t>
      </w:r>
    </w:p>
    <w:p>
      <w:pPr>
        <w:pStyle w:val="zyMiscellaneousBody"/>
        <w:tabs>
          <w:tab w:val="right" w:leader="dot" w:pos="6804"/>
        </w:tabs>
        <w:spacing w:before="80"/>
        <w:ind w:left="2127" w:right="1983" w:hanging="426"/>
      </w:pPr>
      <w:r>
        <w:t>(ii)</w:t>
      </w:r>
      <w:r>
        <w:tab/>
        <w:t xml:space="preserve">over 0.001 kg/day but not over 0.04 kg/day </w:t>
      </w:r>
      <w:r>
        <w:tab/>
        <w:t xml:space="preserve"> </w:t>
      </w:r>
      <w:r>
        <w:rPr>
          <w:szCs w:val="22"/>
        </w:rPr>
        <w:t>10805.0</w:t>
      </w:r>
      <w:r>
        <w:t xml:space="preserve"> c/kg</w:t>
      </w:r>
    </w:p>
    <w:p>
      <w:pPr>
        <w:pStyle w:val="zyMiscellaneousBody"/>
        <w:tabs>
          <w:tab w:val="left" w:pos="2127"/>
          <w:tab w:val="right" w:leader="dot" w:pos="6804"/>
        </w:tabs>
        <w:spacing w:before="80"/>
        <w:ind w:left="1701" w:right="1983"/>
      </w:pPr>
      <w:r>
        <w:t>(iii)</w:t>
      </w:r>
      <w:r>
        <w:tab/>
        <w:t xml:space="preserve">over 0.04 kg/day </w:t>
      </w:r>
      <w:r>
        <w:tab/>
        <w:t xml:space="preserve"> </w:t>
      </w:r>
      <w:r>
        <w:rPr>
          <w:szCs w:val="22"/>
        </w:rPr>
        <w:t>108049.0</w:t>
      </w:r>
      <w:r>
        <w:t xml:space="preserve"> c/kg</w:t>
      </w:r>
    </w:p>
    <w:p>
      <w:pPr>
        <w:pStyle w:val="yMiscellaneousBody"/>
        <w:tabs>
          <w:tab w:val="left" w:pos="1134"/>
        </w:tabs>
        <w:ind w:left="1560" w:hanging="1560"/>
        <w:rPr>
          <w:szCs w:val="22"/>
        </w:rPr>
      </w:pPr>
      <w:r>
        <w:rPr>
          <w:szCs w:val="22"/>
        </w:rPr>
        <w:tab/>
        <w:t>(r)</w:t>
      </w:r>
      <w:r>
        <w:rPr>
          <w:szCs w:val="22"/>
        </w:rPr>
        <w:tab/>
        <w:t>for cadmium with a discharge rate of —</w:t>
      </w:r>
    </w:p>
    <w:p>
      <w:pPr>
        <w:pStyle w:val="zyMiscellaneousBody"/>
        <w:tabs>
          <w:tab w:val="left" w:pos="2127"/>
          <w:tab w:val="right" w:leader="dot" w:pos="6804"/>
        </w:tabs>
        <w:spacing w:before="80"/>
        <w:ind w:left="1701" w:right="1983"/>
      </w:pPr>
      <w:r>
        <w:t>(i)</w:t>
      </w:r>
      <w:r>
        <w:tab/>
        <w:t xml:space="preserve">up to 0.001 kg/day </w:t>
      </w:r>
      <w:r>
        <w:tab/>
        <w:t xml:space="preserve"> </w:t>
      </w:r>
      <w:r>
        <w:rPr>
          <w:szCs w:val="22"/>
        </w:rPr>
        <w:t>1082.0</w:t>
      </w:r>
      <w:r>
        <w:t xml:space="preserve"> c/kg</w:t>
      </w:r>
    </w:p>
    <w:p>
      <w:pPr>
        <w:pStyle w:val="zyMiscellaneousBody"/>
        <w:tabs>
          <w:tab w:val="right" w:leader="dot" w:pos="6804"/>
        </w:tabs>
        <w:spacing w:before="80"/>
        <w:ind w:left="2127" w:right="1983" w:hanging="426"/>
      </w:pPr>
      <w:r>
        <w:t>(ii)</w:t>
      </w:r>
      <w:r>
        <w:tab/>
        <w:t xml:space="preserve">over 0.001 kg/day but not over 0.015 kg/day </w:t>
      </w:r>
      <w:r>
        <w:tab/>
        <w:t xml:space="preserve"> </w:t>
      </w:r>
      <w:r>
        <w:rPr>
          <w:szCs w:val="22"/>
        </w:rPr>
        <w:t>10805.0</w:t>
      </w:r>
      <w:r>
        <w:t xml:space="preserve"> c/kg</w:t>
      </w:r>
    </w:p>
    <w:p>
      <w:pPr>
        <w:pStyle w:val="zyMiscellaneousBody"/>
        <w:tabs>
          <w:tab w:val="left" w:pos="2127"/>
          <w:tab w:val="right" w:leader="dot" w:pos="6804"/>
        </w:tabs>
        <w:spacing w:before="80"/>
        <w:ind w:left="1701" w:right="1983"/>
      </w:pPr>
      <w:r>
        <w:t>(iii)</w:t>
      </w:r>
      <w:r>
        <w:tab/>
        <w:t xml:space="preserve">over 0.015 kg/day </w:t>
      </w:r>
      <w:r>
        <w:tab/>
        <w:t xml:space="preserve"> </w:t>
      </w:r>
      <w:r>
        <w:rPr>
          <w:szCs w:val="22"/>
        </w:rPr>
        <w:t>108049.0</w:t>
      </w:r>
      <w:r>
        <w:t xml:space="preserve"> c/kg</w:t>
      </w:r>
    </w:p>
    <w:p>
      <w:pPr>
        <w:pStyle w:val="yMiscellaneousBody"/>
        <w:tabs>
          <w:tab w:val="left" w:pos="1134"/>
        </w:tabs>
        <w:ind w:left="1560" w:hanging="1560"/>
        <w:rPr>
          <w:szCs w:val="22"/>
        </w:rPr>
      </w:pPr>
      <w:r>
        <w:rPr>
          <w:szCs w:val="22"/>
        </w:rPr>
        <w:tab/>
        <w:t>(s)</w:t>
      </w:r>
      <w:r>
        <w:rPr>
          <w:szCs w:val="22"/>
        </w:rPr>
        <w:tab/>
        <w:t>for molybdenum or selenium with a discharge rate of —</w:t>
      </w:r>
    </w:p>
    <w:p>
      <w:pPr>
        <w:pStyle w:val="zyMiscellaneousBody"/>
        <w:tabs>
          <w:tab w:val="left" w:pos="2127"/>
          <w:tab w:val="right" w:leader="dot" w:pos="6804"/>
        </w:tabs>
        <w:spacing w:before="80"/>
        <w:ind w:left="1701" w:right="1983"/>
      </w:pPr>
      <w:r>
        <w:t>(i)</w:t>
      </w:r>
      <w:r>
        <w:tab/>
        <w:t xml:space="preserve">up to 0.001 kg/day </w:t>
      </w:r>
      <w:r>
        <w:tab/>
        <w:t xml:space="preserve"> </w:t>
      </w:r>
      <w:r>
        <w:rPr>
          <w:szCs w:val="22"/>
        </w:rPr>
        <w:t>1082.0</w:t>
      </w:r>
      <w:r>
        <w:t xml:space="preserve"> c/kg</w:t>
      </w:r>
    </w:p>
    <w:p>
      <w:pPr>
        <w:pStyle w:val="zyMiscellaneousBody"/>
        <w:tabs>
          <w:tab w:val="right" w:leader="dot" w:pos="6804"/>
        </w:tabs>
        <w:spacing w:before="80"/>
        <w:ind w:left="2127" w:right="1983" w:hanging="426"/>
      </w:pPr>
      <w:r>
        <w:t>(ii)</w:t>
      </w:r>
      <w:r>
        <w:tab/>
        <w:t xml:space="preserve">over 0.001 kg/day but not over 0.02 kg/day </w:t>
      </w:r>
      <w:r>
        <w:tab/>
        <w:t xml:space="preserve"> </w:t>
      </w:r>
      <w:r>
        <w:rPr>
          <w:szCs w:val="22"/>
        </w:rPr>
        <w:t>10805.0</w:t>
      </w:r>
      <w:r>
        <w:t xml:space="preserve"> c/kg</w:t>
      </w:r>
    </w:p>
    <w:p>
      <w:pPr>
        <w:pStyle w:val="zyMiscellaneousBody"/>
        <w:tabs>
          <w:tab w:val="left" w:pos="2127"/>
          <w:tab w:val="right" w:leader="dot" w:pos="6804"/>
        </w:tabs>
        <w:spacing w:before="80"/>
        <w:ind w:left="1701" w:right="1983"/>
      </w:pPr>
      <w:r>
        <w:t>(iii)</w:t>
      </w:r>
      <w:r>
        <w:tab/>
        <w:t xml:space="preserve">over 0.02 kg/day </w:t>
      </w:r>
      <w:r>
        <w:tab/>
        <w:t xml:space="preserve"> </w:t>
      </w:r>
      <w:r>
        <w:rPr>
          <w:szCs w:val="22"/>
        </w:rPr>
        <w:t>108049.0</w:t>
      </w:r>
      <w:r>
        <w:t xml:space="preserve"> c/kg</w:t>
      </w:r>
    </w:p>
    <w:p>
      <w:pPr>
        <w:pStyle w:val="yMiscellaneousBody"/>
        <w:tabs>
          <w:tab w:val="left" w:pos="1134"/>
        </w:tabs>
        <w:ind w:left="1560" w:hanging="1560"/>
        <w:rPr>
          <w:szCs w:val="22"/>
        </w:rPr>
      </w:pPr>
      <w:r>
        <w:rPr>
          <w:szCs w:val="22"/>
        </w:rPr>
        <w:tab/>
        <w:t>(t)</w:t>
      </w:r>
      <w:r>
        <w:rPr>
          <w:szCs w:val="22"/>
        </w:rPr>
        <w:tab/>
        <w:t>for silver with a discharge rate of —</w:t>
      </w:r>
    </w:p>
    <w:p>
      <w:pPr>
        <w:pStyle w:val="zyMiscellaneousBody"/>
        <w:tabs>
          <w:tab w:val="left" w:pos="2127"/>
          <w:tab w:val="right" w:leader="dot" w:pos="6804"/>
        </w:tabs>
        <w:spacing w:before="80"/>
        <w:ind w:left="1701" w:right="1983"/>
      </w:pPr>
      <w:r>
        <w:t>(i)</w:t>
      </w:r>
      <w:r>
        <w:tab/>
        <w:t xml:space="preserve">up to 0.002 kg/day </w:t>
      </w:r>
      <w:r>
        <w:tab/>
        <w:t xml:space="preserve"> </w:t>
      </w:r>
      <w:r>
        <w:rPr>
          <w:szCs w:val="22"/>
        </w:rPr>
        <w:t>1082.0</w:t>
      </w:r>
      <w:r>
        <w:t xml:space="preserve"> c/kg</w:t>
      </w:r>
    </w:p>
    <w:p>
      <w:pPr>
        <w:pStyle w:val="zyMiscellaneousBody"/>
        <w:tabs>
          <w:tab w:val="right" w:leader="dot" w:pos="6804"/>
        </w:tabs>
        <w:spacing w:before="80"/>
        <w:ind w:left="2127" w:right="1983" w:hanging="426"/>
      </w:pPr>
      <w:r>
        <w:t>(ii)</w:t>
      </w:r>
      <w:r>
        <w:tab/>
        <w:t xml:space="preserve">over 0.002 kg/day but not over 0.01 kg/day </w:t>
      </w:r>
      <w:r>
        <w:tab/>
        <w:t xml:space="preserve"> </w:t>
      </w:r>
      <w:r>
        <w:rPr>
          <w:szCs w:val="22"/>
        </w:rPr>
        <w:t>10805.0</w:t>
      </w:r>
      <w:r>
        <w:t xml:space="preserve"> c/kg</w:t>
      </w:r>
    </w:p>
    <w:p>
      <w:pPr>
        <w:pStyle w:val="zyMiscellaneousBody"/>
        <w:tabs>
          <w:tab w:val="left" w:pos="2127"/>
          <w:tab w:val="right" w:leader="dot" w:pos="6804"/>
        </w:tabs>
        <w:spacing w:before="80"/>
        <w:ind w:left="1701" w:right="1983"/>
      </w:pPr>
      <w:r>
        <w:t>(iii)</w:t>
      </w:r>
      <w:r>
        <w:tab/>
        <w:t xml:space="preserve">over 0.01 kg/day </w:t>
      </w:r>
      <w:r>
        <w:tab/>
        <w:t xml:space="preserve"> </w:t>
      </w:r>
      <w:r>
        <w:rPr>
          <w:szCs w:val="22"/>
        </w:rPr>
        <w:t>108049.0</w:t>
      </w:r>
      <w:r>
        <w:t xml:space="preserve"> c/kg</w:t>
      </w:r>
    </w:p>
    <w:p>
      <w:pPr>
        <w:pStyle w:val="yMiscellaneousBody"/>
        <w:tabs>
          <w:tab w:val="left" w:pos="1134"/>
        </w:tabs>
        <w:ind w:left="1560" w:hanging="1560"/>
        <w:rPr>
          <w:szCs w:val="22"/>
        </w:rPr>
      </w:pPr>
      <w:r>
        <w:rPr>
          <w:szCs w:val="22"/>
        </w:rPr>
        <w:tab/>
        <w:t>(u)</w:t>
      </w:r>
      <w:r>
        <w:rPr>
          <w:szCs w:val="22"/>
        </w:rPr>
        <w:tab/>
        <w:t>for mercury with a discharge rate of —</w:t>
      </w:r>
    </w:p>
    <w:p>
      <w:pPr>
        <w:pStyle w:val="zyMiscellaneousBody"/>
        <w:tabs>
          <w:tab w:val="left" w:pos="2127"/>
          <w:tab w:val="right" w:leader="dot" w:pos="6804"/>
        </w:tabs>
        <w:spacing w:before="80"/>
        <w:ind w:left="1701" w:right="1983"/>
      </w:pPr>
      <w:r>
        <w:t>(i)</w:t>
      </w:r>
      <w:r>
        <w:tab/>
        <w:t xml:space="preserve">up to 0.0001 kg/day </w:t>
      </w:r>
      <w:r>
        <w:tab/>
        <w:t xml:space="preserve"> </w:t>
      </w:r>
      <w:r>
        <w:rPr>
          <w:szCs w:val="22"/>
        </w:rPr>
        <w:t>1082.0</w:t>
      </w:r>
      <w:r>
        <w:t xml:space="preserve"> c/kg</w:t>
      </w:r>
    </w:p>
    <w:p>
      <w:pPr>
        <w:pStyle w:val="zyMiscellaneousBody"/>
        <w:tabs>
          <w:tab w:val="right" w:leader="dot" w:pos="6804"/>
        </w:tabs>
        <w:spacing w:before="80"/>
        <w:ind w:left="2127" w:right="1983" w:hanging="426"/>
      </w:pPr>
      <w:r>
        <w:t>(ii)</w:t>
      </w:r>
      <w:r>
        <w:tab/>
        <w:t xml:space="preserve">over 0.0001 kg/day but not over 0.001 kg/day </w:t>
      </w:r>
      <w:r>
        <w:tab/>
        <w:t xml:space="preserve"> </w:t>
      </w:r>
      <w:r>
        <w:rPr>
          <w:szCs w:val="22"/>
        </w:rPr>
        <w:t>108049.0</w:t>
      </w:r>
      <w:r>
        <w:t xml:space="preserve"> c/kg</w:t>
      </w:r>
    </w:p>
    <w:p>
      <w:pPr>
        <w:pStyle w:val="zyMiscellaneousBody"/>
        <w:tabs>
          <w:tab w:val="left" w:pos="2127"/>
          <w:tab w:val="right" w:leader="dot" w:pos="6804"/>
        </w:tabs>
        <w:spacing w:before="80"/>
        <w:ind w:left="1701" w:right="1983"/>
      </w:pPr>
      <w:r>
        <w:t>(iii)</w:t>
      </w:r>
      <w:r>
        <w:tab/>
        <w:t xml:space="preserve">over 0.001 kg/day </w:t>
      </w:r>
      <w:r>
        <w:tab/>
        <w:t xml:space="preserve"> </w:t>
      </w:r>
      <w:r>
        <w:rPr>
          <w:szCs w:val="22"/>
        </w:rPr>
        <w:t>810398.0</w:t>
      </w:r>
      <w:r>
        <w:t xml:space="preserve"> c/kg</w:t>
      </w:r>
    </w:p>
    <w:p>
      <w:pPr>
        <w:pStyle w:val="yHeading5"/>
        <w:tabs>
          <w:tab w:val="clear" w:pos="879"/>
        </w:tabs>
        <w:ind w:left="851" w:hanging="851"/>
      </w:pPr>
      <w:bookmarkStart w:id="453" w:name="_Toc453243672"/>
      <w:bookmarkStart w:id="454" w:name="_Toc455404237"/>
      <w:r>
        <w:rPr>
          <w:rStyle w:val="CharSClsNo"/>
        </w:rPr>
        <w:t>31</w:t>
      </w:r>
      <w:r>
        <w:t>.</w:t>
      </w:r>
      <w:r>
        <w:tab/>
        <w:t>Effluent discharged from septic tank effluent pumping system into sewer</w:t>
      </w:r>
      <w:bookmarkEnd w:id="453"/>
      <w:bookmarkEnd w:id="454"/>
    </w:p>
    <w:p>
      <w:pPr>
        <w:pStyle w:val="yMiscellaneousBody"/>
        <w:tabs>
          <w:tab w:val="left" w:pos="284"/>
          <w:tab w:val="right" w:leader="dot" w:pos="6804"/>
        </w:tabs>
        <w:ind w:left="851" w:hanging="851"/>
      </w:pPr>
      <w:r>
        <w:rPr>
          <w:szCs w:val="22"/>
        </w:rPr>
        <w:tab/>
      </w:r>
      <w:r>
        <w:rPr>
          <w:szCs w:val="22"/>
        </w:rPr>
        <w:tab/>
        <w:t xml:space="preserve">For effluent discharged from a septic tank </w:t>
      </w:r>
      <w:r>
        <w:rPr>
          <w:szCs w:val="22"/>
        </w:rPr>
        <w:br/>
        <w:t xml:space="preserve">effluent pumping system into a sewer of the </w:t>
      </w:r>
      <w:r>
        <w:rPr>
          <w:szCs w:val="22"/>
        </w:rPr>
        <w:br/>
        <w:t xml:space="preserve">Water Corporation, the charge is </w:t>
      </w:r>
      <w:r>
        <w:rPr>
          <w:szCs w:val="22"/>
        </w:rPr>
        <w:tab/>
        <w:t xml:space="preserve"> 164.0</w:t>
      </w:r>
      <w:r>
        <w:t xml:space="preserve"> cents/kL</w:t>
      </w:r>
    </w:p>
    <w:p>
      <w:pPr>
        <w:pStyle w:val="yFootnotesection"/>
      </w:pPr>
      <w:r>
        <w:tab/>
        <w:t>[Division 3 inserted in Gazette 27 Jun 2016 p. 2584</w:t>
      </w:r>
      <w:r>
        <w:noBreakHyphen/>
        <w:t>8.]</w:t>
      </w:r>
    </w:p>
    <w:p>
      <w:pPr>
        <w:pStyle w:val="yFootnotesection"/>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456" w:name="_Toc453239619"/>
      <w:bookmarkStart w:id="457" w:name="_Toc453239790"/>
      <w:bookmarkStart w:id="458" w:name="_Toc453239967"/>
      <w:bookmarkStart w:id="459" w:name="_Toc453240180"/>
      <w:bookmarkStart w:id="460" w:name="_Toc453243673"/>
      <w:bookmarkStart w:id="461" w:name="_Toc455155347"/>
      <w:bookmarkStart w:id="462" w:name="_Toc455404238"/>
      <w:r>
        <w:rPr>
          <w:rStyle w:val="CharSchNo"/>
        </w:rPr>
        <w:t>Schedule 5</w:t>
      </w:r>
      <w:r>
        <w:rPr>
          <w:rStyle w:val="CharSDivNo"/>
        </w:rPr>
        <w:t> </w:t>
      </w:r>
      <w:r>
        <w:t>—</w:t>
      </w:r>
      <w:r>
        <w:rPr>
          <w:rStyle w:val="CharSDivText"/>
        </w:rPr>
        <w:t> </w:t>
      </w:r>
      <w:r>
        <w:rPr>
          <w:rStyle w:val="CharSchText"/>
        </w:rPr>
        <w:t>Drainage charges for the Water Corporation</w:t>
      </w:r>
      <w:bookmarkEnd w:id="456"/>
      <w:bookmarkEnd w:id="457"/>
      <w:bookmarkEnd w:id="458"/>
      <w:bookmarkEnd w:id="459"/>
      <w:bookmarkEnd w:id="460"/>
      <w:bookmarkEnd w:id="461"/>
      <w:bookmarkEnd w:id="462"/>
    </w:p>
    <w:p>
      <w:pPr>
        <w:pStyle w:val="yShoulderClause"/>
      </w:pPr>
      <w:r>
        <w:t>[r. 47]</w:t>
      </w:r>
    </w:p>
    <w:p>
      <w:pPr>
        <w:pStyle w:val="yFootnoteheading"/>
      </w:pPr>
      <w:r>
        <w:tab/>
        <w:t>[Heading inserted in Gazette 27 Jun 2016 p. 2588.]</w:t>
      </w:r>
    </w:p>
    <w:p>
      <w:pPr>
        <w:pStyle w:val="yHeading5"/>
        <w:tabs>
          <w:tab w:val="clear" w:pos="879"/>
        </w:tabs>
        <w:ind w:left="851" w:hanging="851"/>
      </w:pPr>
      <w:bookmarkStart w:id="463" w:name="_Toc453243674"/>
      <w:bookmarkStart w:id="464" w:name="_Toc455404239"/>
      <w:r>
        <w:rPr>
          <w:rStyle w:val="CharSClsNo"/>
        </w:rPr>
        <w:t>1</w:t>
      </w:r>
      <w:r>
        <w:t>.</w:t>
      </w:r>
      <w:r>
        <w:tab/>
        <w:t>Drainage charges for 2016/17 year and subsequent years</w:t>
      </w:r>
      <w:bookmarkEnd w:id="463"/>
      <w:bookmarkEnd w:id="464"/>
    </w:p>
    <w:p>
      <w:pPr>
        <w:pStyle w:val="yMiscellaneousBody"/>
        <w:ind w:left="851" w:hanging="851"/>
      </w:pPr>
      <w:r>
        <w:tab/>
      </w:r>
      <w:r>
        <w:rPr>
          <w:szCs w:val="22"/>
        </w:rPr>
        <w:t>The</w:t>
      </w:r>
      <w:r>
        <w:t xml:space="preserve"> charges set out in this Schedule apply for </w:t>
      </w:r>
      <w:r>
        <w:br/>
        <w:t xml:space="preserve">drainage </w:t>
      </w:r>
      <w:r>
        <w:rPr>
          <w:szCs w:val="22"/>
        </w:rPr>
        <w:t>services</w:t>
      </w:r>
      <w:r>
        <w:t xml:space="preserve"> provided in the </w:t>
      </w:r>
      <w:r>
        <w:br/>
      </w:r>
      <w:r>
        <w:rPr>
          <w:szCs w:val="22"/>
        </w:rPr>
        <w:t xml:space="preserve">2016/17 </w:t>
      </w:r>
      <w:r>
        <w:t xml:space="preserve">financial year and each subsequent </w:t>
      </w:r>
      <w:r>
        <w:br/>
        <w:t>year.</w:t>
      </w:r>
    </w:p>
    <w:p>
      <w:pPr>
        <w:pStyle w:val="yHeading5"/>
        <w:tabs>
          <w:tab w:val="clear" w:pos="879"/>
        </w:tabs>
        <w:ind w:left="851" w:hanging="851"/>
      </w:pPr>
      <w:bookmarkStart w:id="465" w:name="_Toc453243675"/>
      <w:bookmarkStart w:id="466" w:name="_Toc455404240"/>
      <w:r>
        <w:rPr>
          <w:rStyle w:val="CharSClsNo"/>
        </w:rPr>
        <w:t>2</w:t>
      </w:r>
      <w:r>
        <w:t>.</w:t>
      </w:r>
      <w:r>
        <w:tab/>
        <w:t>Strata</w:t>
      </w:r>
      <w:r>
        <w:noBreakHyphen/>
        <w:t>titled caravan bays</w:t>
      </w:r>
      <w:bookmarkEnd w:id="465"/>
      <w:bookmarkEnd w:id="466"/>
    </w:p>
    <w:p>
      <w:pPr>
        <w:pStyle w:val="yMiscellaneousBody"/>
        <w:tabs>
          <w:tab w:val="right" w:leader="dot" w:pos="6804"/>
        </w:tabs>
        <w:spacing w:before="120"/>
        <w:ind w:left="851" w:right="1985" w:hanging="851"/>
      </w:pPr>
      <w:r>
        <w:rPr>
          <w:szCs w:val="22"/>
        </w:rPr>
        <w:tab/>
        <w:t>In respect of a strata</w:t>
      </w:r>
      <w:r>
        <w:rPr>
          <w:szCs w:val="22"/>
        </w:rPr>
        <w:noBreakHyphen/>
        <w:t xml:space="preserve">titled caravan bay, the charge is </w:t>
      </w:r>
      <w:r>
        <w:rPr>
          <w:szCs w:val="22"/>
        </w:rPr>
        <w:tab/>
        <w:t xml:space="preserve"> $32.50</w:t>
      </w:r>
    </w:p>
    <w:p>
      <w:pPr>
        <w:pStyle w:val="yHeading5"/>
        <w:tabs>
          <w:tab w:val="clear" w:pos="879"/>
        </w:tabs>
        <w:ind w:left="851" w:hanging="851"/>
      </w:pPr>
      <w:bookmarkStart w:id="467" w:name="_Toc453243676"/>
      <w:bookmarkStart w:id="468" w:name="_Toc455404241"/>
      <w:r>
        <w:rPr>
          <w:rStyle w:val="CharSClsNo"/>
        </w:rPr>
        <w:t>3</w:t>
      </w:r>
      <w:r>
        <w:t>.</w:t>
      </w:r>
      <w:r>
        <w:tab/>
        <w:t>Strata</w:t>
      </w:r>
      <w:r>
        <w:noBreakHyphen/>
        <w:t>titled storage unit or strata</w:t>
      </w:r>
      <w:r>
        <w:noBreakHyphen/>
        <w:t>titled parking bay</w:t>
      </w:r>
      <w:bookmarkEnd w:id="467"/>
      <w:bookmarkEnd w:id="468"/>
    </w:p>
    <w:p>
      <w:pPr>
        <w:pStyle w:val="yMiscellaneousBody"/>
        <w:tabs>
          <w:tab w:val="right" w:leader="dot" w:pos="6804"/>
        </w:tabs>
        <w:spacing w:before="120"/>
        <w:ind w:left="879" w:right="1985" w:hanging="851"/>
      </w:pPr>
      <w:r>
        <w:tab/>
      </w:r>
      <w:r>
        <w:rPr>
          <w:szCs w:val="22"/>
        </w:rPr>
        <w:t xml:space="preserve">In respect of a lot that is used for storage purposes or as a parking bay, the charge is </w:t>
      </w:r>
      <w:r>
        <w:rPr>
          <w:szCs w:val="22"/>
        </w:rPr>
        <w:tab/>
        <w:t xml:space="preserve"> $12.11</w:t>
      </w:r>
    </w:p>
    <w:p>
      <w:pPr>
        <w:pStyle w:val="yHeading5"/>
        <w:tabs>
          <w:tab w:val="clear" w:pos="879"/>
        </w:tabs>
        <w:ind w:left="851" w:hanging="851"/>
      </w:pPr>
      <w:bookmarkStart w:id="469" w:name="_Toc453243677"/>
      <w:bookmarkStart w:id="470" w:name="_Toc455404242"/>
      <w:r>
        <w:rPr>
          <w:rStyle w:val="CharSClsNo"/>
        </w:rPr>
        <w:t>4</w:t>
      </w:r>
      <w:r>
        <w:t>.</w:t>
      </w:r>
      <w:r>
        <w:tab/>
        <w:t>Residential or semi</w:t>
      </w:r>
      <w:r>
        <w:noBreakHyphen/>
        <w:t>rural residential</w:t>
      </w:r>
      <w:bookmarkEnd w:id="469"/>
      <w:bookmarkEnd w:id="470"/>
    </w:p>
    <w:p>
      <w:pPr>
        <w:pStyle w:val="yMiscellaneousBody"/>
        <w:tabs>
          <w:tab w:val="left" w:pos="284"/>
          <w:tab w:val="right" w:leader="dot" w:pos="6804"/>
        </w:tabs>
        <w:spacing w:before="120"/>
        <w:ind w:left="879" w:right="1985" w:hanging="851"/>
      </w:pPr>
      <w:r>
        <w:tab/>
        <w:t>(1)</w:t>
      </w:r>
      <w:r>
        <w:tab/>
      </w:r>
      <w:r>
        <w:rPr>
          <w:szCs w:val="22"/>
        </w:rPr>
        <w:t>In respect of land that is classified as residential or semi</w:t>
      </w:r>
      <w:r>
        <w:rPr>
          <w:szCs w:val="22"/>
        </w:rPr>
        <w:noBreakHyphen/>
        <w:t xml:space="preserve">rural residential, the charge is </w:t>
      </w:r>
      <w:r>
        <w:rPr>
          <w:szCs w:val="22"/>
        </w:rPr>
        <w:tab/>
        <w:t xml:space="preserve"> 0.502</w:t>
      </w:r>
      <w:r>
        <w:t xml:space="preserve"> cents/$</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before="120"/>
        <w:ind w:left="879" w:right="1985" w:hanging="851"/>
      </w:pPr>
      <w:r>
        <w:tab/>
        <w:t>(2)</w:t>
      </w:r>
      <w:r>
        <w:tab/>
        <w:t xml:space="preserve">The minimum charge under this item is </w:t>
      </w:r>
      <w:r>
        <w:tab/>
        <w:t xml:space="preserve"> </w:t>
      </w:r>
      <w:r>
        <w:rPr>
          <w:szCs w:val="22"/>
        </w:rPr>
        <w:t>$107.48</w:t>
      </w:r>
    </w:p>
    <w:p>
      <w:pPr>
        <w:pStyle w:val="yHeading5"/>
        <w:tabs>
          <w:tab w:val="clear" w:pos="879"/>
        </w:tabs>
        <w:ind w:left="851" w:hanging="851"/>
      </w:pPr>
      <w:bookmarkStart w:id="471" w:name="_Toc453243678"/>
      <w:bookmarkStart w:id="472" w:name="_Toc455404243"/>
      <w:r>
        <w:rPr>
          <w:rStyle w:val="CharSClsNo"/>
        </w:rPr>
        <w:t>5</w:t>
      </w:r>
      <w:r>
        <w:t>.</w:t>
      </w:r>
      <w:r>
        <w:tab/>
        <w:t>Vacant land</w:t>
      </w:r>
      <w:bookmarkEnd w:id="471"/>
      <w:bookmarkEnd w:id="472"/>
    </w:p>
    <w:p>
      <w:pPr>
        <w:pStyle w:val="yMiscellaneousBody"/>
        <w:tabs>
          <w:tab w:val="left" w:pos="284"/>
          <w:tab w:val="right" w:leader="dot" w:pos="6804"/>
        </w:tabs>
        <w:spacing w:before="120"/>
        <w:ind w:left="851" w:right="1985" w:hanging="823"/>
      </w:pPr>
      <w:r>
        <w:tab/>
        <w:t>(1)</w:t>
      </w:r>
      <w:r>
        <w:tab/>
      </w:r>
      <w:r>
        <w:rPr>
          <w:szCs w:val="22"/>
        </w:rPr>
        <w:t xml:space="preserve">In respect of land that is classified as vacant land, the charge is </w:t>
      </w:r>
      <w:r>
        <w:rPr>
          <w:szCs w:val="22"/>
        </w:rPr>
        <w:tab/>
        <w:t xml:space="preserve"> 0.645</w:t>
      </w:r>
      <w:r>
        <w:t xml:space="preserve"> cents/$</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before="120"/>
        <w:ind w:left="879" w:right="1985" w:hanging="823"/>
      </w:pPr>
      <w:r>
        <w:tab/>
        <w:t>(2)</w:t>
      </w:r>
      <w:r>
        <w:tab/>
        <w:t xml:space="preserve">The minimum charge under this item is </w:t>
      </w:r>
      <w:r>
        <w:tab/>
        <w:t xml:space="preserve"> </w:t>
      </w:r>
      <w:r>
        <w:rPr>
          <w:szCs w:val="22"/>
        </w:rPr>
        <w:t>$107.48</w:t>
      </w:r>
    </w:p>
    <w:p>
      <w:pPr>
        <w:pStyle w:val="yHeading5"/>
        <w:tabs>
          <w:tab w:val="clear" w:pos="879"/>
        </w:tabs>
        <w:ind w:left="851" w:hanging="851"/>
      </w:pPr>
      <w:bookmarkStart w:id="473" w:name="_Toc453243679"/>
      <w:bookmarkStart w:id="474" w:name="_Toc455404244"/>
      <w:r>
        <w:rPr>
          <w:rStyle w:val="CharSClsNo"/>
        </w:rPr>
        <w:t>6</w:t>
      </w:r>
      <w:r>
        <w:t>.</w:t>
      </w:r>
      <w:r>
        <w:tab/>
        <w:t>Non</w:t>
      </w:r>
      <w:r>
        <w:noBreakHyphen/>
        <w:t>residential (except certain strata</w:t>
      </w:r>
      <w:r>
        <w:noBreakHyphen/>
        <w:t>titled units)</w:t>
      </w:r>
      <w:bookmarkEnd w:id="473"/>
      <w:bookmarkEnd w:id="474"/>
    </w:p>
    <w:p>
      <w:pPr>
        <w:pStyle w:val="yMiscellaneousBody"/>
        <w:tabs>
          <w:tab w:val="left" w:pos="284"/>
          <w:tab w:val="right" w:leader="dot" w:pos="6804"/>
        </w:tabs>
        <w:spacing w:before="120"/>
        <w:ind w:left="851" w:right="1985" w:hanging="823"/>
      </w:pPr>
      <w:r>
        <w:tab/>
        <w:t>(1)</w:t>
      </w:r>
      <w:r>
        <w:tab/>
      </w:r>
      <w:r>
        <w:rPr>
          <w:szCs w:val="22"/>
        </w:rPr>
        <w:t>In respect of land that is classified as non</w:t>
      </w:r>
      <w:r>
        <w:rPr>
          <w:szCs w:val="22"/>
        </w:rPr>
        <w:noBreakHyphen/>
        <w:t xml:space="preserve">residential and not covered by item 2 or 3, the charge is </w:t>
      </w:r>
      <w:r>
        <w:rPr>
          <w:szCs w:val="22"/>
        </w:rPr>
        <w:tab/>
        <w:t xml:space="preserve"> 0.288</w:t>
      </w:r>
      <w:r>
        <w:t xml:space="preserve"> cents/$</w:t>
      </w:r>
    </w:p>
    <w:p>
      <w:pPr>
        <w:pStyle w:val="yMiscellaneousBody"/>
        <w:tabs>
          <w:tab w:val="right" w:pos="6804"/>
        </w:tabs>
        <w:spacing w:before="0"/>
        <w:ind w:left="851" w:right="1985" w:hanging="851"/>
      </w:pPr>
      <w:r>
        <w:tab/>
      </w:r>
      <w:r>
        <w:tab/>
        <w:t>of GRV</w:t>
      </w:r>
    </w:p>
    <w:p>
      <w:pPr>
        <w:pStyle w:val="yMiscellaneousBody"/>
        <w:tabs>
          <w:tab w:val="left" w:pos="284"/>
          <w:tab w:val="right" w:leader="dot" w:pos="6804"/>
        </w:tabs>
        <w:spacing w:before="120"/>
        <w:ind w:left="851" w:right="1985" w:hanging="823"/>
        <w:rPr>
          <w:szCs w:val="22"/>
        </w:rPr>
      </w:pPr>
      <w:r>
        <w:tab/>
        <w:t>(2)</w:t>
      </w:r>
      <w:r>
        <w:tab/>
        <w:t xml:space="preserve">The minimum charge under this item is </w:t>
      </w:r>
      <w:r>
        <w:tab/>
        <w:t xml:space="preserve"> </w:t>
      </w:r>
      <w:r>
        <w:rPr>
          <w:szCs w:val="22"/>
        </w:rPr>
        <w:t>$107.48</w:t>
      </w:r>
    </w:p>
    <w:p>
      <w:pPr>
        <w:pStyle w:val="yFootnotesection"/>
        <w:keepLines w:val="0"/>
        <w:spacing w:before="60"/>
      </w:pPr>
      <w:r>
        <w:tab/>
        <w:t>[Schedule 5 inserted in Gazette 27 Jun 2016 p. 2588</w:t>
      </w:r>
      <w:r>
        <w:noBreakHyphen/>
        <w:t>9.]</w:t>
      </w:r>
    </w:p>
    <w:p>
      <w:pPr>
        <w:pStyle w:val="yScheduleHeading"/>
      </w:pPr>
      <w:bookmarkStart w:id="475" w:name="_Toc453239626"/>
      <w:bookmarkStart w:id="476" w:name="_Toc453239797"/>
      <w:bookmarkStart w:id="477" w:name="_Toc453239974"/>
      <w:bookmarkStart w:id="478" w:name="_Toc453240187"/>
      <w:bookmarkStart w:id="479" w:name="_Toc453243680"/>
      <w:bookmarkStart w:id="480" w:name="_Toc455155354"/>
      <w:bookmarkStart w:id="481" w:name="_Toc455404245"/>
      <w:r>
        <w:rPr>
          <w:rStyle w:val="CharSchNo"/>
        </w:rPr>
        <w:t>Schedule 6</w:t>
      </w:r>
      <w:r>
        <w:t> — </w:t>
      </w:r>
      <w:r>
        <w:rPr>
          <w:rStyle w:val="CharSchText"/>
        </w:rPr>
        <w:t>Irrigation charges for the Water Corporation (Ord Irrigation District)</w:t>
      </w:r>
      <w:bookmarkEnd w:id="475"/>
      <w:bookmarkEnd w:id="476"/>
      <w:bookmarkEnd w:id="477"/>
      <w:bookmarkEnd w:id="478"/>
      <w:bookmarkEnd w:id="479"/>
      <w:bookmarkEnd w:id="480"/>
      <w:bookmarkEnd w:id="481"/>
    </w:p>
    <w:p>
      <w:pPr>
        <w:pStyle w:val="yShoulderClause"/>
      </w:pPr>
      <w:r>
        <w:t>[r. 50]</w:t>
      </w:r>
    </w:p>
    <w:p>
      <w:pPr>
        <w:pStyle w:val="yFootnoteheading"/>
      </w:pPr>
      <w:r>
        <w:tab/>
        <w:t>[Heading inserted in Gazette 27 Jun 2016 p. 2589.]</w:t>
      </w:r>
    </w:p>
    <w:p>
      <w:pPr>
        <w:pStyle w:val="yHeading5"/>
        <w:tabs>
          <w:tab w:val="clear" w:pos="879"/>
        </w:tabs>
        <w:ind w:left="851" w:hanging="851"/>
      </w:pPr>
      <w:bookmarkStart w:id="482" w:name="_Toc453243681"/>
      <w:bookmarkStart w:id="483" w:name="_Toc455404246"/>
      <w:r>
        <w:rPr>
          <w:rStyle w:val="CharSClsNo"/>
        </w:rPr>
        <w:t>1</w:t>
      </w:r>
      <w:r>
        <w:t>.</w:t>
      </w:r>
      <w:r>
        <w:tab/>
        <w:t>Irrigation charges for 2016/17 year and subsequent years</w:t>
      </w:r>
      <w:bookmarkEnd w:id="482"/>
      <w:bookmarkEnd w:id="483"/>
    </w:p>
    <w:p>
      <w:pPr>
        <w:pStyle w:val="yMiscellaneousBody"/>
        <w:ind w:left="851" w:hanging="851"/>
      </w:pPr>
      <w:r>
        <w:tab/>
        <w:t xml:space="preserve">The charges set out in this Schedule apply for </w:t>
      </w:r>
      <w:r>
        <w:br/>
        <w:t xml:space="preserve">irrigation services provided in the </w:t>
      </w:r>
      <w:r>
        <w:br/>
      </w:r>
      <w:r>
        <w:rPr>
          <w:szCs w:val="22"/>
        </w:rPr>
        <w:t>2016/17</w:t>
      </w:r>
      <w:r>
        <w:t> financial year and each subsequent year.</w:t>
      </w:r>
    </w:p>
    <w:p>
      <w:pPr>
        <w:pStyle w:val="yHeading5"/>
        <w:tabs>
          <w:tab w:val="clear" w:pos="879"/>
        </w:tabs>
        <w:ind w:left="851" w:hanging="851"/>
      </w:pPr>
      <w:bookmarkStart w:id="484" w:name="_Toc453243682"/>
      <w:bookmarkStart w:id="485" w:name="_Toc455404247"/>
      <w:r>
        <w:rPr>
          <w:rStyle w:val="CharSClsNo"/>
        </w:rPr>
        <w:t>2</w:t>
      </w:r>
      <w:r>
        <w:t>.</w:t>
      </w:r>
      <w:r>
        <w:tab/>
        <w:t>Water supplied for irrigation</w:t>
      </w:r>
      <w:bookmarkEnd w:id="484"/>
      <w:bookmarkEnd w:id="485"/>
    </w:p>
    <w:p>
      <w:pPr>
        <w:pStyle w:val="yMiscellaneousBody"/>
        <w:ind w:left="851" w:hanging="851"/>
      </w:pPr>
      <w:r>
        <w:tab/>
        <w:t xml:space="preserve">In respect of land to which water is supplied from </w:t>
      </w:r>
      <w:r>
        <w:br/>
        <w:t xml:space="preserve">irrigation works of the Water Corporation in the </w:t>
      </w:r>
      <w:r>
        <w:br/>
        <w:t xml:space="preserve">Ord Irrigation District for the purpose of irrigation, </w:t>
      </w:r>
      <w:r>
        <w:br/>
        <w:t>the charge, per hectare of land supplied,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w:t>
      </w:r>
      <w:r>
        <w:rPr>
          <w:szCs w:val="22"/>
        </w:rPr>
        <w:t>$149.92</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w:t>
      </w:r>
      <w:r>
        <w:rPr>
          <w:szCs w:val="22"/>
        </w:rPr>
        <w:t>$112.96</w:t>
      </w:r>
    </w:p>
    <w:p>
      <w:pPr>
        <w:pStyle w:val="yHeading5"/>
        <w:tabs>
          <w:tab w:val="clear" w:pos="879"/>
        </w:tabs>
        <w:ind w:left="851" w:hanging="851"/>
      </w:pPr>
      <w:bookmarkStart w:id="486" w:name="_Toc453243683"/>
      <w:bookmarkStart w:id="487" w:name="_Toc455404248"/>
      <w:r>
        <w:rPr>
          <w:rStyle w:val="CharSClsNo"/>
        </w:rPr>
        <w:t>3</w:t>
      </w:r>
      <w:r>
        <w:t>.</w:t>
      </w:r>
      <w:r>
        <w:tab/>
        <w:t>Water supplied for watering stock or dust prevention</w:t>
      </w:r>
      <w:bookmarkEnd w:id="486"/>
      <w:bookmarkEnd w:id="487"/>
    </w:p>
    <w:p>
      <w:pPr>
        <w:pStyle w:val="yMiscellaneousBody"/>
        <w:ind w:left="851" w:hanging="851"/>
      </w:pPr>
      <w:r>
        <w:tab/>
        <w:t xml:space="preserve">In respect of land to which water is supplied from </w:t>
      </w:r>
      <w:r>
        <w:br/>
        <w:t xml:space="preserve">irrigation works of the Water Corporation in the </w:t>
      </w:r>
      <w:r>
        <w:br/>
        <w:t xml:space="preserve">Ord Irrigation District for the purpose of watering </w:t>
      </w:r>
      <w:r>
        <w:br/>
        <w:t xml:space="preserve">stock or dust prevention in feed lots, the charge </w:t>
      </w:r>
      <w:r>
        <w:br/>
        <w:t>is —</w:t>
      </w:r>
    </w:p>
    <w:p>
      <w:pPr>
        <w:pStyle w:val="yMiscellaneousBody"/>
        <w:tabs>
          <w:tab w:val="left" w:pos="1134"/>
          <w:tab w:val="left" w:pos="1560"/>
          <w:tab w:val="right" w:leader="dot" w:pos="6804"/>
        </w:tabs>
        <w:spacing w:before="80"/>
        <w:ind w:left="1559" w:right="1985" w:hanging="1559"/>
      </w:pPr>
      <w:r>
        <w:tab/>
        <w:t>(a)</w:t>
      </w:r>
      <w:r>
        <w:tab/>
        <w:t xml:space="preserve">if the maximum area used as a feed lot during the year is not more than 4 hectares </w:t>
      </w:r>
      <w:r>
        <w:tab/>
        <w:t xml:space="preserve"> </w:t>
      </w:r>
      <w:r>
        <w:rPr>
          <w:szCs w:val="22"/>
        </w:rPr>
        <w:t>$701.05</w:t>
      </w:r>
    </w:p>
    <w:p>
      <w:pPr>
        <w:pStyle w:val="yMiscellaneousBody"/>
        <w:tabs>
          <w:tab w:val="left" w:pos="1134"/>
          <w:tab w:val="left" w:pos="1560"/>
          <w:tab w:val="right" w:leader="dot" w:pos="6804"/>
        </w:tabs>
        <w:spacing w:before="80"/>
        <w:ind w:left="1559" w:right="1985" w:hanging="1559"/>
      </w:pPr>
      <w:r>
        <w:tab/>
        <w:t>(b)</w:t>
      </w:r>
      <w:r>
        <w:tab/>
        <w:t xml:space="preserve">if the maximum area used as a feed lot during the year is more than 4 hectares </w:t>
      </w:r>
      <w:r>
        <w:tab/>
        <w:t xml:space="preserve"> </w:t>
      </w:r>
      <w:r>
        <w:rPr>
          <w:szCs w:val="22"/>
        </w:rPr>
        <w:t>$701.05</w:t>
      </w:r>
    </w:p>
    <w:p>
      <w:pPr>
        <w:pStyle w:val="yMiscellaneousBody"/>
        <w:tabs>
          <w:tab w:val="left" w:pos="6096"/>
          <w:tab w:val="right" w:pos="6804"/>
        </w:tabs>
        <w:spacing w:before="0"/>
        <w:ind w:left="1559" w:right="1985" w:hanging="1559"/>
      </w:pPr>
      <w:r>
        <w:tab/>
      </w:r>
      <w:r>
        <w:tab/>
        <w:t xml:space="preserve">plus </w:t>
      </w:r>
      <w:r>
        <w:tab/>
      </w:r>
      <w:r>
        <w:rPr>
          <w:szCs w:val="22"/>
        </w:rPr>
        <w:t>$138.83</w:t>
      </w:r>
      <w:r>
        <w:br/>
      </w:r>
      <w:r>
        <w:tab/>
        <w:t xml:space="preserve">per ha </w:t>
      </w:r>
      <w:r>
        <w:br/>
      </w:r>
      <w:r>
        <w:tab/>
        <w:t xml:space="preserve">(pro rata) in </w:t>
      </w:r>
      <w:r>
        <w:br/>
      </w:r>
      <w:r>
        <w:tab/>
        <w:t>excess of 4 ha</w:t>
      </w:r>
    </w:p>
    <w:p>
      <w:pPr>
        <w:pStyle w:val="yHeading5"/>
        <w:tabs>
          <w:tab w:val="clear" w:pos="879"/>
        </w:tabs>
        <w:ind w:left="851" w:hanging="851"/>
      </w:pPr>
      <w:bookmarkStart w:id="488" w:name="_Toc453243684"/>
      <w:bookmarkStart w:id="489" w:name="_Toc455404249"/>
      <w:r>
        <w:rPr>
          <w:rStyle w:val="CharSClsNo"/>
        </w:rPr>
        <w:t>4</w:t>
      </w:r>
      <w:r>
        <w:t>.</w:t>
      </w:r>
      <w:r>
        <w:tab/>
        <w:t>Water supplied for purposes other than irrigation, watering stock or dust prevention</w:t>
      </w:r>
      <w:bookmarkEnd w:id="488"/>
      <w:bookmarkEnd w:id="489"/>
    </w:p>
    <w:p>
      <w:pPr>
        <w:pStyle w:val="yMiscellaneousBody"/>
        <w:ind w:left="851" w:hanging="851"/>
      </w:pPr>
      <w:r>
        <w:tab/>
        <w:t xml:space="preserve">In respect of land to which water is supplied from </w:t>
      </w:r>
      <w:r>
        <w:br/>
        <w:t xml:space="preserve">irrigation works of the Water Corporation in the </w:t>
      </w:r>
      <w:r>
        <w:br/>
        <w:t xml:space="preserve">Ord Irrigation District for purposes other than </w:t>
      </w:r>
      <w:r>
        <w:br/>
        <w:t xml:space="preserve">irrigation, watering stock or dust prevention in feed </w:t>
      </w:r>
      <w:r>
        <w:br/>
        <w:t>lots, the charge, per supply point,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w:t>
      </w:r>
      <w:r>
        <w:rPr>
          <w:szCs w:val="22"/>
        </w:rPr>
        <w:t>$261.31</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w:t>
      </w:r>
      <w:r>
        <w:rPr>
          <w:szCs w:val="22"/>
        </w:rPr>
        <w:t>$191.10</w:t>
      </w:r>
    </w:p>
    <w:p>
      <w:pPr>
        <w:pStyle w:val="yFootnotesection"/>
      </w:pPr>
      <w:r>
        <w:tab/>
        <w:t>[Schedule 6 inserted in Gazette 27 Jun 2016 p. 2589</w:t>
      </w:r>
      <w:r>
        <w:noBreakHyphen/>
        <w:t>90.]</w:t>
      </w:r>
    </w:p>
    <w:p>
      <w:pPr>
        <w:pStyle w:val="yScheduleHeading"/>
      </w:pPr>
      <w:bookmarkStart w:id="490" w:name="_Toc453239631"/>
      <w:bookmarkStart w:id="491" w:name="_Toc453239802"/>
      <w:bookmarkStart w:id="492" w:name="_Toc453239979"/>
      <w:bookmarkStart w:id="493" w:name="_Toc453240192"/>
      <w:bookmarkStart w:id="494" w:name="_Toc453243685"/>
      <w:bookmarkStart w:id="495" w:name="_Toc455155359"/>
      <w:bookmarkStart w:id="496" w:name="_Toc455404250"/>
      <w:r>
        <w:rPr>
          <w:rStyle w:val="CharSchNo"/>
        </w:rPr>
        <w:t>Schedule 7</w:t>
      </w:r>
      <w:r>
        <w:t> — </w:t>
      </w:r>
      <w:r>
        <w:rPr>
          <w:rStyle w:val="CharSchText"/>
        </w:rPr>
        <w:t>Miscellaneous charges for the Water Corporation</w:t>
      </w:r>
      <w:bookmarkEnd w:id="490"/>
      <w:bookmarkEnd w:id="491"/>
      <w:bookmarkEnd w:id="492"/>
      <w:bookmarkEnd w:id="493"/>
      <w:bookmarkEnd w:id="494"/>
      <w:bookmarkEnd w:id="495"/>
      <w:bookmarkEnd w:id="496"/>
    </w:p>
    <w:p>
      <w:pPr>
        <w:pStyle w:val="yShoulderClause"/>
      </w:pPr>
      <w:r>
        <w:t>[r.  51]</w:t>
      </w:r>
    </w:p>
    <w:p>
      <w:pPr>
        <w:pStyle w:val="yFootnoteheading"/>
      </w:pPr>
      <w:r>
        <w:tab/>
        <w:t>[Heading inserted in Gazette 27 Jun 2016 p. 2590.]</w:t>
      </w:r>
    </w:p>
    <w:p>
      <w:pPr>
        <w:pStyle w:val="yHeading5"/>
        <w:tabs>
          <w:tab w:val="clear" w:pos="879"/>
        </w:tabs>
        <w:ind w:left="851" w:hanging="851"/>
      </w:pPr>
      <w:bookmarkStart w:id="497" w:name="_Toc453243686"/>
      <w:bookmarkStart w:id="498" w:name="_Toc455404251"/>
      <w:r>
        <w:rPr>
          <w:rStyle w:val="CharSClsNo"/>
        </w:rPr>
        <w:t>1</w:t>
      </w:r>
      <w:r>
        <w:t>.</w:t>
      </w:r>
      <w:r>
        <w:tab/>
        <w:t>Meters: multi</w:t>
      </w:r>
      <w:r>
        <w:noBreakHyphen/>
        <w:t>unit developments</w:t>
      </w:r>
      <w:bookmarkEnd w:id="497"/>
      <w:bookmarkEnd w:id="498"/>
    </w:p>
    <w:p>
      <w:pPr>
        <w:pStyle w:val="yMiscellaneousBody"/>
        <w:tabs>
          <w:tab w:val="left" w:pos="284"/>
          <w:tab w:val="right" w:leader="dot" w:pos="6804"/>
        </w:tabs>
        <w:spacing w:after="160"/>
        <w:ind w:left="879" w:right="1985" w:hanging="879"/>
      </w:pPr>
      <w:r>
        <w:tab/>
      </w:r>
      <w:r>
        <w:tab/>
        <w:t>For supplying and connecting a meter to a pipe supplying water to a unit in a multi</w:t>
      </w:r>
      <w:r>
        <w:noBreakHyphen/>
        <w:t xml:space="preserve">unit development under the </w:t>
      </w:r>
      <w:r>
        <w:rPr>
          <w:i/>
        </w:rPr>
        <w:t>Water Services Regulations 2013</w:t>
      </w:r>
      <w:r>
        <w:t xml:space="preserve"> regulation 23(1), the charge is </w:t>
      </w:r>
      <w:r>
        <w:tab/>
        <w:t xml:space="preserve"> </w:t>
      </w:r>
      <w:r>
        <w:rPr>
          <w:szCs w:val="22"/>
        </w:rPr>
        <w:t>$355.28</w:t>
      </w:r>
    </w:p>
    <w:p>
      <w:pPr>
        <w:pStyle w:val="yHeading5"/>
        <w:tabs>
          <w:tab w:val="clear" w:pos="879"/>
        </w:tabs>
        <w:ind w:left="851" w:hanging="851"/>
      </w:pPr>
      <w:bookmarkStart w:id="499" w:name="_Toc453243687"/>
      <w:bookmarkStart w:id="500" w:name="_Toc455404252"/>
      <w:r>
        <w:rPr>
          <w:rStyle w:val="CharSClsNo"/>
        </w:rPr>
        <w:t>2</w:t>
      </w:r>
      <w:r>
        <w:t>.</w:t>
      </w:r>
      <w:r>
        <w:tab/>
        <w:t>Assessing meters: multi</w:t>
      </w:r>
      <w:r>
        <w:noBreakHyphen/>
        <w:t>unit developments</w:t>
      </w:r>
      <w:bookmarkEnd w:id="499"/>
      <w:bookmarkEnd w:id="500"/>
    </w:p>
    <w:p>
      <w:pPr>
        <w:pStyle w:val="yMiscellaneousBody"/>
        <w:tabs>
          <w:tab w:val="left" w:pos="284"/>
          <w:tab w:val="right" w:leader="dot" w:pos="6804"/>
        </w:tabs>
        <w:spacing w:after="160"/>
        <w:ind w:left="879" w:right="1985"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w:t>
      </w:r>
      <w:r>
        <w:rPr>
          <w:szCs w:val="22"/>
        </w:rPr>
        <w:t>$252.33</w:t>
      </w:r>
    </w:p>
    <w:p>
      <w:pPr>
        <w:pStyle w:val="yHeading5"/>
        <w:tabs>
          <w:tab w:val="clear" w:pos="879"/>
        </w:tabs>
        <w:ind w:left="851" w:hanging="851"/>
      </w:pPr>
      <w:bookmarkStart w:id="501" w:name="_Toc453243688"/>
      <w:bookmarkStart w:id="502" w:name="_Toc455404253"/>
      <w:r>
        <w:rPr>
          <w:rStyle w:val="CharSClsNo"/>
        </w:rPr>
        <w:t>3</w:t>
      </w:r>
      <w:r>
        <w:t>.</w:t>
      </w:r>
      <w:r>
        <w:tab/>
        <w:t>Testing meters</w:t>
      </w:r>
      <w:bookmarkEnd w:id="501"/>
      <w:bookmarkEnd w:id="502"/>
    </w:p>
    <w:p>
      <w:pPr>
        <w:pStyle w:val="yMiscellaneousBody"/>
        <w:tabs>
          <w:tab w:val="left" w:pos="284"/>
          <w:tab w:val="right" w:leader="dot" w:pos="6804"/>
        </w:tabs>
        <w:spacing w:after="160"/>
        <w:ind w:left="879" w:right="1985"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spacing w:before="120"/>
        <w:ind w:left="1134" w:right="2268" w:hanging="879"/>
      </w:pPr>
      <w:r>
        <w:tab/>
        <w:t>20</w:t>
      </w:r>
      <w:r>
        <w:noBreakHyphen/>
        <w:t xml:space="preserve">25 mm </w:t>
      </w:r>
      <w:r>
        <w:tab/>
        <w:t xml:space="preserve"> </w:t>
      </w:r>
      <w:r>
        <w:rPr>
          <w:szCs w:val="22"/>
        </w:rPr>
        <w:t>$107.68</w:t>
      </w:r>
    </w:p>
    <w:p>
      <w:pPr>
        <w:pStyle w:val="yMiscellaneousBody"/>
        <w:tabs>
          <w:tab w:val="right" w:leader="dot" w:pos="6804"/>
        </w:tabs>
        <w:spacing w:before="120"/>
        <w:ind w:left="1134" w:right="2268" w:hanging="879"/>
      </w:pPr>
      <w:r>
        <w:tab/>
        <w:t xml:space="preserve">more than 25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 testing</w:t>
      </w:r>
    </w:p>
    <w:p>
      <w:pPr>
        <w:pStyle w:val="yHeading5"/>
        <w:tabs>
          <w:tab w:val="clear" w:pos="879"/>
        </w:tabs>
        <w:ind w:left="851" w:hanging="851"/>
      </w:pPr>
      <w:bookmarkStart w:id="503" w:name="_Toc453243689"/>
      <w:bookmarkStart w:id="504" w:name="_Toc455404254"/>
      <w:r>
        <w:rPr>
          <w:rStyle w:val="CharSClsNo"/>
        </w:rPr>
        <w:t>4</w:t>
      </w:r>
      <w:r>
        <w:t>.</w:t>
      </w:r>
      <w:r>
        <w:tab/>
        <w:t>Installing water supply connection</w:t>
      </w:r>
      <w:bookmarkEnd w:id="503"/>
      <w:bookmarkEnd w:id="504"/>
    </w:p>
    <w:p>
      <w:pPr>
        <w:pStyle w:val="yMiscellaneousBody"/>
        <w:tabs>
          <w:tab w:val="left" w:pos="284"/>
          <w:tab w:val="right" w:leader="dot" w:pos="6804"/>
        </w:tabs>
        <w:spacing w:after="160"/>
        <w:ind w:left="879" w:right="1985" w:hanging="879"/>
      </w:pPr>
      <w:r>
        <w:tab/>
        <w:t>(1)</w:t>
      </w:r>
      <w:r>
        <w:tab/>
        <w:t>For installing a water supply connection in relation to land in the metropolitan area (other than in the central business districts), the charge, according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$1 202.56</w:t>
      </w:r>
    </w:p>
    <w:p>
      <w:pPr>
        <w:pStyle w:val="yMiscellaneousBody"/>
        <w:tabs>
          <w:tab w:val="right" w:leader="dot" w:pos="6804"/>
        </w:tabs>
        <w:spacing w:before="120"/>
        <w:ind w:left="1134" w:right="2268" w:hanging="879"/>
      </w:pPr>
      <w:r>
        <w:tab/>
        <w:t xml:space="preserve">25 mm </w:t>
      </w:r>
      <w:r>
        <w:tab/>
        <w:t xml:space="preserve"> </w:t>
      </w:r>
      <w:r>
        <w:rPr>
          <w:szCs w:val="22"/>
        </w:rPr>
        <w:t>$1 218.41</w:t>
      </w:r>
    </w:p>
    <w:p>
      <w:pPr>
        <w:pStyle w:val="yMiscellaneousBody"/>
        <w:tabs>
          <w:tab w:val="right" w:leader="dot" w:pos="6804"/>
        </w:tabs>
        <w:spacing w:before="120"/>
        <w:ind w:left="1134" w:right="2268" w:hanging="879"/>
      </w:pPr>
      <w:r>
        <w:tab/>
        <w:t xml:space="preserve">40 mm </w:t>
      </w:r>
      <w:r>
        <w:tab/>
        <w:t xml:space="preserve"> </w:t>
      </w:r>
      <w:r>
        <w:rPr>
          <w:szCs w:val="22"/>
        </w:rPr>
        <w:t>$1 773.76</w:t>
      </w:r>
    </w:p>
    <w:p>
      <w:pPr>
        <w:pStyle w:val="yMiscellaneousBody"/>
        <w:tabs>
          <w:tab w:val="right" w:leader="dot" w:pos="6804"/>
        </w:tabs>
        <w:spacing w:before="120"/>
        <w:ind w:left="1134" w:right="2268" w:hanging="879"/>
      </w:pPr>
      <w:r>
        <w:tab/>
        <w:t xml:space="preserve">50 mm </w:t>
      </w:r>
      <w:r>
        <w:tab/>
        <w:t xml:space="preserve"> </w:t>
      </w:r>
      <w:r>
        <w:rPr>
          <w:szCs w:val="22"/>
        </w:rPr>
        <w:t>$2 191.87</w:t>
      </w:r>
    </w:p>
    <w:p>
      <w:pPr>
        <w:pStyle w:val="yMiscellaneousBody"/>
        <w:tabs>
          <w:tab w:val="right" w:leader="dot" w:pos="6804"/>
        </w:tabs>
        <w:spacing w:before="120"/>
        <w:ind w:left="1134" w:right="2268" w:hanging="879"/>
      </w:pPr>
      <w:r>
        <w:tab/>
        <w:t>80</w:t>
      </w:r>
      <w:r>
        <w:noBreakHyphen/>
        <w:t xml:space="preserve">100 mm </w:t>
      </w:r>
      <w:r>
        <w:tab/>
        <w:t xml:space="preserve"> </w:t>
      </w:r>
      <w:r>
        <w:rPr>
          <w:szCs w:val="22"/>
        </w:rPr>
        <w:t>$4 244.36</w:t>
      </w:r>
    </w:p>
    <w:p>
      <w:pPr>
        <w:pStyle w:val="yMiscellaneousBody"/>
        <w:tabs>
          <w:tab w:val="right" w:leader="dot" w:pos="6804"/>
        </w:tabs>
        <w:spacing w:before="120"/>
        <w:ind w:left="1134" w:right="2268" w:hanging="879"/>
      </w:pPr>
      <w:r>
        <w:tab/>
        <w:t xml:space="preserve">150 mm </w:t>
      </w:r>
      <w:r>
        <w:tab/>
        <w:t xml:space="preserve"> </w:t>
      </w:r>
      <w:r>
        <w:rPr>
          <w:szCs w:val="22"/>
        </w:rPr>
        <w:t>$5 066.50</w:t>
      </w:r>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MiscellaneousBody"/>
        <w:tabs>
          <w:tab w:val="left" w:pos="284"/>
          <w:tab w:val="right" w:leader="dot" w:pos="6804"/>
        </w:tabs>
        <w:ind w:left="879" w:right="1985" w:hanging="879"/>
        <w:rPr>
          <w:szCs w:val="22"/>
        </w:rPr>
      </w:pPr>
      <w:r>
        <w:tab/>
        <w:t>(2)</w:t>
      </w:r>
      <w:r>
        <w:tab/>
        <w:t xml:space="preserve">For installing a water supply connection in relation to land in the central business districts, the charge is </w:t>
      </w:r>
      <w:r>
        <w:tab/>
        <w:t xml:space="preserve"> </w:t>
      </w:r>
      <w:r>
        <w:rPr>
          <w:szCs w:val="22"/>
        </w:rPr>
        <w:t>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Heading5"/>
        <w:tabs>
          <w:tab w:val="clear" w:pos="879"/>
        </w:tabs>
        <w:ind w:left="851" w:hanging="851"/>
      </w:pPr>
      <w:bookmarkStart w:id="505" w:name="_Toc453243690"/>
      <w:bookmarkStart w:id="506" w:name="_Toc455404255"/>
      <w:r>
        <w:rPr>
          <w:rStyle w:val="CharSClsNo"/>
        </w:rPr>
        <w:t>5</w:t>
      </w:r>
      <w:r>
        <w:t>.</w:t>
      </w:r>
      <w:r>
        <w:tab/>
        <w:t>Activating water supply connection</w:t>
      </w:r>
      <w:bookmarkEnd w:id="505"/>
      <w:bookmarkEnd w:id="506"/>
    </w:p>
    <w:p>
      <w:pPr>
        <w:pStyle w:val="yMiscellaneousBody"/>
        <w:tabs>
          <w:tab w:val="left" w:pos="284"/>
          <w:tab w:val="right" w:leader="dot" w:pos="6804"/>
        </w:tabs>
        <w:ind w:left="879" w:right="1985" w:hanging="879"/>
      </w:pPr>
      <w:r>
        <w:tab/>
        <w:t>(1)</w:t>
      </w:r>
      <w:r>
        <w:tab/>
        <w:t xml:space="preserve">For activating a water supply connection in relation to land in the metropolitan area, whether or not at the same time as installing the connection, the charge is </w:t>
      </w:r>
      <w:r>
        <w:tab/>
        <w:t xml:space="preserve"> </w:t>
      </w:r>
      <w:r>
        <w:rPr>
          <w:szCs w:val="22"/>
        </w:rPr>
        <w:t>$134.61</w:t>
      </w:r>
    </w:p>
    <w:p>
      <w:pPr>
        <w:pStyle w:val="yMiscellaneousBody"/>
        <w:tabs>
          <w:tab w:val="left" w:pos="284"/>
          <w:tab w:val="right" w:leader="dot" w:pos="6804"/>
        </w:tabs>
        <w:ind w:left="879" w:right="1985" w:hanging="879"/>
      </w:pPr>
      <w:r>
        <w:tab/>
        <w:t>(2)</w:t>
      </w:r>
      <w:r>
        <w:tab/>
        <w:t>The charge under this item covers the supply of a meter, stopcock and, if required, a temporary standpipe.</w:t>
      </w:r>
    </w:p>
    <w:p>
      <w:pPr>
        <w:pStyle w:val="yHeading5"/>
        <w:tabs>
          <w:tab w:val="clear" w:pos="879"/>
        </w:tabs>
        <w:ind w:left="851" w:hanging="851"/>
      </w:pPr>
      <w:bookmarkStart w:id="507" w:name="_Toc453243691"/>
      <w:bookmarkStart w:id="508" w:name="_Toc455404256"/>
      <w:r>
        <w:rPr>
          <w:rStyle w:val="CharSClsNo"/>
        </w:rPr>
        <w:t>6</w:t>
      </w:r>
      <w:r>
        <w:t>.</w:t>
      </w:r>
      <w:r>
        <w:tab/>
        <w:t>Disconnecting water supply connection</w:t>
      </w:r>
      <w:bookmarkEnd w:id="507"/>
      <w:bookmarkEnd w:id="508"/>
    </w:p>
    <w:p>
      <w:pPr>
        <w:pStyle w:val="yMiscellaneousBody"/>
        <w:tabs>
          <w:tab w:val="left" w:pos="284"/>
          <w:tab w:val="right" w:leader="dot" w:pos="6804"/>
        </w:tabs>
        <w:ind w:left="879" w:right="1985" w:hanging="879"/>
      </w:pPr>
      <w:r>
        <w:tab/>
        <w:t>(1)</w:t>
      </w:r>
      <w:r>
        <w:tab/>
        <w:t xml:space="preserve">For disconnecting a water supply connection to land, the charge is </w:t>
      </w:r>
      <w:r>
        <w:tab/>
        <w:t xml:space="preserve"> </w:t>
      </w:r>
      <w:r>
        <w:rPr>
          <w:szCs w:val="22"/>
        </w:rPr>
        <w:t>$759.66</w:t>
      </w:r>
    </w:p>
    <w:p>
      <w:pPr>
        <w:pStyle w:val="yMiscellaneousBody"/>
        <w:tabs>
          <w:tab w:val="left" w:pos="284"/>
          <w:tab w:val="right" w:leader="dot" w:pos="6804"/>
        </w:tabs>
        <w:ind w:left="879" w:right="1985" w:hanging="879"/>
      </w:pPr>
      <w:r>
        <w:tab/>
        <w:t>(2)</w:t>
      </w:r>
      <w:r>
        <w:tab/>
        <w:t>For the purposes of this item, cutting off or reducing the rate of flow of a supply of water under section 95 of the Act is not disconnecting a water supply connection.</w:t>
      </w:r>
    </w:p>
    <w:p>
      <w:pPr>
        <w:pStyle w:val="yHeading5"/>
        <w:tabs>
          <w:tab w:val="clear" w:pos="879"/>
        </w:tabs>
        <w:ind w:left="851" w:hanging="851"/>
      </w:pPr>
      <w:bookmarkStart w:id="509" w:name="_Toc453243692"/>
      <w:bookmarkStart w:id="510" w:name="_Toc455404257"/>
      <w:r>
        <w:rPr>
          <w:rStyle w:val="CharSClsNo"/>
        </w:rPr>
        <w:t>7</w:t>
      </w:r>
      <w:r>
        <w:t>.</w:t>
      </w:r>
      <w:r>
        <w:tab/>
        <w:t>Reconnecting water supply connection</w:t>
      </w:r>
      <w:bookmarkEnd w:id="509"/>
      <w:bookmarkEnd w:id="510"/>
    </w:p>
    <w:p>
      <w:pPr>
        <w:pStyle w:val="yMiscellaneousBody"/>
        <w:tabs>
          <w:tab w:val="left" w:pos="284"/>
          <w:tab w:val="right" w:leader="dot" w:pos="6804"/>
        </w:tabs>
        <w:ind w:left="879" w:right="1985" w:hanging="879"/>
      </w:pPr>
      <w:r>
        <w:tab/>
        <w:t>(1)</w:t>
      </w:r>
      <w:r>
        <w:tab/>
        <w:t xml:space="preserve">For reconnecting a water supply connection to land, the charge is </w:t>
      </w:r>
      <w:r>
        <w:tab/>
        <w:t xml:space="preserve"> </w:t>
      </w:r>
      <w:r>
        <w:rPr>
          <w:szCs w:val="22"/>
        </w:rPr>
        <w:t>$759.66</w:t>
      </w:r>
    </w:p>
    <w:p>
      <w:pPr>
        <w:pStyle w:val="yMiscellaneousBody"/>
        <w:tabs>
          <w:tab w:val="left" w:pos="284"/>
          <w:tab w:val="right" w:leader="dot" w:pos="6804"/>
        </w:tabs>
        <w:ind w:left="879" w:right="1985" w:hanging="879"/>
      </w:pPr>
      <w:r>
        <w:tab/>
        <w:t>(2)</w:t>
      </w:r>
      <w:r>
        <w:tab/>
        <w:t>For the purposes of this item, restoring the supply of water or the rate of flow of water after it has been cut off or reduced under section 95 of the Act is not reconnecting a water supply connection.</w:t>
      </w:r>
    </w:p>
    <w:p>
      <w:pPr>
        <w:pStyle w:val="yHeading5"/>
        <w:tabs>
          <w:tab w:val="clear" w:pos="879"/>
        </w:tabs>
        <w:ind w:left="851" w:hanging="851"/>
      </w:pPr>
      <w:bookmarkStart w:id="511" w:name="_Toc453243693"/>
      <w:bookmarkStart w:id="512" w:name="_Toc455404258"/>
      <w:r>
        <w:rPr>
          <w:rStyle w:val="CharSClsNo"/>
        </w:rPr>
        <w:t>8</w:t>
      </w:r>
      <w:r>
        <w:t>.</w:t>
      </w:r>
      <w:r>
        <w:tab/>
        <w:t>Relocating water supply connection</w:t>
      </w:r>
      <w:bookmarkEnd w:id="511"/>
      <w:bookmarkEnd w:id="512"/>
    </w:p>
    <w:p>
      <w:pPr>
        <w:pStyle w:val="yMiscellaneousBody"/>
        <w:tabs>
          <w:tab w:val="left" w:pos="284"/>
          <w:tab w:val="right" w:leader="dot" w:pos="6804"/>
        </w:tabs>
        <w:spacing w:after="160"/>
        <w:ind w:left="879" w:right="1985" w:hanging="879"/>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$454.00</w:t>
      </w:r>
    </w:p>
    <w:p>
      <w:pPr>
        <w:pStyle w:val="yMiscellaneousBody"/>
        <w:tabs>
          <w:tab w:val="right" w:leader="dot" w:pos="6804"/>
        </w:tabs>
        <w:spacing w:before="120"/>
        <w:ind w:left="1134" w:right="2268" w:hanging="879"/>
      </w:pPr>
      <w:r>
        <w:tab/>
        <w:t xml:space="preserve">25 mm </w:t>
      </w:r>
      <w:r>
        <w:tab/>
        <w:t xml:space="preserve"> </w:t>
      </w:r>
      <w:r>
        <w:rPr>
          <w:szCs w:val="22"/>
        </w:rPr>
        <w:t>$517.87</w:t>
      </w:r>
    </w:p>
    <w:p>
      <w:pPr>
        <w:pStyle w:val="yMiscellaneousBody"/>
        <w:tabs>
          <w:tab w:val="right" w:leader="dot" w:pos="6804"/>
        </w:tabs>
        <w:spacing w:before="120"/>
        <w:ind w:left="1134" w:right="2268" w:hanging="879"/>
      </w:pPr>
      <w:r>
        <w:tab/>
        <w:t xml:space="preserve">40 mm </w:t>
      </w:r>
      <w:r>
        <w:tab/>
        <w:t xml:space="preserve"> </w:t>
      </w:r>
      <w:r>
        <w:rPr>
          <w:szCs w:val="22"/>
        </w:rPr>
        <w:t>$739.07</w:t>
      </w:r>
    </w:p>
    <w:p>
      <w:pPr>
        <w:pStyle w:val="yMiscellaneousBody"/>
        <w:tabs>
          <w:tab w:val="right" w:leader="dot" w:pos="6804"/>
        </w:tabs>
        <w:spacing w:before="120"/>
        <w:ind w:left="1134" w:right="2268" w:hanging="879"/>
      </w:pPr>
      <w:r>
        <w:tab/>
        <w:t xml:space="preserve">50 mm </w:t>
      </w:r>
      <w:r>
        <w:tab/>
        <w:t xml:space="preserve"> </w:t>
      </w:r>
      <w:r>
        <w:rPr>
          <w:szCs w:val="22"/>
        </w:rPr>
        <w:t>$866.29</w:t>
      </w:r>
    </w:p>
    <w:p>
      <w:pPr>
        <w:pStyle w:val="yMiscellaneousBody"/>
        <w:tabs>
          <w:tab w:val="right" w:leader="dot" w:pos="6804"/>
        </w:tabs>
        <w:spacing w:before="120"/>
        <w:ind w:left="1134" w:right="2268" w:hanging="879"/>
      </w:pPr>
      <w:r>
        <w:tab/>
        <w:t xml:space="preserve">more than 50 mm </w:t>
      </w:r>
      <w:r>
        <w:tab/>
        <w:t xml:space="preserve"> an amount</w:t>
      </w:r>
    </w:p>
    <w:p>
      <w:pPr>
        <w:pStyle w:val="yMiscellaneousBody"/>
        <w:tabs>
          <w:tab w:val="right" w:pos="6804"/>
        </w:tabs>
        <w:spacing w:before="0"/>
        <w:ind w:left="1134" w:right="2268" w:hanging="879"/>
      </w:pPr>
      <w:r>
        <w:tab/>
      </w:r>
      <w:r>
        <w:tab/>
        <w:t xml:space="preserve"> </w:t>
      </w:r>
      <w:r>
        <w:rPr>
          <w:szCs w:val="22"/>
        </w:rPr>
        <w:t>equal</w:t>
      </w:r>
      <w:r>
        <w:t xml:space="preserve"> to</w:t>
      </w:r>
      <w:r>
        <w:br/>
      </w:r>
      <w:r>
        <w:tab/>
        <w:t xml:space="preserve"> the cost of</w:t>
      </w:r>
      <w:r>
        <w:br/>
      </w:r>
      <w:r>
        <w:tab/>
        <w:t xml:space="preserve"> relocation</w:t>
      </w:r>
    </w:p>
    <w:p>
      <w:pPr>
        <w:pStyle w:val="yMiscellaneousBody"/>
        <w:tabs>
          <w:tab w:val="left" w:pos="284"/>
          <w:tab w:val="right" w:leader="dot" w:pos="6804"/>
        </w:tabs>
        <w:spacing w:after="160"/>
        <w:ind w:left="879" w:right="1985" w:hanging="879"/>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$1 335.60</w:t>
      </w:r>
    </w:p>
    <w:p>
      <w:pPr>
        <w:pStyle w:val="yMiscellaneousBody"/>
        <w:tabs>
          <w:tab w:val="right" w:leader="dot" w:pos="6804"/>
        </w:tabs>
        <w:spacing w:before="120"/>
        <w:ind w:left="1134" w:right="2268" w:hanging="879"/>
      </w:pPr>
      <w:r>
        <w:tab/>
        <w:t xml:space="preserve">25 mm </w:t>
      </w:r>
      <w:r>
        <w:tab/>
        <w:t xml:space="preserve"> </w:t>
      </w:r>
      <w:r>
        <w:rPr>
          <w:szCs w:val="22"/>
        </w:rPr>
        <w:t>$1 351.43</w:t>
      </w:r>
    </w:p>
    <w:p>
      <w:pPr>
        <w:pStyle w:val="yMiscellaneousBody"/>
        <w:tabs>
          <w:tab w:val="right" w:leader="dot" w:pos="6804"/>
        </w:tabs>
        <w:spacing w:before="120"/>
        <w:ind w:left="1134" w:right="2268" w:hanging="879"/>
      </w:pPr>
      <w:r>
        <w:tab/>
        <w:t xml:space="preserve">40 mm </w:t>
      </w:r>
      <w:r>
        <w:tab/>
        <w:t xml:space="preserve"> </w:t>
      </w:r>
      <w:r>
        <w:rPr>
          <w:szCs w:val="22"/>
        </w:rPr>
        <w:t>$1 907.85</w:t>
      </w:r>
    </w:p>
    <w:p>
      <w:pPr>
        <w:pStyle w:val="yMiscellaneousBody"/>
        <w:tabs>
          <w:tab w:val="right" w:leader="dot" w:pos="6804"/>
        </w:tabs>
        <w:spacing w:before="120"/>
        <w:ind w:left="1134" w:right="2268" w:hanging="879"/>
      </w:pPr>
      <w:r>
        <w:tab/>
        <w:t xml:space="preserve">50 mm </w:t>
      </w:r>
      <w:r>
        <w:tab/>
        <w:t xml:space="preserve"> </w:t>
      </w:r>
      <w:r>
        <w:rPr>
          <w:szCs w:val="22"/>
        </w:rPr>
        <w:t>$2 325.43</w:t>
      </w:r>
    </w:p>
    <w:p>
      <w:pPr>
        <w:pStyle w:val="yMiscellaneousBody"/>
        <w:tabs>
          <w:tab w:val="right" w:leader="dot" w:pos="6804"/>
        </w:tabs>
        <w:spacing w:before="120"/>
        <w:ind w:left="1134" w:right="2268" w:hanging="879"/>
      </w:pPr>
      <w:r>
        <w:tab/>
        <w:t>80</w:t>
      </w:r>
      <w:r>
        <w:noBreakHyphen/>
        <w:t xml:space="preserve">100 mm </w:t>
      </w:r>
      <w:r>
        <w:tab/>
        <w:t xml:space="preserve"> </w:t>
      </w:r>
      <w:r>
        <w:rPr>
          <w:szCs w:val="22"/>
        </w:rPr>
        <w:t>$4 378.97</w:t>
      </w:r>
    </w:p>
    <w:p>
      <w:pPr>
        <w:pStyle w:val="yMiscellaneousBody"/>
        <w:tabs>
          <w:tab w:val="right" w:leader="dot" w:pos="6804"/>
        </w:tabs>
        <w:spacing w:before="120"/>
        <w:ind w:left="1134" w:right="2268" w:hanging="879"/>
      </w:pPr>
      <w:r>
        <w:tab/>
        <w:t xml:space="preserve">150 mm </w:t>
      </w:r>
      <w:r>
        <w:tab/>
        <w:t xml:space="preserve"> </w:t>
      </w:r>
      <w:r>
        <w:rPr>
          <w:szCs w:val="22"/>
        </w:rPr>
        <w:t>$5 200.39</w:t>
      </w:r>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tab/>
      </w:r>
      <w:r>
        <w:tab/>
        <w:t>equal to</w:t>
      </w:r>
      <w:r>
        <w:br/>
      </w:r>
      <w:r>
        <w:tab/>
        <w:t xml:space="preserve"> the cost of</w:t>
      </w:r>
      <w:r>
        <w:br/>
      </w:r>
      <w:r>
        <w:tab/>
        <w:t xml:space="preserve"> relocation</w:t>
      </w:r>
    </w:p>
    <w:p>
      <w:pPr>
        <w:pStyle w:val="yMiscellaneousBody"/>
        <w:tabs>
          <w:tab w:val="left" w:pos="284"/>
          <w:tab w:val="right" w:leader="dot" w:pos="6804"/>
        </w:tabs>
        <w:ind w:left="879" w:right="1985" w:hanging="879"/>
      </w:pPr>
      <w:r>
        <w:tab/>
        <w:t>(3)</w:t>
      </w:r>
      <w:r>
        <w:tab/>
        <w:t xml:space="preserve">For relocating a water supply connection in relation to land in the central business districts, the charge is </w:t>
      </w:r>
      <w:r>
        <w:tab/>
        <w:t xml:space="preserve"> an amount</w:t>
      </w:r>
    </w:p>
    <w:p>
      <w:pPr>
        <w:pStyle w:val="yMiscellaneousBody"/>
        <w:tabs>
          <w:tab w:val="right" w:pos="6804"/>
        </w:tabs>
        <w:spacing w:before="0"/>
        <w:ind w:left="1134" w:right="2268" w:hanging="879"/>
      </w:pPr>
      <w:r>
        <w:rPr>
          <w:szCs w:val="22"/>
        </w:rPr>
        <w:tab/>
      </w:r>
      <w:r>
        <w:rPr>
          <w:szCs w:val="22"/>
        </w:rPr>
        <w:tab/>
      </w:r>
      <w:r>
        <w:t>equal</w:t>
      </w:r>
      <w:r>
        <w:rPr>
          <w:szCs w:val="22"/>
        </w:rPr>
        <w:t xml:space="preserve"> to the</w:t>
      </w:r>
      <w:r>
        <w:rPr>
          <w:szCs w:val="22"/>
        </w:rPr>
        <w:br/>
      </w:r>
      <w:r>
        <w:rPr>
          <w:szCs w:val="22"/>
        </w:rPr>
        <w:tab/>
        <w:t>cost of</w:t>
      </w:r>
      <w:r>
        <w:rPr>
          <w:szCs w:val="22"/>
        </w:rPr>
        <w:br/>
      </w:r>
      <w:r>
        <w:rPr>
          <w:szCs w:val="22"/>
        </w:rPr>
        <w:tab/>
        <w:t>installation</w:t>
      </w:r>
    </w:p>
    <w:p>
      <w:pPr>
        <w:pStyle w:val="yHeading5"/>
        <w:tabs>
          <w:tab w:val="clear" w:pos="879"/>
        </w:tabs>
        <w:ind w:left="851" w:hanging="851"/>
      </w:pPr>
      <w:bookmarkStart w:id="513" w:name="_Toc453243694"/>
      <w:bookmarkStart w:id="514" w:name="_Toc455404259"/>
      <w:r>
        <w:rPr>
          <w:rStyle w:val="CharSClsNo"/>
        </w:rPr>
        <w:t>9</w:t>
      </w:r>
      <w:r>
        <w:t>.</w:t>
      </w:r>
      <w:r>
        <w:tab/>
        <w:t>Proposal to connect to sewer</w:t>
      </w:r>
      <w:bookmarkEnd w:id="513"/>
      <w:bookmarkEnd w:id="514"/>
    </w:p>
    <w:p>
      <w:pPr>
        <w:pStyle w:val="yMiscellaneousBody"/>
        <w:tabs>
          <w:tab w:val="left" w:pos="284"/>
          <w:tab w:val="right" w:leader="dot" w:pos="6804"/>
        </w:tabs>
        <w:spacing w:after="160"/>
        <w:ind w:left="879" w:right="1985" w:hanging="879"/>
      </w:pPr>
      <w:r>
        <w:tab/>
      </w:r>
      <w:r>
        <w:tab/>
        <w:t xml:space="preserve">For assessing a proposal to connect a wastewater inlet on land to a sewer, the charge is </w:t>
      </w:r>
      <w:r>
        <w:tab/>
        <w:t xml:space="preserve"> </w:t>
      </w:r>
      <w:r>
        <w:rPr>
          <w:szCs w:val="22"/>
        </w:rPr>
        <w:t>$21.06</w:t>
      </w:r>
    </w:p>
    <w:p>
      <w:pPr>
        <w:pStyle w:val="yHeading5"/>
        <w:tabs>
          <w:tab w:val="clear" w:pos="879"/>
        </w:tabs>
        <w:ind w:left="851" w:hanging="851"/>
      </w:pPr>
      <w:bookmarkStart w:id="515" w:name="_Toc453243695"/>
      <w:bookmarkStart w:id="516" w:name="_Toc455404260"/>
      <w:r>
        <w:rPr>
          <w:rStyle w:val="CharSClsNo"/>
        </w:rPr>
        <w:t>10</w:t>
      </w:r>
      <w:r>
        <w:t>.</w:t>
      </w:r>
      <w:r>
        <w:tab/>
        <w:t>Installing sewer junction</w:t>
      </w:r>
      <w:bookmarkEnd w:id="515"/>
      <w:bookmarkEnd w:id="516"/>
    </w:p>
    <w:p>
      <w:pPr>
        <w:pStyle w:val="yMiscellaneousBody"/>
        <w:tabs>
          <w:tab w:val="left" w:pos="284"/>
          <w:tab w:val="right" w:leader="dot" w:pos="6804"/>
        </w:tabs>
        <w:spacing w:after="160"/>
        <w:ind w:left="879" w:right="1985" w:hanging="879"/>
      </w:pPr>
      <w:r>
        <w:tab/>
      </w:r>
      <w:r>
        <w:tab/>
        <w:t>For installing a sewer junction in respect of land, the charge, according to the size of the sewer, is —</w:t>
      </w:r>
    </w:p>
    <w:p>
      <w:pPr>
        <w:pStyle w:val="yMiscellaneousBody"/>
        <w:tabs>
          <w:tab w:val="right" w:leader="dot" w:pos="6804"/>
        </w:tabs>
        <w:spacing w:before="120"/>
        <w:ind w:left="1134" w:right="2268" w:hanging="879"/>
      </w:pPr>
      <w:r>
        <w:tab/>
        <w:t xml:space="preserve">100 mm </w:t>
      </w:r>
      <w:r>
        <w:tab/>
        <w:t xml:space="preserve"> </w:t>
      </w:r>
      <w:r>
        <w:rPr>
          <w:szCs w:val="22"/>
        </w:rPr>
        <w:t>$517.13</w:t>
      </w:r>
    </w:p>
    <w:p>
      <w:pPr>
        <w:pStyle w:val="yMiscellaneousBody"/>
        <w:tabs>
          <w:tab w:val="right" w:leader="dot" w:pos="6804"/>
        </w:tabs>
        <w:spacing w:before="120"/>
        <w:ind w:left="1134" w:right="2268" w:hanging="879"/>
      </w:pPr>
      <w:r>
        <w:tab/>
        <w:t xml:space="preserve">150 mm </w:t>
      </w:r>
      <w:r>
        <w:tab/>
        <w:t xml:space="preserve"> </w:t>
      </w:r>
      <w:r>
        <w:rPr>
          <w:szCs w:val="22"/>
        </w:rPr>
        <w:t>$644.67</w:t>
      </w:r>
    </w:p>
    <w:p>
      <w:pPr>
        <w:pStyle w:val="yHeading5"/>
        <w:tabs>
          <w:tab w:val="clear" w:pos="879"/>
        </w:tabs>
        <w:ind w:left="851" w:hanging="851"/>
      </w:pPr>
      <w:bookmarkStart w:id="517" w:name="_Toc453243696"/>
      <w:bookmarkStart w:id="518" w:name="_Toc455404261"/>
      <w:r>
        <w:rPr>
          <w:rStyle w:val="CharSClsNo"/>
        </w:rPr>
        <w:t>11</w:t>
      </w:r>
      <w:r>
        <w:t>.</w:t>
      </w:r>
      <w:r>
        <w:tab/>
        <w:t>Hire of standpipe for fire hydrant</w:t>
      </w:r>
      <w:bookmarkEnd w:id="517"/>
      <w:bookmarkEnd w:id="518"/>
    </w:p>
    <w:p>
      <w:pPr>
        <w:pStyle w:val="yMiscellaneousBody"/>
        <w:tabs>
          <w:tab w:val="left" w:pos="284"/>
          <w:tab w:val="right" w:leader="dot" w:pos="6804"/>
        </w:tabs>
        <w:ind w:left="879" w:right="1985" w:hanging="879"/>
      </w:pPr>
      <w:r>
        <w:tab/>
        <w:t>(1)</w:t>
      </w:r>
      <w:r>
        <w:tab/>
        <w:t xml:space="preserve">For an application to hire a standpipe from the Water Corporation for attachment to a fire hydrant connected to water supply works of the Water Corporation in the metropolitan area, the charge is </w:t>
      </w:r>
      <w:r>
        <w:tab/>
        <w:t xml:space="preserve"> </w:t>
      </w:r>
      <w:r>
        <w:rPr>
          <w:szCs w:val="22"/>
        </w:rPr>
        <w:t>$112.44</w:t>
      </w:r>
    </w:p>
    <w:p>
      <w:pPr>
        <w:pStyle w:val="yMiscellaneousBody"/>
        <w:tabs>
          <w:tab w:val="left" w:pos="284"/>
          <w:tab w:val="right" w:leader="dot" w:pos="6804"/>
        </w:tabs>
        <w:ind w:left="879" w:right="1985" w:hanging="879"/>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spacing w:before="120"/>
        <w:ind w:left="1134" w:right="2268" w:hanging="879"/>
      </w:pPr>
      <w:r>
        <w:tab/>
        <w:t xml:space="preserve">25 mm or less </w:t>
      </w:r>
      <w:r>
        <w:tab/>
        <w:t xml:space="preserve"> </w:t>
      </w:r>
      <w:r>
        <w:rPr>
          <w:szCs w:val="22"/>
        </w:rPr>
        <w:t>$231.22</w:t>
      </w:r>
      <w:r>
        <w:t>/month</w:t>
      </w:r>
    </w:p>
    <w:p>
      <w:pPr>
        <w:pStyle w:val="yMiscellaneousBody"/>
        <w:tabs>
          <w:tab w:val="right" w:pos="6804"/>
        </w:tabs>
        <w:spacing w:before="0"/>
        <w:ind w:left="1134" w:right="2268" w:hanging="879"/>
        <w:rPr>
          <w:spacing w:val="-8"/>
          <w:kern w:val="22"/>
          <w:szCs w:val="22"/>
        </w:rPr>
      </w:pPr>
      <w:r>
        <w:rPr>
          <w:spacing w:val="-8"/>
          <w:kern w:val="22"/>
          <w:szCs w:val="22"/>
        </w:rPr>
        <w:tab/>
      </w:r>
      <w:r>
        <w:rPr>
          <w:spacing w:val="-8"/>
          <w:kern w:val="22"/>
          <w:szCs w:val="22"/>
        </w:rPr>
        <w:tab/>
        <w:t>pro rata</w:t>
      </w:r>
    </w:p>
    <w:p>
      <w:pPr>
        <w:pStyle w:val="yMiscellaneousBody"/>
        <w:tabs>
          <w:tab w:val="right" w:leader="dot" w:pos="6804"/>
        </w:tabs>
        <w:spacing w:before="120"/>
        <w:ind w:left="1134" w:right="2268" w:hanging="879"/>
      </w:pPr>
      <w:r>
        <w:tab/>
        <w:t xml:space="preserve">more than 25 mm </w:t>
      </w:r>
      <w:r>
        <w:tab/>
        <w:t xml:space="preserve"> </w:t>
      </w:r>
      <w:r>
        <w:rPr>
          <w:szCs w:val="22"/>
        </w:rPr>
        <w:t>$386.95</w:t>
      </w:r>
      <w:r>
        <w:t>/month</w:t>
      </w:r>
    </w:p>
    <w:p>
      <w:pPr>
        <w:pStyle w:val="yMiscellaneousBody"/>
        <w:tabs>
          <w:tab w:val="right" w:pos="6804"/>
        </w:tabs>
        <w:spacing w:before="0"/>
        <w:ind w:left="1134" w:right="2268" w:hanging="879"/>
      </w:pPr>
      <w:r>
        <w:rPr>
          <w:spacing w:val="-8"/>
          <w:kern w:val="22"/>
          <w:szCs w:val="22"/>
        </w:rPr>
        <w:tab/>
      </w:r>
      <w:r>
        <w:rPr>
          <w:spacing w:val="-8"/>
          <w:kern w:val="22"/>
          <w:szCs w:val="22"/>
        </w:rPr>
        <w:tab/>
        <w:t>pro rata</w:t>
      </w:r>
    </w:p>
    <w:p>
      <w:pPr>
        <w:pStyle w:val="yHeading5"/>
        <w:tabs>
          <w:tab w:val="clear" w:pos="879"/>
        </w:tabs>
        <w:ind w:left="851" w:hanging="851"/>
      </w:pPr>
      <w:bookmarkStart w:id="519" w:name="_Toc453243697"/>
      <w:bookmarkStart w:id="520" w:name="_Toc455404262"/>
      <w:r>
        <w:rPr>
          <w:rStyle w:val="CharSClsNo"/>
        </w:rPr>
        <w:t>12</w:t>
      </w:r>
      <w:r>
        <w:t>.</w:t>
      </w:r>
      <w:r>
        <w:tab/>
        <w:t>Trade waste: routine services</w:t>
      </w:r>
      <w:bookmarkEnd w:id="519"/>
      <w:bookmarkEnd w:id="520"/>
    </w:p>
    <w:p>
      <w:pPr>
        <w:pStyle w:val="yMiscellaneousBody"/>
        <w:tabs>
          <w:tab w:val="left" w:pos="284"/>
          <w:tab w:val="right" w:leader="dot" w:pos="6804"/>
        </w:tabs>
        <w:spacing w:after="160"/>
        <w:ind w:left="879" w:right="1985" w:hanging="879"/>
      </w:pPr>
      <w:r>
        <w:tab/>
      </w:r>
      <w:r>
        <w:tab/>
        <w:t>For the following 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 xml:space="preserve">for inspection </w:t>
      </w:r>
      <w:r>
        <w:tab/>
        <w:t xml:space="preserve"> </w:t>
      </w:r>
      <w:r>
        <w:rPr>
          <w:szCs w:val="22"/>
        </w:rPr>
        <w:t>$142.23</w:t>
      </w:r>
      <w:r>
        <w:t>/hour</w:t>
      </w:r>
    </w:p>
    <w:p>
      <w:pPr>
        <w:pStyle w:val="yMiscellaneousBody"/>
        <w:tabs>
          <w:tab w:val="left" w:pos="1134"/>
          <w:tab w:val="left" w:pos="1560"/>
          <w:tab w:val="right" w:leader="dot" w:pos="6804"/>
        </w:tabs>
        <w:spacing w:before="80"/>
        <w:ind w:left="1559" w:right="1985" w:hanging="1559"/>
      </w:pPr>
      <w:r>
        <w:tab/>
        <w:t>(b)</w:t>
      </w:r>
      <w:r>
        <w:tab/>
        <w:t xml:space="preserve">for a meter reading </w:t>
      </w:r>
      <w:r>
        <w:tab/>
        <w:t xml:space="preserve"> </w:t>
      </w:r>
      <w:r>
        <w:rPr>
          <w:szCs w:val="22"/>
        </w:rPr>
        <w:t>$25.96</w:t>
      </w:r>
    </w:p>
    <w:p>
      <w:pPr>
        <w:pStyle w:val="yMiscellaneousBody"/>
        <w:tabs>
          <w:tab w:val="left" w:pos="1134"/>
          <w:tab w:val="left" w:pos="1560"/>
          <w:tab w:val="right" w:leader="dot" w:pos="6804"/>
        </w:tabs>
        <w:spacing w:before="80"/>
        <w:ind w:left="1559" w:right="1985" w:hanging="1559"/>
      </w:pPr>
      <w:r>
        <w:tab/>
        <w:t>(c)</w:t>
      </w:r>
      <w:r>
        <w:tab/>
        <w:t xml:space="preserve">for a grab sample </w:t>
      </w:r>
      <w:r>
        <w:tab/>
        <w:t xml:space="preserve"> </w:t>
      </w:r>
      <w:r>
        <w:rPr>
          <w:szCs w:val="22"/>
        </w:rPr>
        <w:t>$301.95</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w:t>
      </w:r>
      <w:r>
        <w:rPr>
          <w:szCs w:val="22"/>
        </w:rPr>
        <w:t>$709.61</w:t>
      </w:r>
    </w:p>
    <w:p>
      <w:pPr>
        <w:pStyle w:val="yHeading5"/>
        <w:tabs>
          <w:tab w:val="clear" w:pos="879"/>
        </w:tabs>
        <w:ind w:left="851" w:hanging="851"/>
      </w:pPr>
      <w:bookmarkStart w:id="521" w:name="_Toc453243698"/>
      <w:bookmarkStart w:id="522" w:name="_Toc455404263"/>
      <w:r>
        <w:rPr>
          <w:rStyle w:val="CharSClsNo"/>
        </w:rPr>
        <w:t>13</w:t>
      </w:r>
      <w:r>
        <w:t>.</w:t>
      </w:r>
      <w:r>
        <w:tab/>
        <w:t>Trade waste: ad hoc services</w:t>
      </w:r>
      <w:bookmarkEnd w:id="521"/>
      <w:bookmarkEnd w:id="522"/>
    </w:p>
    <w:p>
      <w:pPr>
        <w:pStyle w:val="yMiscellaneousBody"/>
        <w:tabs>
          <w:tab w:val="left" w:pos="284"/>
          <w:tab w:val="right" w:leader="dot" w:pos="6804"/>
        </w:tabs>
        <w:ind w:left="879" w:right="1985" w:hanging="879"/>
      </w:pPr>
      <w:r>
        <w:tab/>
        <w:t>(1)</w:t>
      </w:r>
      <w:r>
        <w:tab/>
        <w:t xml:space="preserve">In this item — </w:t>
      </w:r>
    </w:p>
    <w:p>
      <w:pPr>
        <w:pStyle w:val="yDefstart"/>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MiscellaneousBody"/>
        <w:tabs>
          <w:tab w:val="left" w:pos="284"/>
          <w:tab w:val="right" w:leader="dot" w:pos="6804"/>
        </w:tabs>
        <w:ind w:left="879" w:right="1985" w:hanging="879"/>
      </w:pPr>
      <w:r>
        <w:tab/>
        <w:t>(2)</w:t>
      </w:r>
      <w:r>
        <w:tab/>
        <w:t>For the following unscheduled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for assessing an application to</w:t>
      </w:r>
      <w:r>
        <w:br/>
        <w:t xml:space="preserve">discharge </w:t>
      </w:r>
      <w:r>
        <w:tab/>
        <w:t xml:space="preserve"> </w:t>
      </w:r>
      <w:r>
        <w:rPr>
          <w:szCs w:val="22"/>
        </w:rPr>
        <w:t>$129.34</w:t>
      </w:r>
      <w:r>
        <w:t>/hour</w:t>
      </w:r>
    </w:p>
    <w:p>
      <w:pPr>
        <w:pStyle w:val="yMiscellaneousBody"/>
        <w:tabs>
          <w:tab w:val="left" w:pos="1134"/>
          <w:tab w:val="left" w:pos="1560"/>
          <w:tab w:val="right" w:leader="dot" w:pos="6804"/>
        </w:tabs>
        <w:spacing w:before="80"/>
        <w:ind w:left="1559" w:right="1985" w:hanging="1559"/>
        <w:rPr>
          <w:szCs w:val="22"/>
        </w:rPr>
      </w:pPr>
      <w:r>
        <w:tab/>
        <w:t>(b)</w:t>
      </w:r>
      <w:r>
        <w:tab/>
        <w:t xml:space="preserve">for a product evaluation </w:t>
      </w:r>
      <w:r>
        <w:tab/>
        <w:t xml:space="preserve"> $142.23/hour</w:t>
      </w:r>
    </w:p>
    <w:p>
      <w:pPr>
        <w:pStyle w:val="yMiscellaneousBody"/>
        <w:tabs>
          <w:tab w:val="left" w:pos="1134"/>
          <w:tab w:val="left" w:pos="1560"/>
          <w:tab w:val="right" w:leader="dot" w:pos="6804"/>
        </w:tabs>
        <w:spacing w:before="80"/>
        <w:ind w:left="1559" w:right="1985" w:hanging="1559"/>
      </w:pPr>
      <w:r>
        <w:tab/>
        <w:t>(c)</w:t>
      </w:r>
      <w:r>
        <w:tab/>
        <w:t xml:space="preserve">for a grab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Heading5"/>
        <w:tabs>
          <w:tab w:val="clear" w:pos="879"/>
        </w:tabs>
        <w:ind w:left="851" w:hanging="851"/>
      </w:pPr>
      <w:bookmarkStart w:id="523" w:name="_Toc453243699"/>
      <w:bookmarkStart w:id="524" w:name="_Toc455404264"/>
      <w:r>
        <w:rPr>
          <w:rStyle w:val="CharSClsNo"/>
        </w:rPr>
        <w:t>14</w:t>
      </w:r>
      <w:r>
        <w:t>.</w:t>
      </w:r>
      <w:r>
        <w:tab/>
        <w:t>Trade waste: one</w:t>
      </w:r>
      <w:r>
        <w:noBreakHyphen/>
        <w:t>off discharge services</w:t>
      </w:r>
      <w:bookmarkEnd w:id="523"/>
      <w:bookmarkEnd w:id="524"/>
    </w:p>
    <w:p>
      <w:pPr>
        <w:pStyle w:val="yMiscellaneousBody"/>
        <w:tabs>
          <w:tab w:val="left" w:pos="284"/>
          <w:tab w:val="right" w:leader="dot" w:pos="6804"/>
        </w:tabs>
        <w:spacing w:after="160"/>
        <w:ind w:left="879" w:right="1985" w:hanging="879"/>
      </w:pPr>
      <w:r>
        <w:tab/>
      </w:r>
      <w:r>
        <w:tab/>
        <w:t>For a one</w:t>
      </w:r>
      <w:r>
        <w:noBreakHyphen/>
        <w:t xml:space="preserve">off discharge of trade waste into a sewer of the Water Corporation, the charge is </w:t>
      </w:r>
      <w:r>
        <w:tab/>
        <w:t xml:space="preserve"> </w:t>
      </w:r>
      <w:r>
        <w:rPr>
          <w:szCs w:val="22"/>
        </w:rPr>
        <w:t>$129.34</w:t>
      </w:r>
      <w:r>
        <w:t>/hour</w:t>
      </w:r>
    </w:p>
    <w:p>
      <w:pPr>
        <w:pStyle w:val="yHeading5"/>
        <w:tabs>
          <w:tab w:val="clear" w:pos="879"/>
        </w:tabs>
        <w:ind w:left="851" w:hanging="851"/>
      </w:pPr>
      <w:bookmarkStart w:id="525" w:name="_Toc453243700"/>
      <w:bookmarkStart w:id="526" w:name="_Toc455404265"/>
      <w:r>
        <w:rPr>
          <w:rStyle w:val="CharSClsNo"/>
        </w:rPr>
        <w:t>15</w:t>
      </w:r>
      <w:r>
        <w:t>.</w:t>
      </w:r>
      <w:r>
        <w:tab/>
        <w:t>Meter reading and other information</w:t>
      </w:r>
      <w:bookmarkEnd w:id="525"/>
      <w:bookmarkEnd w:id="526"/>
    </w:p>
    <w:p>
      <w:pPr>
        <w:pStyle w:val="yMiscellaneousBody"/>
        <w:tabs>
          <w:tab w:val="left" w:pos="284"/>
          <w:tab w:val="right" w:leader="dot" w:pos="6804"/>
        </w:tabs>
        <w:ind w:left="879" w:right="1985" w:hanging="879"/>
      </w:pPr>
      <w:r>
        <w:tab/>
      </w:r>
      <w:r>
        <w:tab/>
        <w:t xml:space="preserve">For — </w:t>
      </w:r>
    </w:p>
    <w:p>
      <w:pPr>
        <w:pStyle w:val="yMiscellaneousBody"/>
        <w:tabs>
          <w:tab w:val="left" w:pos="1134"/>
          <w:tab w:val="left" w:pos="1560"/>
          <w:tab w:val="right" w:leader="dot" w:pos="6804"/>
        </w:tabs>
        <w:spacing w:before="80"/>
        <w:ind w:left="1559" w:right="1985" w:hanging="1559"/>
      </w:pPr>
      <w:r>
        <w:tab/>
        <w:t>(a)</w:t>
      </w:r>
      <w:r>
        <w:tab/>
        <w:t xml:space="preserve">a meter reading, the charge is </w:t>
      </w:r>
      <w:r>
        <w:tab/>
        <w:t xml:space="preserve"> $16.78</w:t>
      </w:r>
    </w:p>
    <w:p>
      <w:pPr>
        <w:pStyle w:val="yMiscellaneousBody"/>
        <w:tabs>
          <w:tab w:val="left" w:pos="1134"/>
          <w:tab w:val="left" w:pos="1560"/>
          <w:tab w:val="right" w:leader="dot" w:pos="6804"/>
        </w:tabs>
        <w:spacing w:before="80"/>
        <w:ind w:left="1559" w:right="1985" w:hanging="1559"/>
      </w:pPr>
      <w:r>
        <w:tab/>
        <w:t>(b)</w:t>
      </w:r>
      <w:r>
        <w:tab/>
        <w:t xml:space="preserve">an urgent meter reading, the charge is </w:t>
      </w:r>
      <w:r>
        <w:tab/>
        <w:t xml:space="preserve"> </w:t>
      </w:r>
      <w:r>
        <w:rPr>
          <w:szCs w:val="22"/>
        </w:rPr>
        <w:t>$56.37</w:t>
      </w:r>
    </w:p>
    <w:p>
      <w:pPr>
        <w:pStyle w:val="yMiscellaneousBody"/>
        <w:tabs>
          <w:tab w:val="left" w:pos="1134"/>
          <w:tab w:val="left" w:pos="1560"/>
          <w:tab w:val="right" w:leader="dot" w:pos="6804"/>
        </w:tabs>
        <w:spacing w:before="80"/>
        <w:ind w:left="1559" w:right="1985" w:hanging="1559"/>
      </w:pPr>
      <w:r>
        <w:tab/>
        <w:t>(c)</w:t>
      </w:r>
      <w:r>
        <w:tab/>
        <w:t xml:space="preserve">the provision of information in relation to water services in respect of land (request lodged electronically) and a meter reading, the charge is </w:t>
      </w:r>
      <w:r>
        <w:tab/>
        <w:t xml:space="preserve"> </w:t>
      </w:r>
      <w:r>
        <w:rPr>
          <w:szCs w:val="22"/>
        </w:rPr>
        <w:t>$44.55</w:t>
      </w:r>
    </w:p>
    <w:p>
      <w:pPr>
        <w:pStyle w:val="yMiscellaneousBody"/>
        <w:tabs>
          <w:tab w:val="left" w:pos="1134"/>
          <w:tab w:val="left" w:pos="1560"/>
          <w:tab w:val="right" w:leader="dot" w:pos="6804"/>
        </w:tabs>
        <w:spacing w:before="80"/>
        <w:ind w:left="1559" w:right="1985" w:hanging="1559"/>
      </w:pPr>
      <w:r>
        <w:tab/>
        <w:t>(d)</w:t>
      </w:r>
      <w:r>
        <w:tab/>
        <w:t xml:space="preserve">the provision of information in relation to water services in respect of land (request lodged electronically) and an urgent meter reading, the charge is </w:t>
      </w:r>
      <w:r>
        <w:tab/>
        <w:t xml:space="preserve"> </w:t>
      </w:r>
      <w:r>
        <w:rPr>
          <w:szCs w:val="22"/>
        </w:rPr>
        <w:t>$84.04</w:t>
      </w:r>
    </w:p>
    <w:p>
      <w:pPr>
        <w:pStyle w:val="yMiscellaneousBody"/>
        <w:tabs>
          <w:tab w:val="left" w:pos="1134"/>
          <w:tab w:val="left" w:pos="1560"/>
          <w:tab w:val="right" w:leader="dot" w:pos="6804"/>
        </w:tabs>
        <w:spacing w:before="80"/>
        <w:ind w:left="1559" w:right="1985" w:hanging="1559"/>
      </w:pPr>
      <w:r>
        <w:tab/>
        <w:t>(e)</w:t>
      </w:r>
      <w:r>
        <w:tab/>
        <w:t xml:space="preserve">the provision of information in relation to water services in respect of land (request not lodged electronically) and a meter reading, the charge is </w:t>
      </w:r>
      <w:r>
        <w:tab/>
        <w:t xml:space="preserve"> </w:t>
      </w:r>
      <w:r>
        <w:rPr>
          <w:szCs w:val="22"/>
        </w:rPr>
        <w:t>$76.44</w:t>
      </w:r>
    </w:p>
    <w:p>
      <w:pPr>
        <w:pStyle w:val="yMiscellaneousBody"/>
        <w:tabs>
          <w:tab w:val="left" w:pos="1134"/>
          <w:tab w:val="left" w:pos="1560"/>
          <w:tab w:val="right" w:leader="dot" w:pos="6804"/>
        </w:tabs>
        <w:spacing w:before="80"/>
        <w:ind w:left="1559" w:right="1985" w:hanging="1559"/>
      </w:pPr>
      <w:r>
        <w:tab/>
        <w:t>(f)</w:t>
      </w:r>
      <w:r>
        <w:tab/>
        <w:t xml:space="preserve">the provision of information in relation to water services in respect of land (request not lodged electronically) and an urgent meter reading, the charge is </w:t>
      </w:r>
      <w:r>
        <w:tab/>
        <w:t xml:space="preserve"> </w:t>
      </w:r>
      <w:r>
        <w:rPr>
          <w:szCs w:val="22"/>
        </w:rPr>
        <w:t>$115.61</w:t>
      </w:r>
    </w:p>
    <w:p>
      <w:pPr>
        <w:pStyle w:val="yMiscellaneousBody"/>
        <w:tabs>
          <w:tab w:val="left" w:pos="1134"/>
          <w:tab w:val="left" w:pos="1560"/>
          <w:tab w:val="right" w:leader="dot" w:pos="6804"/>
        </w:tabs>
        <w:spacing w:before="80"/>
        <w:ind w:left="1559" w:right="1985" w:hanging="1559"/>
      </w:pPr>
      <w:r>
        <w:tab/>
        <w:t>(g)</w:t>
      </w:r>
      <w:r>
        <w:tab/>
        <w:t xml:space="preserve">the provision of information not covered by paragraphs (a) to (f), involving research or investigation of more than 15 minutes, the charge is </w:t>
      </w:r>
      <w:r>
        <w:tab/>
        <w:t xml:space="preserve"> </w:t>
      </w:r>
      <w:r>
        <w:rPr>
          <w:szCs w:val="22"/>
        </w:rPr>
        <w:t>$84.46/hour</w:t>
      </w:r>
    </w:p>
    <w:p>
      <w:pPr>
        <w:pStyle w:val="yMiscellaneousBody"/>
        <w:tabs>
          <w:tab w:val="right" w:pos="6804"/>
        </w:tabs>
        <w:spacing w:before="0"/>
        <w:ind w:left="1134" w:right="2268" w:hanging="879"/>
      </w:pPr>
      <w:r>
        <w:rPr>
          <w:szCs w:val="22"/>
        </w:rPr>
        <w:tab/>
      </w:r>
      <w:r>
        <w:rPr>
          <w:szCs w:val="22"/>
        </w:rPr>
        <w:tab/>
        <w:t xml:space="preserve">or </w:t>
      </w:r>
      <w:r>
        <w:t>part</w:t>
      </w:r>
      <w:r>
        <w:rPr>
          <w:szCs w:val="22"/>
        </w:rPr>
        <w:t xml:space="preserve"> hour</w:t>
      </w:r>
    </w:p>
    <w:p>
      <w:pPr>
        <w:pStyle w:val="yHeading5"/>
        <w:tabs>
          <w:tab w:val="clear" w:pos="879"/>
        </w:tabs>
        <w:ind w:left="851" w:hanging="851"/>
      </w:pPr>
      <w:bookmarkStart w:id="527" w:name="_Toc453243701"/>
      <w:bookmarkStart w:id="528" w:name="_Toc455404266"/>
      <w:r>
        <w:rPr>
          <w:rStyle w:val="CharSClsNo"/>
        </w:rPr>
        <w:t>16</w:t>
      </w:r>
      <w:r>
        <w:t>.</w:t>
      </w:r>
      <w:r>
        <w:tab/>
        <w:t>Plans and diagrams of property sewer connections or sewerage works</w:t>
      </w:r>
      <w:bookmarkEnd w:id="527"/>
      <w:bookmarkEnd w:id="528"/>
    </w:p>
    <w:p>
      <w:pPr>
        <w:pStyle w:val="yMiscellaneousBody"/>
        <w:tabs>
          <w:tab w:val="left" w:pos="284"/>
          <w:tab w:val="right" w:leader="dot" w:pos="6804"/>
        </w:tabs>
        <w:ind w:left="879" w:right="1985" w:hanging="879"/>
      </w:pPr>
      <w:r>
        <w:tab/>
        <w:t>(1)</w:t>
      </w:r>
      <w:r>
        <w:tab/>
        <w:t xml:space="preserve">For — </w:t>
      </w:r>
    </w:p>
    <w:p>
      <w:pPr>
        <w:pStyle w:val="yMiscellaneousBody"/>
        <w:tabs>
          <w:tab w:val="left" w:pos="1134"/>
          <w:tab w:val="left" w:pos="1560"/>
          <w:tab w:val="right" w:leader="dot" w:pos="6804"/>
        </w:tabs>
        <w:spacing w:before="80"/>
        <w:ind w:left="1559" w:right="1985" w:hanging="1559"/>
      </w:pPr>
      <w:r>
        <w:tab/>
        <w:t>(a)</w:t>
      </w:r>
      <w:r>
        <w:tab/>
        <w:t xml:space="preserve">the supply, in hard copy form, of a copy of, or extract from, records or plans of mains, sewers, drains and other works of the Water Corporation (including where reduced to A4 size), the charge is </w:t>
      </w:r>
      <w:r>
        <w:tab/>
        <w:t xml:space="preserve"> $17.27</w:t>
      </w:r>
    </w:p>
    <w:p>
      <w:pPr>
        <w:pStyle w:val="yMiscellaneousBody"/>
        <w:tabs>
          <w:tab w:val="left" w:pos="1134"/>
          <w:tab w:val="left" w:pos="1560"/>
          <w:tab w:val="right" w:leader="dot" w:pos="6804"/>
        </w:tabs>
        <w:spacing w:before="80"/>
        <w:ind w:left="1559" w:right="1985" w:hanging="1559"/>
        <w:rPr>
          <w:szCs w:val="22"/>
        </w:rPr>
      </w:pPr>
      <w:r>
        <w:tab/>
        <w:t>(b)</w:t>
      </w:r>
      <w:r>
        <w:tab/>
        <w:t xml:space="preserve">a property sewer connection diagram in hard copy form (per A4 copy), the charge is </w:t>
      </w:r>
      <w:r>
        <w:tab/>
        <w:t xml:space="preserve"> </w:t>
      </w:r>
      <w:r>
        <w:rPr>
          <w:szCs w:val="22"/>
        </w:rPr>
        <w:t>$17.27</w:t>
      </w:r>
    </w:p>
    <w:p>
      <w:pPr>
        <w:pStyle w:val="yMiscellaneousBody"/>
        <w:tabs>
          <w:tab w:val="left" w:pos="1134"/>
          <w:tab w:val="left" w:pos="1560"/>
          <w:tab w:val="right" w:leader="dot" w:pos="6804"/>
        </w:tabs>
        <w:spacing w:before="80"/>
        <w:ind w:left="1559" w:right="1985" w:hanging="1559"/>
        <w:rPr>
          <w:szCs w:val="22"/>
        </w:rPr>
      </w:pPr>
      <w:r>
        <w:tab/>
        <w:t>(c)</w:t>
      </w:r>
      <w:r>
        <w:tab/>
        <w:t xml:space="preserve">an electronic plan of sewerage works of the Water Corporation for a property, the charge is </w:t>
      </w:r>
      <w:r>
        <w:tab/>
        <w:t xml:space="preserve"> </w:t>
      </w:r>
      <w:r>
        <w:rPr>
          <w:szCs w:val="22"/>
        </w:rPr>
        <w:t>$17.93</w:t>
      </w:r>
    </w:p>
    <w:p>
      <w:pPr>
        <w:pStyle w:val="yMiscellaneousBody"/>
        <w:tabs>
          <w:tab w:val="left" w:pos="284"/>
          <w:tab w:val="right" w:leader="dot" w:pos="6804"/>
        </w:tabs>
        <w:ind w:left="879" w:right="1985" w:hanging="879"/>
      </w:pPr>
      <w:r>
        <w:tab/>
        <w:t>(2)</w:t>
      </w:r>
      <w:r>
        <w:tab/>
        <w:t xml:space="preserve">This item does not apply to the provision of plans of drainage plumbing covered by the </w:t>
      </w:r>
      <w:r>
        <w:rPr>
          <w:i/>
        </w:rPr>
        <w:t>Water Services Regulations 2013</w:t>
      </w:r>
      <w:r>
        <w:t xml:space="preserve"> regulation 53.</w:t>
      </w:r>
    </w:p>
    <w:p>
      <w:pPr>
        <w:pStyle w:val="yHeading5"/>
        <w:tabs>
          <w:tab w:val="clear" w:pos="879"/>
        </w:tabs>
        <w:ind w:left="851" w:hanging="851"/>
      </w:pPr>
      <w:bookmarkStart w:id="529" w:name="_Toc453243702"/>
      <w:bookmarkStart w:id="530" w:name="_Toc455404267"/>
      <w:r>
        <w:rPr>
          <w:rStyle w:val="CharSClsNo"/>
        </w:rPr>
        <w:t>17</w:t>
      </w:r>
      <w:r>
        <w:t>.</w:t>
      </w:r>
      <w:r>
        <w:tab/>
        <w:t>Copies of records</w:t>
      </w:r>
      <w:bookmarkEnd w:id="529"/>
      <w:bookmarkEnd w:id="530"/>
    </w:p>
    <w:p>
      <w:pPr>
        <w:pStyle w:val="yMiscellaneousBody"/>
        <w:tabs>
          <w:tab w:val="left" w:pos="284"/>
          <w:tab w:val="right" w:leader="dot" w:pos="6804"/>
        </w:tabs>
        <w:ind w:left="879" w:right="1985" w:hanging="879"/>
      </w:pPr>
      <w:r>
        <w:tab/>
      </w:r>
      <w:r>
        <w:tab/>
        <w:t xml:space="preserve">For a copy of records under the </w:t>
      </w:r>
      <w:r>
        <w:rPr>
          <w:i/>
        </w:rPr>
        <w:t>Water Services Regulations 2013</w:t>
      </w:r>
      <w:r>
        <w:t xml:space="preserve"> regulation 65(4)(b), the charge is </w:t>
      </w:r>
      <w:r>
        <w:tab/>
        <w:t xml:space="preserve"> </w:t>
      </w:r>
      <w:r>
        <w:rPr>
          <w:szCs w:val="22"/>
        </w:rPr>
        <w:t>$17.27</w:t>
      </w:r>
    </w:p>
    <w:p>
      <w:pPr>
        <w:pStyle w:val="yFootnotesection"/>
      </w:pPr>
      <w:r>
        <w:tab/>
        <w:t>[Schedule 7 inserted in Gazette 27 Jun 2016 p. 2590</w:t>
      </w:r>
      <w:r>
        <w:noBreakHyphen/>
        <w:t>7.]</w:t>
      </w:r>
    </w:p>
    <w:p>
      <w:pPr>
        <w:sectPr>
          <w:pgSz w:w="11907" w:h="16840" w:code="9"/>
          <w:pgMar w:top="2381" w:right="2410" w:bottom="3544" w:left="2410" w:header="720" w:footer="3380" w:gutter="0"/>
          <w:cols w:space="720"/>
          <w:docGrid w:linePitch="326"/>
        </w:sectPr>
      </w:pPr>
    </w:p>
    <w:p>
      <w:pPr>
        <w:pStyle w:val="yScheduleHeading"/>
      </w:pPr>
      <w:bookmarkStart w:id="531" w:name="_Toc455155377"/>
      <w:bookmarkStart w:id="532" w:name="_Toc455404268"/>
      <w:r>
        <w:rPr>
          <w:rStyle w:val="CharSchNo"/>
        </w:rPr>
        <w:t>Schedule 8</w:t>
      </w:r>
      <w:r>
        <w:rPr>
          <w:rStyle w:val="CharSDivNo"/>
        </w:rPr>
        <w:t> </w:t>
      </w:r>
      <w:r>
        <w:t>—</w:t>
      </w:r>
      <w:r>
        <w:rPr>
          <w:rStyle w:val="CharSDivText"/>
        </w:rPr>
        <w:t> </w:t>
      </w:r>
      <w:r>
        <w:rPr>
          <w:rStyle w:val="CharSchText"/>
        </w:rPr>
        <w:t>Government trading organisations</w:t>
      </w:r>
      <w:bookmarkEnd w:id="531"/>
      <w:bookmarkEnd w:id="532"/>
    </w:p>
    <w:p>
      <w:pPr>
        <w:pStyle w:val="yShoulderClause"/>
      </w:pPr>
      <w:r>
        <w:t>[r. 16(1)]</w:t>
      </w:r>
    </w:p>
    <w:p>
      <w:pPr>
        <w:pStyle w:val="yMiscellaneousHeading"/>
        <w:rPr>
          <w:b/>
          <w:bCs/>
          <w:snapToGrid w:val="0"/>
        </w:rPr>
      </w:pPr>
      <w:r>
        <w:rPr>
          <w:b/>
          <w:bCs/>
          <w:snapToGrid w:val="0"/>
        </w:rPr>
        <w:t>Government trading organisations</w:t>
      </w:r>
    </w:p>
    <w:p>
      <w:pPr>
        <w:pStyle w:val="yEdnotesubsection"/>
      </w:pPr>
      <w:r>
        <w:t>[(1)-(2)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in Gazette 19 Sep 2014 p. 3345.]</w:t>
      </w:r>
    </w:p>
    <w:p>
      <w:pPr>
        <w:pStyle w:val="yFootnotesection"/>
      </w:pPr>
    </w:p>
    <w:p>
      <w:pPr>
        <w:pStyle w:val="yFootnotesection"/>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yScheduleHeading"/>
      </w:pPr>
      <w:bookmarkStart w:id="533" w:name="_Toc455155378"/>
      <w:bookmarkStart w:id="534" w:name="_Toc455404269"/>
      <w:r>
        <w:rPr>
          <w:rStyle w:val="CharSchNo"/>
        </w:rPr>
        <w:t>Schedule 9</w:t>
      </w:r>
      <w:r>
        <w:rPr>
          <w:rStyle w:val="CharSDivNo"/>
        </w:rPr>
        <w:t> </w:t>
      </w:r>
      <w:r>
        <w:t>—</w:t>
      </w:r>
      <w:r>
        <w:rPr>
          <w:rStyle w:val="CharSDivText"/>
        </w:rPr>
        <w:t> </w:t>
      </w:r>
      <w:r>
        <w:rPr>
          <w:rStyle w:val="CharSchText"/>
        </w:rPr>
        <w:t>Central business districts</w:t>
      </w:r>
      <w:bookmarkEnd w:id="533"/>
      <w:bookmarkEnd w:id="534"/>
    </w:p>
    <w:p>
      <w:pPr>
        <w:pStyle w:val="yShoulderClause"/>
      </w:pPr>
      <w:r>
        <w:t>[r. 16(1)]</w:t>
      </w:r>
    </w:p>
    <w:p>
      <w:pPr>
        <w:pStyle w:val="yHeading5"/>
      </w:pPr>
      <w:bookmarkStart w:id="535" w:name="_Toc455404270"/>
      <w:r>
        <w:rPr>
          <w:rStyle w:val="CharSClsNo"/>
        </w:rPr>
        <w:t>1</w:t>
      </w:r>
      <w:r>
        <w:t>.</w:t>
      </w:r>
      <w:r>
        <w:tab/>
        <w:t>Central business districts</w:t>
      </w:r>
      <w:bookmarkEnd w:id="535"/>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yScheduleHeading"/>
      </w:pPr>
      <w:bookmarkStart w:id="536" w:name="_Toc453239650"/>
      <w:bookmarkStart w:id="537" w:name="_Toc453239821"/>
      <w:bookmarkStart w:id="538" w:name="_Toc453239998"/>
      <w:bookmarkStart w:id="539" w:name="_Toc453240211"/>
      <w:bookmarkStart w:id="540" w:name="_Toc453243704"/>
      <w:bookmarkStart w:id="541" w:name="_Toc455155380"/>
      <w:bookmarkStart w:id="542" w:name="_Toc455404271"/>
      <w:r>
        <w:rPr>
          <w:rStyle w:val="CharSchNo"/>
        </w:rPr>
        <w:t>Schedule 10</w:t>
      </w:r>
      <w:r>
        <w:t> — </w:t>
      </w:r>
      <w:r>
        <w:rPr>
          <w:rStyle w:val="CharSchText"/>
        </w:rPr>
        <w:t>Class of town or area: current consumption year</w:t>
      </w:r>
      <w:bookmarkEnd w:id="536"/>
      <w:bookmarkEnd w:id="537"/>
      <w:bookmarkEnd w:id="538"/>
      <w:bookmarkEnd w:id="539"/>
      <w:bookmarkEnd w:id="540"/>
      <w:bookmarkEnd w:id="541"/>
      <w:bookmarkEnd w:id="542"/>
    </w:p>
    <w:p>
      <w:pPr>
        <w:pStyle w:val="yShoulderClause"/>
        <w:spacing w:after="60"/>
        <w:ind w:right="151"/>
      </w:pPr>
      <w:r>
        <w:t>[Sch. 3 it. 24]</w:t>
      </w:r>
    </w:p>
    <w:p>
      <w:pPr>
        <w:pStyle w:val="yFootnoteheading"/>
        <w:spacing w:after="120"/>
      </w:pPr>
      <w:r>
        <w:tab/>
        <w:t>[Heading inserted in Gazette 27 Jun 2016 p. 2597.]</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984"/>
        <w:gridCol w:w="1843"/>
      </w:tblGrid>
      <w:tr>
        <w:trPr>
          <w:tblHeader/>
        </w:trPr>
        <w:tc>
          <w:tcPr>
            <w:tcW w:w="2977" w:type="dxa"/>
            <w:tcBorders>
              <w:top w:val="single" w:sz="4" w:space="0" w:color="auto"/>
              <w:bottom w:val="single" w:sz="4" w:space="0" w:color="auto"/>
            </w:tcBorders>
          </w:tcPr>
          <w:p>
            <w:pPr>
              <w:pStyle w:val="yTableNAm"/>
            </w:pPr>
            <w:r>
              <w:rPr>
                <w:b/>
                <w:szCs w:val="22"/>
              </w:rPr>
              <w:t>Town/area</w:t>
            </w:r>
          </w:p>
        </w:tc>
        <w:tc>
          <w:tcPr>
            <w:tcW w:w="1984" w:type="dxa"/>
            <w:tcBorders>
              <w:top w:val="single" w:sz="4" w:space="0" w:color="auto"/>
              <w:bottom w:val="single" w:sz="4" w:space="0" w:color="auto"/>
            </w:tcBorders>
            <w:vAlign w:val="center"/>
          </w:tcPr>
          <w:p>
            <w:pPr>
              <w:pStyle w:val="yTableNAm"/>
              <w:jc w:val="center"/>
            </w:pPr>
            <w:r>
              <w:rPr>
                <w:b/>
                <w:szCs w:val="22"/>
              </w:rPr>
              <w:t>Residential classification</w:t>
            </w:r>
          </w:p>
        </w:tc>
        <w:tc>
          <w:tcPr>
            <w:tcW w:w="1843" w:type="dxa"/>
            <w:tcBorders>
              <w:top w:val="single" w:sz="4" w:space="0" w:color="auto"/>
              <w:bottom w:val="single" w:sz="4" w:space="0" w:color="auto"/>
            </w:tcBorders>
            <w:vAlign w:val="center"/>
          </w:tcPr>
          <w:p>
            <w:pPr>
              <w:pStyle w:val="yTableNAm"/>
              <w:jc w:val="center"/>
            </w:pPr>
            <w:r>
              <w:rPr>
                <w:b/>
                <w:szCs w:val="22"/>
              </w:rPr>
              <w:t>Non</w:t>
            </w:r>
            <w:r>
              <w:rPr>
                <w:b/>
                <w:szCs w:val="22"/>
              </w:rPr>
              <w:noBreakHyphen/>
              <w:t>residential classification</w:t>
            </w:r>
          </w:p>
        </w:tc>
      </w:tr>
      <w:tr>
        <w:tc>
          <w:tcPr>
            <w:tcW w:w="2977" w:type="dxa"/>
            <w:tcBorders>
              <w:top w:val="single" w:sz="4" w:space="0" w:color="auto"/>
            </w:tcBorders>
          </w:tcPr>
          <w:p>
            <w:pPr>
              <w:pStyle w:val="yTableNAm"/>
            </w:pPr>
            <w:r>
              <w:rPr>
                <w:szCs w:val="22"/>
              </w:rPr>
              <w:t>Albany</w:t>
            </w:r>
          </w:p>
        </w:tc>
        <w:tc>
          <w:tcPr>
            <w:tcW w:w="1984" w:type="dxa"/>
            <w:tcBorders>
              <w:top w:val="single" w:sz="4" w:space="0" w:color="auto"/>
            </w:tcBorders>
            <w:vAlign w:val="center"/>
          </w:tcPr>
          <w:p>
            <w:pPr>
              <w:pStyle w:val="yTableNAm"/>
              <w:jc w:val="center"/>
            </w:pPr>
            <w:r>
              <w:rPr>
                <w:szCs w:val="22"/>
              </w:rPr>
              <w:t>4</w:t>
            </w:r>
          </w:p>
        </w:tc>
        <w:tc>
          <w:tcPr>
            <w:tcW w:w="1843" w:type="dxa"/>
            <w:tcBorders>
              <w:top w:val="single" w:sz="4" w:space="0" w:color="auto"/>
            </w:tcBorders>
            <w:vAlign w:val="center"/>
          </w:tcPr>
          <w:p>
            <w:pPr>
              <w:pStyle w:val="yTableNAm"/>
              <w:jc w:val="center"/>
            </w:pPr>
            <w:r>
              <w:t>9</w:t>
            </w:r>
          </w:p>
        </w:tc>
      </w:tr>
      <w:tr>
        <w:tc>
          <w:tcPr>
            <w:tcW w:w="2977" w:type="dxa"/>
          </w:tcPr>
          <w:p>
            <w:pPr>
              <w:pStyle w:val="yTableNAm"/>
            </w:pPr>
            <w:r>
              <w:rPr>
                <w:szCs w:val="22"/>
              </w:rPr>
              <w:t>Allanooka Farmlands</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2977" w:type="dxa"/>
          </w:tcPr>
          <w:p>
            <w:pPr>
              <w:pStyle w:val="yTableNAm"/>
            </w:pPr>
            <w:r>
              <w:rPr>
                <w:szCs w:val="22"/>
              </w:rPr>
              <w:t>Allanson</w:t>
            </w:r>
          </w:p>
        </w:tc>
        <w:tc>
          <w:tcPr>
            <w:tcW w:w="1984" w:type="dxa"/>
            <w:vAlign w:val="center"/>
          </w:tcPr>
          <w:p>
            <w:pPr>
              <w:pStyle w:val="yTableNAm"/>
              <w:jc w:val="center"/>
            </w:pPr>
            <w:r>
              <w:rPr>
                <w:szCs w:val="22"/>
              </w:rPr>
              <w:t>4</w:t>
            </w:r>
          </w:p>
        </w:tc>
        <w:tc>
          <w:tcPr>
            <w:tcW w:w="1843" w:type="dxa"/>
            <w:vAlign w:val="center"/>
          </w:tcPr>
          <w:p>
            <w:pPr>
              <w:pStyle w:val="yTableNAm"/>
              <w:jc w:val="center"/>
            </w:pPr>
            <w:r>
              <w:rPr>
                <w:szCs w:val="22"/>
              </w:rPr>
              <w:t>11</w:t>
            </w:r>
          </w:p>
        </w:tc>
      </w:tr>
      <w:tr>
        <w:tc>
          <w:tcPr>
            <w:tcW w:w="2977" w:type="dxa"/>
          </w:tcPr>
          <w:p>
            <w:pPr>
              <w:pStyle w:val="yTableNAm"/>
            </w:pPr>
            <w:r>
              <w:rPr>
                <w:szCs w:val="22"/>
              </w:rPr>
              <w:t>Arrino</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Arrowsmith Farmlands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Augusta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Australind/Eaton</w:t>
            </w:r>
          </w:p>
        </w:tc>
        <w:tc>
          <w:tcPr>
            <w:tcW w:w="1984" w:type="dxa"/>
            <w:vAlign w:val="center"/>
          </w:tcPr>
          <w:p>
            <w:pPr>
              <w:pStyle w:val="yTableNAm"/>
              <w:jc w:val="center"/>
            </w:pPr>
            <w:r>
              <w:rPr>
                <w:szCs w:val="22"/>
              </w:rPr>
              <w:t>2</w:t>
            </w:r>
          </w:p>
        </w:tc>
        <w:tc>
          <w:tcPr>
            <w:tcW w:w="1843" w:type="dxa"/>
            <w:vAlign w:val="center"/>
          </w:tcPr>
          <w:p>
            <w:pPr>
              <w:pStyle w:val="yTableNAm"/>
              <w:jc w:val="center"/>
            </w:pPr>
            <w:r>
              <w:t>4</w:t>
            </w:r>
          </w:p>
        </w:tc>
      </w:tr>
      <w:tr>
        <w:tc>
          <w:tcPr>
            <w:tcW w:w="2977" w:type="dxa"/>
          </w:tcPr>
          <w:p>
            <w:pPr>
              <w:pStyle w:val="yTableNAm"/>
            </w:pPr>
            <w:r>
              <w:rPr>
                <w:szCs w:val="22"/>
              </w:rPr>
              <w:t>Badgingarra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Bakers Hill</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Balingup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Ballidu</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Beacon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Bencubbin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Beverley</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Bindi Bindi</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Bindoon/Chittering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Binningup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Bodallin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Boddington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Bolgart</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Borden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Boyanup</w:t>
            </w:r>
          </w:p>
        </w:tc>
        <w:tc>
          <w:tcPr>
            <w:tcW w:w="1984" w:type="dxa"/>
            <w:vAlign w:val="center"/>
          </w:tcPr>
          <w:p>
            <w:pPr>
              <w:pStyle w:val="yTableNAm"/>
              <w:jc w:val="center"/>
            </w:pPr>
            <w:r>
              <w:rPr>
                <w:szCs w:val="22"/>
              </w:rPr>
              <w:t>4</w:t>
            </w:r>
          </w:p>
        </w:tc>
        <w:tc>
          <w:tcPr>
            <w:tcW w:w="1843" w:type="dxa"/>
            <w:vAlign w:val="center"/>
          </w:tcPr>
          <w:p>
            <w:pPr>
              <w:pStyle w:val="yTableNAm"/>
              <w:jc w:val="center"/>
            </w:pPr>
            <w:r>
              <w:t>10</w:t>
            </w:r>
          </w:p>
        </w:tc>
      </w:tr>
      <w:tr>
        <w:tc>
          <w:tcPr>
            <w:tcW w:w="2977" w:type="dxa"/>
          </w:tcPr>
          <w:p>
            <w:pPr>
              <w:pStyle w:val="yTableNAm"/>
            </w:pPr>
            <w:r>
              <w:rPr>
                <w:szCs w:val="22"/>
              </w:rPr>
              <w:t>Boyup Brook</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Bremer Bay</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Bridgetown/Hester</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Broad Arrow</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Brookton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Broome</w:t>
            </w:r>
          </w:p>
        </w:tc>
        <w:tc>
          <w:tcPr>
            <w:tcW w:w="1984" w:type="dxa"/>
            <w:vAlign w:val="center"/>
          </w:tcPr>
          <w:p>
            <w:pPr>
              <w:pStyle w:val="yTableNAm"/>
              <w:jc w:val="center"/>
            </w:pPr>
            <w:r>
              <w:rPr>
                <w:szCs w:val="22"/>
              </w:rPr>
              <w:t>2</w:t>
            </w:r>
          </w:p>
        </w:tc>
        <w:tc>
          <w:tcPr>
            <w:tcW w:w="1843" w:type="dxa"/>
            <w:vAlign w:val="center"/>
          </w:tcPr>
          <w:p>
            <w:pPr>
              <w:pStyle w:val="yTableNAm"/>
              <w:jc w:val="center"/>
            </w:pPr>
            <w:r>
              <w:t>4</w:t>
            </w:r>
          </w:p>
        </w:tc>
      </w:tr>
      <w:tr>
        <w:tc>
          <w:tcPr>
            <w:tcW w:w="2977" w:type="dxa"/>
          </w:tcPr>
          <w:p>
            <w:pPr>
              <w:pStyle w:val="yTableNAm"/>
            </w:pPr>
            <w:r>
              <w:rPr>
                <w:szCs w:val="22"/>
              </w:rPr>
              <w:t>Broomehill</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Bruce Rock</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Brunswick/Burekup/Roelands</w:t>
            </w:r>
          </w:p>
        </w:tc>
        <w:tc>
          <w:tcPr>
            <w:tcW w:w="1984" w:type="dxa"/>
            <w:vAlign w:val="center"/>
          </w:tcPr>
          <w:p>
            <w:pPr>
              <w:pStyle w:val="yTableNAm"/>
              <w:jc w:val="center"/>
            </w:pPr>
            <w:r>
              <w:rPr>
                <w:szCs w:val="22"/>
              </w:rPr>
              <w:t>3</w:t>
            </w:r>
          </w:p>
        </w:tc>
        <w:tc>
          <w:tcPr>
            <w:tcW w:w="1843" w:type="dxa"/>
            <w:vAlign w:val="center"/>
          </w:tcPr>
          <w:p>
            <w:pPr>
              <w:pStyle w:val="yTableNAm"/>
              <w:jc w:val="center"/>
            </w:pPr>
            <w:r>
              <w:rPr>
                <w:szCs w:val="22"/>
              </w:rPr>
              <w:t>7</w:t>
            </w:r>
          </w:p>
        </w:tc>
      </w:tr>
      <w:tr>
        <w:tc>
          <w:tcPr>
            <w:tcW w:w="2977" w:type="dxa"/>
          </w:tcPr>
          <w:p>
            <w:pPr>
              <w:pStyle w:val="yTableNAm"/>
            </w:pPr>
            <w:r>
              <w:rPr>
                <w:szCs w:val="22"/>
              </w:rPr>
              <w:t>Bullaring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Bullfinch</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Bunjil</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Buntine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Burracoppin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Calingiri</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Camballin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Capel</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6</w:t>
            </w:r>
          </w:p>
        </w:tc>
      </w:tr>
      <w:tr>
        <w:tc>
          <w:tcPr>
            <w:tcW w:w="2977" w:type="dxa"/>
          </w:tcPr>
          <w:p>
            <w:pPr>
              <w:pStyle w:val="yTableNAm"/>
            </w:pPr>
            <w:r>
              <w:rPr>
                <w:szCs w:val="22"/>
              </w:rPr>
              <w:t>Carnamah</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Carnarvon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Caron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Cervantes</w:t>
            </w:r>
          </w:p>
        </w:tc>
        <w:tc>
          <w:tcPr>
            <w:tcW w:w="1984" w:type="dxa"/>
            <w:vAlign w:val="center"/>
          </w:tcPr>
          <w:p>
            <w:pPr>
              <w:pStyle w:val="yTableNAm"/>
              <w:jc w:val="center"/>
            </w:pPr>
            <w:r>
              <w:rPr>
                <w:szCs w:val="22"/>
              </w:rPr>
              <w:t>5</w:t>
            </w:r>
          </w:p>
        </w:tc>
        <w:tc>
          <w:tcPr>
            <w:tcW w:w="1843" w:type="dxa"/>
            <w:vAlign w:val="center"/>
          </w:tcPr>
          <w:p>
            <w:pPr>
              <w:pStyle w:val="yTableNAm"/>
              <w:jc w:val="center"/>
            </w:pPr>
            <w:r>
              <w:t>10</w:t>
            </w:r>
          </w:p>
        </w:tc>
      </w:tr>
      <w:tr>
        <w:tc>
          <w:tcPr>
            <w:tcW w:w="2977" w:type="dxa"/>
          </w:tcPr>
          <w:p>
            <w:pPr>
              <w:pStyle w:val="yTableNAm"/>
            </w:pPr>
            <w:r>
              <w:rPr>
                <w:szCs w:val="22"/>
              </w:rPr>
              <w:t>Collie</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6</w:t>
            </w:r>
          </w:p>
        </w:tc>
      </w:tr>
      <w:tr>
        <w:tc>
          <w:tcPr>
            <w:tcW w:w="2977" w:type="dxa"/>
          </w:tcPr>
          <w:p>
            <w:pPr>
              <w:pStyle w:val="yTableNAm"/>
            </w:pPr>
            <w:r>
              <w:rPr>
                <w:szCs w:val="22"/>
              </w:rPr>
              <w:t>Collie Farmlands</w:t>
            </w:r>
          </w:p>
        </w:tc>
        <w:tc>
          <w:tcPr>
            <w:tcW w:w="1984" w:type="dxa"/>
            <w:vAlign w:val="center"/>
          </w:tcPr>
          <w:p>
            <w:pPr>
              <w:pStyle w:val="yTableNAm"/>
              <w:jc w:val="center"/>
            </w:pPr>
            <w:r>
              <w:rPr>
                <w:szCs w:val="22"/>
              </w:rPr>
              <w:t>1</w:t>
            </w:r>
          </w:p>
        </w:tc>
        <w:tc>
          <w:tcPr>
            <w:tcW w:w="1843" w:type="dxa"/>
            <w:vAlign w:val="center"/>
          </w:tcPr>
          <w:p>
            <w:pPr>
              <w:pStyle w:val="yTableNAm"/>
              <w:jc w:val="center"/>
            </w:pPr>
            <w:r>
              <w:rPr>
                <w:szCs w:val="22"/>
              </w:rPr>
              <w:t>1</w:t>
            </w:r>
          </w:p>
        </w:tc>
      </w:tr>
      <w:tr>
        <w:tc>
          <w:tcPr>
            <w:tcW w:w="2977" w:type="dxa"/>
          </w:tcPr>
          <w:p>
            <w:pPr>
              <w:pStyle w:val="yTableNAm"/>
            </w:pPr>
            <w:r>
              <w:rPr>
                <w:szCs w:val="22"/>
              </w:rPr>
              <w:t>Condingup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Coolgardie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Coomberdale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Coorow</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Coral Bay</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N/A</w:t>
            </w:r>
          </w:p>
        </w:tc>
      </w:tr>
      <w:tr>
        <w:tc>
          <w:tcPr>
            <w:tcW w:w="2977" w:type="dxa"/>
          </w:tcPr>
          <w:p>
            <w:pPr>
              <w:pStyle w:val="yTableNAm"/>
            </w:pPr>
            <w:r>
              <w:rPr>
                <w:szCs w:val="22"/>
              </w:rPr>
              <w:t>Corrigin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Cowaramup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Cranbrook</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Cuballing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Cue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Cunderdin</w:t>
            </w:r>
          </w:p>
        </w:tc>
        <w:tc>
          <w:tcPr>
            <w:tcW w:w="1984" w:type="dxa"/>
            <w:vAlign w:val="center"/>
          </w:tcPr>
          <w:p>
            <w:pPr>
              <w:pStyle w:val="yTableNAm"/>
              <w:jc w:val="center"/>
            </w:pPr>
            <w:r>
              <w:rPr>
                <w:szCs w:val="22"/>
              </w:rPr>
              <w:t>5</w:t>
            </w:r>
          </w:p>
        </w:tc>
        <w:tc>
          <w:tcPr>
            <w:tcW w:w="1843" w:type="dxa"/>
            <w:vAlign w:val="center"/>
          </w:tcPr>
          <w:p>
            <w:pPr>
              <w:pStyle w:val="yTableNAm"/>
              <w:jc w:val="center"/>
            </w:pPr>
            <w:r>
              <w:t>10</w:t>
            </w:r>
          </w:p>
        </w:tc>
      </w:tr>
      <w:tr>
        <w:tc>
          <w:tcPr>
            <w:tcW w:w="2977" w:type="dxa"/>
          </w:tcPr>
          <w:p>
            <w:pPr>
              <w:pStyle w:val="yTableNAm"/>
            </w:pPr>
            <w:r>
              <w:rPr>
                <w:szCs w:val="22"/>
              </w:rPr>
              <w:t>Dalwallinu</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Dalyellup</w:t>
            </w:r>
          </w:p>
        </w:tc>
        <w:tc>
          <w:tcPr>
            <w:tcW w:w="1984" w:type="dxa"/>
            <w:vAlign w:val="center"/>
          </w:tcPr>
          <w:p>
            <w:pPr>
              <w:pStyle w:val="yTableNAm"/>
              <w:jc w:val="center"/>
            </w:pPr>
            <w:r>
              <w:rPr>
                <w:szCs w:val="22"/>
              </w:rPr>
              <w:t>3</w:t>
            </w:r>
          </w:p>
        </w:tc>
        <w:tc>
          <w:tcPr>
            <w:tcW w:w="1843" w:type="dxa"/>
            <w:vAlign w:val="center"/>
          </w:tcPr>
          <w:p>
            <w:pPr>
              <w:pStyle w:val="yTableNAm"/>
              <w:jc w:val="center"/>
            </w:pPr>
            <w:r>
              <w:rPr>
                <w:szCs w:val="22"/>
              </w:rPr>
              <w:t>4</w:t>
            </w:r>
          </w:p>
        </w:tc>
      </w:tr>
      <w:tr>
        <w:tc>
          <w:tcPr>
            <w:tcW w:w="2977" w:type="dxa"/>
          </w:tcPr>
          <w:p>
            <w:pPr>
              <w:pStyle w:val="yTableNAm"/>
            </w:pPr>
            <w:r>
              <w:rPr>
                <w:szCs w:val="22"/>
              </w:rPr>
              <w:t>Dandaragan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Dardanup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Darkan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Dathagnoorara Farmlands</w:t>
            </w:r>
          </w:p>
        </w:tc>
        <w:tc>
          <w:tcPr>
            <w:tcW w:w="1984" w:type="dxa"/>
            <w:vAlign w:val="center"/>
          </w:tcPr>
          <w:p>
            <w:pPr>
              <w:pStyle w:val="yTableNAm"/>
              <w:jc w:val="center"/>
            </w:pPr>
            <w:r>
              <w:rPr>
                <w:szCs w:val="22"/>
              </w:rPr>
              <w:t>4</w:t>
            </w:r>
          </w:p>
        </w:tc>
        <w:tc>
          <w:tcPr>
            <w:tcW w:w="1843" w:type="dxa"/>
            <w:vAlign w:val="center"/>
          </w:tcPr>
          <w:p>
            <w:pPr>
              <w:pStyle w:val="yTableNAm"/>
              <w:jc w:val="center"/>
            </w:pPr>
            <w:r>
              <w:t>10</w:t>
            </w:r>
          </w:p>
        </w:tc>
      </w:tr>
      <w:tr>
        <w:tc>
          <w:tcPr>
            <w:tcW w:w="2977" w:type="dxa"/>
          </w:tcPr>
          <w:p>
            <w:pPr>
              <w:pStyle w:val="yTableNAm"/>
            </w:pPr>
            <w:r>
              <w:rPr>
                <w:szCs w:val="22"/>
              </w:rPr>
              <w:t>Denham (Saline)</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2977" w:type="dxa"/>
          </w:tcPr>
          <w:p>
            <w:pPr>
              <w:pStyle w:val="yTableNAm"/>
            </w:pPr>
            <w:r>
              <w:rPr>
                <w:szCs w:val="22"/>
              </w:rPr>
              <w:t>Denmark</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Derby</w:t>
            </w:r>
          </w:p>
        </w:tc>
        <w:tc>
          <w:tcPr>
            <w:tcW w:w="1984" w:type="dxa"/>
            <w:vAlign w:val="center"/>
          </w:tcPr>
          <w:p>
            <w:pPr>
              <w:pStyle w:val="yTableNAm"/>
              <w:jc w:val="center"/>
            </w:pPr>
            <w:r>
              <w:rPr>
                <w:szCs w:val="22"/>
              </w:rPr>
              <w:t>3</w:t>
            </w:r>
          </w:p>
        </w:tc>
        <w:tc>
          <w:tcPr>
            <w:tcW w:w="1843" w:type="dxa"/>
            <w:vAlign w:val="center"/>
          </w:tcPr>
          <w:p>
            <w:pPr>
              <w:pStyle w:val="yTableNAm"/>
              <w:jc w:val="center"/>
            </w:pPr>
            <w:r>
              <w:t>8</w:t>
            </w:r>
          </w:p>
        </w:tc>
      </w:tr>
      <w:tr>
        <w:tc>
          <w:tcPr>
            <w:tcW w:w="2977" w:type="dxa"/>
          </w:tcPr>
          <w:p>
            <w:pPr>
              <w:pStyle w:val="yTableNAm"/>
            </w:pPr>
            <w:r>
              <w:rPr>
                <w:szCs w:val="22"/>
              </w:rPr>
              <w:t>Dongara/Denison</w:t>
            </w:r>
          </w:p>
        </w:tc>
        <w:tc>
          <w:tcPr>
            <w:tcW w:w="1984" w:type="dxa"/>
            <w:vAlign w:val="center"/>
          </w:tcPr>
          <w:p>
            <w:pPr>
              <w:pStyle w:val="yTableNAm"/>
              <w:jc w:val="center"/>
            </w:pPr>
            <w:r>
              <w:rPr>
                <w:szCs w:val="22"/>
              </w:rPr>
              <w:t>2</w:t>
            </w:r>
          </w:p>
        </w:tc>
        <w:tc>
          <w:tcPr>
            <w:tcW w:w="1843" w:type="dxa"/>
            <w:vAlign w:val="center"/>
          </w:tcPr>
          <w:p>
            <w:pPr>
              <w:pStyle w:val="yTableNAm"/>
              <w:jc w:val="center"/>
            </w:pPr>
            <w:r>
              <w:t>4</w:t>
            </w:r>
          </w:p>
        </w:tc>
      </w:tr>
      <w:tr>
        <w:tc>
          <w:tcPr>
            <w:tcW w:w="2977" w:type="dxa"/>
          </w:tcPr>
          <w:p>
            <w:pPr>
              <w:pStyle w:val="yTableNAm"/>
            </w:pPr>
            <w:r>
              <w:rPr>
                <w:szCs w:val="22"/>
              </w:rPr>
              <w:t>Donnybrook</w:t>
            </w:r>
          </w:p>
        </w:tc>
        <w:tc>
          <w:tcPr>
            <w:tcW w:w="1984" w:type="dxa"/>
            <w:vAlign w:val="center"/>
          </w:tcPr>
          <w:p>
            <w:pPr>
              <w:pStyle w:val="yTableNAm"/>
              <w:jc w:val="center"/>
            </w:pPr>
            <w:r>
              <w:rPr>
                <w:szCs w:val="22"/>
              </w:rPr>
              <w:t>3</w:t>
            </w:r>
          </w:p>
        </w:tc>
        <w:tc>
          <w:tcPr>
            <w:tcW w:w="1843" w:type="dxa"/>
            <w:vAlign w:val="center"/>
          </w:tcPr>
          <w:p>
            <w:pPr>
              <w:pStyle w:val="yTableNAm"/>
              <w:jc w:val="center"/>
            </w:pPr>
            <w:r>
              <w:t>7</w:t>
            </w:r>
          </w:p>
        </w:tc>
      </w:tr>
      <w:tr>
        <w:tc>
          <w:tcPr>
            <w:tcW w:w="2977" w:type="dxa"/>
          </w:tcPr>
          <w:p>
            <w:pPr>
              <w:pStyle w:val="yTableNAm"/>
            </w:pPr>
            <w:r>
              <w:rPr>
                <w:szCs w:val="22"/>
              </w:rPr>
              <w:t>Doodlakine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Dowerin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Dudinin/Harrismith/Jitarning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Dumbleyung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Dunsborough/Yallingup</w:t>
            </w:r>
          </w:p>
        </w:tc>
        <w:tc>
          <w:tcPr>
            <w:tcW w:w="1984" w:type="dxa"/>
            <w:vAlign w:val="center"/>
          </w:tcPr>
          <w:p>
            <w:pPr>
              <w:pStyle w:val="yTableNAm"/>
              <w:jc w:val="center"/>
            </w:pPr>
            <w:r>
              <w:rPr>
                <w:szCs w:val="22"/>
              </w:rPr>
              <w:t>4</w:t>
            </w:r>
          </w:p>
        </w:tc>
        <w:tc>
          <w:tcPr>
            <w:tcW w:w="1843" w:type="dxa"/>
            <w:vAlign w:val="center"/>
          </w:tcPr>
          <w:p>
            <w:pPr>
              <w:pStyle w:val="yTableNAm"/>
              <w:jc w:val="center"/>
            </w:pPr>
            <w:r>
              <w:t>8</w:t>
            </w:r>
          </w:p>
        </w:tc>
      </w:tr>
      <w:tr>
        <w:tc>
          <w:tcPr>
            <w:tcW w:w="2977" w:type="dxa"/>
          </w:tcPr>
          <w:p>
            <w:pPr>
              <w:pStyle w:val="yTableNAm"/>
            </w:pPr>
            <w:r>
              <w:rPr>
                <w:szCs w:val="22"/>
              </w:rPr>
              <w:t>Dwellingup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Eneabba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Eradu</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Esperance</w:t>
            </w:r>
          </w:p>
        </w:tc>
        <w:tc>
          <w:tcPr>
            <w:tcW w:w="1984" w:type="dxa"/>
            <w:vAlign w:val="center"/>
          </w:tcPr>
          <w:p>
            <w:pPr>
              <w:pStyle w:val="yTableNAm"/>
              <w:jc w:val="center"/>
            </w:pPr>
            <w:r>
              <w:rPr>
                <w:szCs w:val="22"/>
              </w:rPr>
              <w:t>3</w:t>
            </w:r>
          </w:p>
        </w:tc>
        <w:tc>
          <w:tcPr>
            <w:tcW w:w="1843" w:type="dxa"/>
            <w:vAlign w:val="center"/>
          </w:tcPr>
          <w:p>
            <w:pPr>
              <w:pStyle w:val="yTableNAm"/>
              <w:jc w:val="center"/>
            </w:pPr>
            <w:r>
              <w:t>8</w:t>
            </w:r>
          </w:p>
        </w:tc>
      </w:tr>
      <w:tr>
        <w:tc>
          <w:tcPr>
            <w:tcW w:w="2977" w:type="dxa"/>
          </w:tcPr>
          <w:p>
            <w:pPr>
              <w:pStyle w:val="yTableNAm"/>
            </w:pPr>
            <w:r>
              <w:rPr>
                <w:szCs w:val="22"/>
              </w:rPr>
              <w:t>Exmouth</w:t>
            </w:r>
          </w:p>
        </w:tc>
        <w:tc>
          <w:tcPr>
            <w:tcW w:w="1984" w:type="dxa"/>
            <w:vAlign w:val="center"/>
          </w:tcPr>
          <w:p>
            <w:pPr>
              <w:pStyle w:val="yTableNAm"/>
              <w:jc w:val="center"/>
            </w:pPr>
            <w:r>
              <w:rPr>
                <w:szCs w:val="22"/>
              </w:rPr>
              <w:t>4</w:t>
            </w:r>
          </w:p>
        </w:tc>
        <w:tc>
          <w:tcPr>
            <w:tcW w:w="1843" w:type="dxa"/>
            <w:vAlign w:val="center"/>
          </w:tcPr>
          <w:p>
            <w:pPr>
              <w:pStyle w:val="yTableNAm"/>
              <w:jc w:val="center"/>
            </w:pPr>
            <w:r>
              <w:rPr>
                <w:szCs w:val="22"/>
              </w:rPr>
              <w:t>12</w:t>
            </w:r>
          </w:p>
        </w:tc>
      </w:tr>
      <w:tr>
        <w:tc>
          <w:tcPr>
            <w:tcW w:w="2977" w:type="dxa"/>
          </w:tcPr>
          <w:p>
            <w:pPr>
              <w:pStyle w:val="yTableNAm"/>
            </w:pPr>
            <w:r>
              <w:rPr>
                <w:szCs w:val="22"/>
              </w:rPr>
              <w:t>Fitzroy Crossing</w:t>
            </w:r>
          </w:p>
        </w:tc>
        <w:tc>
          <w:tcPr>
            <w:tcW w:w="1984" w:type="dxa"/>
            <w:vAlign w:val="center"/>
          </w:tcPr>
          <w:p>
            <w:pPr>
              <w:pStyle w:val="yTableNAm"/>
              <w:jc w:val="center"/>
            </w:pPr>
            <w:r>
              <w:rPr>
                <w:szCs w:val="22"/>
              </w:rPr>
              <w:t>3</w:t>
            </w:r>
          </w:p>
        </w:tc>
        <w:tc>
          <w:tcPr>
            <w:tcW w:w="1843" w:type="dxa"/>
            <w:vAlign w:val="center"/>
          </w:tcPr>
          <w:p>
            <w:pPr>
              <w:pStyle w:val="yTableNAm"/>
              <w:jc w:val="center"/>
            </w:pPr>
            <w:r>
              <w:t>4</w:t>
            </w:r>
          </w:p>
        </w:tc>
      </w:tr>
      <w:tr>
        <w:tc>
          <w:tcPr>
            <w:tcW w:w="2977" w:type="dxa"/>
          </w:tcPr>
          <w:p>
            <w:pPr>
              <w:pStyle w:val="yTableNAm"/>
            </w:pPr>
            <w:r>
              <w:rPr>
                <w:szCs w:val="22"/>
              </w:rPr>
              <w:t>Frankland</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Gabbadah</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Gascoyne Junction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Geraldton</w:t>
            </w:r>
          </w:p>
        </w:tc>
        <w:tc>
          <w:tcPr>
            <w:tcW w:w="1984" w:type="dxa"/>
            <w:vAlign w:val="center"/>
          </w:tcPr>
          <w:p>
            <w:pPr>
              <w:pStyle w:val="yTableNAm"/>
              <w:jc w:val="center"/>
            </w:pPr>
            <w:r>
              <w:rPr>
                <w:szCs w:val="22"/>
              </w:rPr>
              <w:t>2</w:t>
            </w:r>
          </w:p>
        </w:tc>
        <w:tc>
          <w:tcPr>
            <w:tcW w:w="1843" w:type="dxa"/>
            <w:vAlign w:val="center"/>
          </w:tcPr>
          <w:p>
            <w:pPr>
              <w:pStyle w:val="yTableNAm"/>
              <w:jc w:val="center"/>
            </w:pPr>
            <w:r>
              <w:t>4</w:t>
            </w:r>
          </w:p>
        </w:tc>
      </w:tr>
      <w:tr>
        <w:tc>
          <w:tcPr>
            <w:tcW w:w="2977" w:type="dxa"/>
          </w:tcPr>
          <w:p>
            <w:pPr>
              <w:pStyle w:val="yTableNAm"/>
            </w:pPr>
            <w:r>
              <w:rPr>
                <w:szCs w:val="22"/>
              </w:rPr>
              <w:t>Gibson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Gingin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Gnowangerup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Goomalling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Grass Patch</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Grass Valley</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Greenbushes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Greenhead</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Guilderton</w:t>
            </w:r>
          </w:p>
        </w:tc>
        <w:tc>
          <w:tcPr>
            <w:tcW w:w="1984" w:type="dxa"/>
            <w:vAlign w:val="center"/>
          </w:tcPr>
          <w:p>
            <w:pPr>
              <w:pStyle w:val="yTableNAm"/>
              <w:jc w:val="center"/>
            </w:pPr>
            <w:r>
              <w:rPr>
                <w:szCs w:val="22"/>
              </w:rPr>
              <w:t>4</w:t>
            </w:r>
          </w:p>
        </w:tc>
        <w:tc>
          <w:tcPr>
            <w:tcW w:w="1843" w:type="dxa"/>
            <w:vAlign w:val="center"/>
          </w:tcPr>
          <w:p>
            <w:pPr>
              <w:pStyle w:val="yTableNAm"/>
              <w:jc w:val="center"/>
            </w:pPr>
            <w:r>
              <w:rPr>
                <w:szCs w:val="22"/>
              </w:rPr>
              <w:t>11</w:t>
            </w:r>
          </w:p>
        </w:tc>
      </w:tr>
      <w:tr>
        <w:tc>
          <w:tcPr>
            <w:tcW w:w="2977" w:type="dxa"/>
          </w:tcPr>
          <w:p>
            <w:pPr>
              <w:pStyle w:val="yTableNAm"/>
            </w:pPr>
            <w:r>
              <w:rPr>
                <w:szCs w:val="22"/>
              </w:rPr>
              <w:t>Halls Creek</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Hamel/Waroona</w:t>
            </w:r>
          </w:p>
        </w:tc>
        <w:tc>
          <w:tcPr>
            <w:tcW w:w="1984" w:type="dxa"/>
            <w:vAlign w:val="center"/>
          </w:tcPr>
          <w:p>
            <w:pPr>
              <w:pStyle w:val="yTableNAm"/>
              <w:jc w:val="center"/>
            </w:pPr>
            <w:r>
              <w:rPr>
                <w:szCs w:val="22"/>
              </w:rPr>
              <w:t>4</w:t>
            </w:r>
          </w:p>
        </w:tc>
        <w:tc>
          <w:tcPr>
            <w:tcW w:w="1843" w:type="dxa"/>
            <w:vAlign w:val="center"/>
          </w:tcPr>
          <w:p>
            <w:pPr>
              <w:pStyle w:val="yTableNAm"/>
              <w:jc w:val="center"/>
            </w:pPr>
            <w:r>
              <w:t>7</w:t>
            </w:r>
          </w:p>
        </w:tc>
      </w:tr>
      <w:tr>
        <w:tc>
          <w:tcPr>
            <w:tcW w:w="2977" w:type="dxa"/>
          </w:tcPr>
          <w:p>
            <w:pPr>
              <w:pStyle w:val="yTableNAm"/>
            </w:pPr>
            <w:r>
              <w:rPr>
                <w:szCs w:val="22"/>
              </w:rPr>
              <w:t>Harvey/Wokalup</w:t>
            </w:r>
          </w:p>
        </w:tc>
        <w:tc>
          <w:tcPr>
            <w:tcW w:w="1984" w:type="dxa"/>
            <w:vAlign w:val="center"/>
          </w:tcPr>
          <w:p>
            <w:pPr>
              <w:pStyle w:val="yTableNAm"/>
              <w:jc w:val="center"/>
            </w:pPr>
            <w:r>
              <w:rPr>
                <w:szCs w:val="22"/>
              </w:rPr>
              <w:t>3</w:t>
            </w:r>
          </w:p>
        </w:tc>
        <w:tc>
          <w:tcPr>
            <w:tcW w:w="1843" w:type="dxa"/>
            <w:vAlign w:val="center"/>
          </w:tcPr>
          <w:p>
            <w:pPr>
              <w:pStyle w:val="yTableNAm"/>
              <w:jc w:val="center"/>
            </w:pPr>
            <w:r>
              <w:t>8</w:t>
            </w:r>
          </w:p>
        </w:tc>
      </w:tr>
      <w:tr>
        <w:tc>
          <w:tcPr>
            <w:tcW w:w="2977" w:type="dxa"/>
          </w:tcPr>
          <w:p>
            <w:pPr>
              <w:pStyle w:val="yTableNAm"/>
            </w:pPr>
            <w:r>
              <w:rPr>
                <w:szCs w:val="22"/>
              </w:rPr>
              <w:t>Highbury/Piesseville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Hines Hill</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Hopetoun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Horrocks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Hyden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Jerramungup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Jurien Bay</w:t>
            </w:r>
          </w:p>
        </w:tc>
        <w:tc>
          <w:tcPr>
            <w:tcW w:w="1984" w:type="dxa"/>
            <w:vAlign w:val="center"/>
          </w:tcPr>
          <w:p>
            <w:pPr>
              <w:pStyle w:val="yTableNAm"/>
              <w:jc w:val="center"/>
            </w:pPr>
            <w:r>
              <w:rPr>
                <w:szCs w:val="22"/>
              </w:rPr>
              <w:t>3</w:t>
            </w:r>
          </w:p>
        </w:tc>
        <w:tc>
          <w:tcPr>
            <w:tcW w:w="1843" w:type="dxa"/>
            <w:vAlign w:val="center"/>
          </w:tcPr>
          <w:p>
            <w:pPr>
              <w:pStyle w:val="yTableNAm"/>
              <w:jc w:val="center"/>
            </w:pPr>
            <w:r>
              <w:t>6</w:t>
            </w:r>
          </w:p>
        </w:tc>
      </w:tr>
      <w:tr>
        <w:tc>
          <w:tcPr>
            <w:tcW w:w="2977" w:type="dxa"/>
          </w:tcPr>
          <w:p>
            <w:pPr>
              <w:pStyle w:val="yTableNAm"/>
            </w:pPr>
            <w:r>
              <w:rPr>
                <w:szCs w:val="22"/>
              </w:rPr>
              <w:t>Kalannie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Kalbarri</w:t>
            </w:r>
          </w:p>
        </w:tc>
        <w:tc>
          <w:tcPr>
            <w:tcW w:w="1984" w:type="dxa"/>
            <w:vAlign w:val="center"/>
          </w:tcPr>
          <w:p>
            <w:pPr>
              <w:pStyle w:val="yTableNAm"/>
              <w:jc w:val="center"/>
            </w:pPr>
            <w:r>
              <w:rPr>
                <w:szCs w:val="22"/>
              </w:rPr>
              <w:t>3</w:t>
            </w:r>
          </w:p>
        </w:tc>
        <w:tc>
          <w:tcPr>
            <w:tcW w:w="1843" w:type="dxa"/>
            <w:vAlign w:val="center"/>
          </w:tcPr>
          <w:p>
            <w:pPr>
              <w:pStyle w:val="yTableNAm"/>
              <w:jc w:val="center"/>
            </w:pPr>
            <w:r>
              <w:t>5</w:t>
            </w:r>
          </w:p>
        </w:tc>
      </w:tr>
      <w:tr>
        <w:tc>
          <w:tcPr>
            <w:tcW w:w="2977" w:type="dxa"/>
          </w:tcPr>
          <w:p>
            <w:pPr>
              <w:pStyle w:val="yTableNAm"/>
            </w:pPr>
            <w:r>
              <w:rPr>
                <w:szCs w:val="22"/>
              </w:rPr>
              <w:t>Kalgoorlie/Boulder</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Kambalda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12</w:t>
            </w:r>
          </w:p>
        </w:tc>
      </w:tr>
      <w:tr>
        <w:tc>
          <w:tcPr>
            <w:tcW w:w="2977" w:type="dxa"/>
          </w:tcPr>
          <w:p>
            <w:pPr>
              <w:pStyle w:val="yTableNAm"/>
            </w:pPr>
            <w:r>
              <w:rPr>
                <w:szCs w:val="22"/>
              </w:rPr>
              <w:t>Karakin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Karlgarin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Karratha</w:t>
            </w:r>
          </w:p>
        </w:tc>
        <w:tc>
          <w:tcPr>
            <w:tcW w:w="1984" w:type="dxa"/>
            <w:vAlign w:val="center"/>
          </w:tcPr>
          <w:p>
            <w:pPr>
              <w:pStyle w:val="yTableNAm"/>
              <w:jc w:val="center"/>
            </w:pPr>
            <w:r>
              <w:rPr>
                <w:szCs w:val="22"/>
              </w:rPr>
              <w:t>3</w:t>
            </w:r>
          </w:p>
        </w:tc>
        <w:tc>
          <w:tcPr>
            <w:tcW w:w="1843" w:type="dxa"/>
            <w:vAlign w:val="center"/>
          </w:tcPr>
          <w:p>
            <w:pPr>
              <w:pStyle w:val="yTableNAm"/>
              <w:jc w:val="center"/>
            </w:pPr>
            <w:r>
              <w:rPr>
                <w:szCs w:val="22"/>
              </w:rPr>
              <w:t>8</w:t>
            </w:r>
          </w:p>
        </w:tc>
      </w:tr>
      <w:tr>
        <w:tc>
          <w:tcPr>
            <w:tcW w:w="2977" w:type="dxa"/>
          </w:tcPr>
          <w:p>
            <w:pPr>
              <w:pStyle w:val="yTableNAm"/>
            </w:pPr>
            <w:r>
              <w:rPr>
                <w:szCs w:val="22"/>
              </w:rPr>
              <w:t>Katanning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Katanning Farmlands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Kellerberrin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Kendenup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Kendenup Farmlands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Kirup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Kojonup/Muradup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Kondinin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Koorda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Kukerin/Moulyinning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Kulin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Kununoppin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Kununurra</w:t>
            </w:r>
          </w:p>
        </w:tc>
        <w:tc>
          <w:tcPr>
            <w:tcW w:w="1984" w:type="dxa"/>
            <w:vAlign w:val="center"/>
          </w:tcPr>
          <w:p>
            <w:pPr>
              <w:pStyle w:val="yTableNAm"/>
              <w:jc w:val="center"/>
            </w:pPr>
            <w:r>
              <w:rPr>
                <w:szCs w:val="22"/>
              </w:rPr>
              <w:t>3</w:t>
            </w:r>
          </w:p>
        </w:tc>
        <w:tc>
          <w:tcPr>
            <w:tcW w:w="1843" w:type="dxa"/>
            <w:vAlign w:val="center"/>
          </w:tcPr>
          <w:p>
            <w:pPr>
              <w:pStyle w:val="yTableNAm"/>
              <w:jc w:val="center"/>
            </w:pPr>
            <w:r>
              <w:t>5</w:t>
            </w:r>
          </w:p>
        </w:tc>
      </w:tr>
      <w:tr>
        <w:tc>
          <w:tcPr>
            <w:tcW w:w="2977" w:type="dxa"/>
          </w:tcPr>
          <w:p>
            <w:pPr>
              <w:pStyle w:val="yTableNAm"/>
            </w:pPr>
            <w:r>
              <w:rPr>
                <w:szCs w:val="22"/>
              </w:rPr>
              <w:t>Lake Grace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Lake King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Lancelin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Latham</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Laverton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Ledge Point</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Leeman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Leonora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Mandurah</w:t>
            </w:r>
          </w:p>
        </w:tc>
        <w:tc>
          <w:tcPr>
            <w:tcW w:w="1984" w:type="dxa"/>
            <w:vAlign w:val="center"/>
          </w:tcPr>
          <w:p>
            <w:pPr>
              <w:pStyle w:val="yTableNAm"/>
              <w:jc w:val="center"/>
            </w:pPr>
            <w:r>
              <w:rPr>
                <w:szCs w:val="22"/>
              </w:rPr>
              <w:t>2</w:t>
            </w:r>
          </w:p>
        </w:tc>
        <w:tc>
          <w:tcPr>
            <w:tcW w:w="1843" w:type="dxa"/>
            <w:vAlign w:val="center"/>
          </w:tcPr>
          <w:p>
            <w:pPr>
              <w:pStyle w:val="yTableNAm"/>
              <w:jc w:val="center"/>
            </w:pPr>
            <w:r>
              <w:t>6</w:t>
            </w:r>
          </w:p>
        </w:tc>
      </w:tr>
      <w:tr>
        <w:tc>
          <w:tcPr>
            <w:tcW w:w="2977" w:type="dxa"/>
          </w:tcPr>
          <w:p>
            <w:pPr>
              <w:pStyle w:val="yTableNAm"/>
            </w:pPr>
            <w:r>
              <w:rPr>
                <w:szCs w:val="22"/>
              </w:rPr>
              <w:t>Manjimup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13</w:t>
            </w:r>
          </w:p>
        </w:tc>
      </w:tr>
      <w:tr>
        <w:tc>
          <w:tcPr>
            <w:tcW w:w="2977" w:type="dxa"/>
          </w:tcPr>
          <w:p>
            <w:pPr>
              <w:pStyle w:val="yTableNAm"/>
            </w:pPr>
            <w:r>
              <w:rPr>
                <w:szCs w:val="22"/>
              </w:rPr>
              <w:t>Marble Bar</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Margaret River</w:t>
            </w:r>
          </w:p>
        </w:tc>
        <w:tc>
          <w:tcPr>
            <w:tcW w:w="1984" w:type="dxa"/>
            <w:vAlign w:val="center"/>
          </w:tcPr>
          <w:p>
            <w:pPr>
              <w:pStyle w:val="yTableNAm"/>
              <w:jc w:val="center"/>
            </w:pPr>
            <w:r>
              <w:rPr>
                <w:szCs w:val="22"/>
              </w:rPr>
              <w:t>4</w:t>
            </w:r>
          </w:p>
        </w:tc>
        <w:tc>
          <w:tcPr>
            <w:tcW w:w="1843" w:type="dxa"/>
            <w:vAlign w:val="center"/>
          </w:tcPr>
          <w:p>
            <w:pPr>
              <w:pStyle w:val="yTableNAm"/>
              <w:jc w:val="center"/>
            </w:pPr>
            <w:r>
              <w:t>8</w:t>
            </w:r>
          </w:p>
        </w:tc>
      </w:tr>
      <w:tr>
        <w:tc>
          <w:tcPr>
            <w:tcW w:w="2977" w:type="dxa"/>
          </w:tcPr>
          <w:p>
            <w:pPr>
              <w:pStyle w:val="yTableNAm"/>
            </w:pPr>
            <w:r>
              <w:rPr>
                <w:szCs w:val="22"/>
              </w:rPr>
              <w:t>Marvel Loch</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Meckering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Meekatharra</w:t>
            </w:r>
          </w:p>
        </w:tc>
        <w:tc>
          <w:tcPr>
            <w:tcW w:w="1984" w:type="dxa"/>
            <w:vAlign w:val="center"/>
          </w:tcPr>
          <w:p>
            <w:pPr>
              <w:pStyle w:val="yTableNAm"/>
              <w:jc w:val="center"/>
            </w:pPr>
            <w:r>
              <w:rPr>
                <w:szCs w:val="22"/>
              </w:rPr>
              <w:t>4</w:t>
            </w:r>
          </w:p>
        </w:tc>
        <w:tc>
          <w:tcPr>
            <w:tcW w:w="1843" w:type="dxa"/>
            <w:vAlign w:val="center"/>
          </w:tcPr>
          <w:p>
            <w:pPr>
              <w:pStyle w:val="yTableNAm"/>
              <w:jc w:val="center"/>
            </w:pPr>
            <w:r>
              <w:rPr>
                <w:szCs w:val="22"/>
              </w:rPr>
              <w:t>11</w:t>
            </w:r>
          </w:p>
        </w:tc>
      </w:tr>
      <w:tr>
        <w:tc>
          <w:tcPr>
            <w:tcW w:w="2977" w:type="dxa"/>
          </w:tcPr>
          <w:p>
            <w:pPr>
              <w:pStyle w:val="yTableNAm"/>
            </w:pPr>
            <w:r>
              <w:rPr>
                <w:szCs w:val="22"/>
              </w:rPr>
              <w:t>Menzies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Merredin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Merredin Farmlands</w:t>
            </w:r>
          </w:p>
        </w:tc>
        <w:tc>
          <w:tcPr>
            <w:tcW w:w="1984"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2977" w:type="dxa"/>
          </w:tcPr>
          <w:p>
            <w:pPr>
              <w:pStyle w:val="yTableNAm"/>
            </w:pPr>
            <w:r>
              <w:rPr>
                <w:szCs w:val="22"/>
              </w:rPr>
              <w:t>Miling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Mingenew</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13</w:t>
            </w:r>
          </w:p>
        </w:tc>
      </w:tr>
      <w:tr>
        <w:tc>
          <w:tcPr>
            <w:tcW w:w="2977" w:type="dxa"/>
          </w:tcPr>
          <w:p>
            <w:pPr>
              <w:pStyle w:val="yTableNAm"/>
            </w:pPr>
            <w:r>
              <w:rPr>
                <w:szCs w:val="22"/>
              </w:rPr>
              <w:t>Moora</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3</w:t>
            </w:r>
          </w:p>
        </w:tc>
      </w:tr>
      <w:tr>
        <w:tc>
          <w:tcPr>
            <w:tcW w:w="2977" w:type="dxa"/>
          </w:tcPr>
          <w:p>
            <w:pPr>
              <w:pStyle w:val="yTableNAm"/>
            </w:pPr>
            <w:r>
              <w:rPr>
                <w:szCs w:val="22"/>
              </w:rPr>
              <w:t>Moorine Rock</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Morawa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Mount Barker</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Mount Magnet</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Mukinbudin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Mullalyup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Mullewa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13</w:t>
            </w:r>
          </w:p>
        </w:tc>
      </w:tr>
      <w:tr>
        <w:tc>
          <w:tcPr>
            <w:tcW w:w="2977" w:type="dxa"/>
          </w:tcPr>
          <w:p>
            <w:pPr>
              <w:pStyle w:val="yTableNAm"/>
            </w:pPr>
            <w:r>
              <w:rPr>
                <w:szCs w:val="22"/>
              </w:rPr>
              <w:t>Mullewa Farmlands</w:t>
            </w:r>
          </w:p>
        </w:tc>
        <w:tc>
          <w:tcPr>
            <w:tcW w:w="1984" w:type="dxa"/>
            <w:vAlign w:val="center"/>
          </w:tcPr>
          <w:p>
            <w:pPr>
              <w:pStyle w:val="yTableNAm"/>
              <w:jc w:val="center"/>
            </w:pPr>
            <w:r>
              <w:rPr>
                <w:szCs w:val="22"/>
              </w:rPr>
              <w:t>4</w:t>
            </w:r>
          </w:p>
        </w:tc>
        <w:tc>
          <w:tcPr>
            <w:tcW w:w="1843" w:type="dxa"/>
            <w:vAlign w:val="center"/>
          </w:tcPr>
          <w:p>
            <w:pPr>
              <w:pStyle w:val="yTableNAm"/>
              <w:jc w:val="center"/>
            </w:pPr>
            <w:r>
              <w:rPr>
                <w:szCs w:val="22"/>
              </w:rPr>
              <w:t>13</w:t>
            </w:r>
          </w:p>
        </w:tc>
      </w:tr>
      <w:tr>
        <w:tc>
          <w:tcPr>
            <w:tcW w:w="2977" w:type="dxa"/>
          </w:tcPr>
          <w:p>
            <w:pPr>
              <w:pStyle w:val="yTableNAm"/>
            </w:pPr>
            <w:r>
              <w:rPr>
                <w:szCs w:val="22"/>
              </w:rPr>
              <w:t>Munglinup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Muntadgin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Myalup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Nabawa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Nannup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Narembeen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Narngulu</w:t>
            </w:r>
          </w:p>
        </w:tc>
        <w:tc>
          <w:tcPr>
            <w:tcW w:w="1984" w:type="dxa"/>
            <w:vAlign w:val="center"/>
          </w:tcPr>
          <w:p>
            <w:pPr>
              <w:pStyle w:val="yTableNAm"/>
              <w:jc w:val="center"/>
            </w:pPr>
            <w:r>
              <w:rPr>
                <w:szCs w:val="22"/>
              </w:rPr>
              <w:t>1</w:t>
            </w:r>
          </w:p>
        </w:tc>
        <w:tc>
          <w:tcPr>
            <w:tcW w:w="1843" w:type="dxa"/>
            <w:vAlign w:val="center"/>
          </w:tcPr>
          <w:p>
            <w:pPr>
              <w:pStyle w:val="yTableNAm"/>
              <w:jc w:val="center"/>
            </w:pPr>
            <w:r>
              <w:rPr>
                <w:szCs w:val="22"/>
              </w:rPr>
              <w:t>1</w:t>
            </w:r>
          </w:p>
        </w:tc>
      </w:tr>
      <w:tr>
        <w:tc>
          <w:tcPr>
            <w:tcW w:w="2977" w:type="dxa"/>
          </w:tcPr>
          <w:p>
            <w:pPr>
              <w:pStyle w:val="yTableNAm"/>
            </w:pPr>
            <w:r>
              <w:rPr>
                <w:szCs w:val="22"/>
              </w:rPr>
              <w:t>Narrikup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Narrogin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Narrogin Farmlands</w:t>
            </w:r>
          </w:p>
        </w:tc>
        <w:tc>
          <w:tcPr>
            <w:tcW w:w="1984"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2977" w:type="dxa"/>
          </w:tcPr>
          <w:p>
            <w:pPr>
              <w:pStyle w:val="yTableNAm"/>
            </w:pPr>
            <w:r>
              <w:rPr>
                <w:szCs w:val="22"/>
              </w:rPr>
              <w:t>Newdegate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Newman</w:t>
            </w:r>
          </w:p>
        </w:tc>
        <w:tc>
          <w:tcPr>
            <w:tcW w:w="1984" w:type="dxa"/>
            <w:vAlign w:val="center"/>
          </w:tcPr>
          <w:p>
            <w:pPr>
              <w:pStyle w:val="yTableNAm"/>
              <w:jc w:val="center"/>
            </w:pPr>
            <w:r>
              <w:rPr>
                <w:szCs w:val="22"/>
              </w:rPr>
              <w:t>2</w:t>
            </w:r>
          </w:p>
        </w:tc>
        <w:tc>
          <w:tcPr>
            <w:tcW w:w="1843" w:type="dxa"/>
            <w:vAlign w:val="center"/>
          </w:tcPr>
          <w:p>
            <w:pPr>
              <w:pStyle w:val="yTableNAm"/>
              <w:jc w:val="center"/>
            </w:pPr>
            <w:r>
              <w:t>4</w:t>
            </w:r>
          </w:p>
        </w:tc>
      </w:tr>
      <w:tr>
        <w:tc>
          <w:tcPr>
            <w:tcW w:w="2977" w:type="dxa"/>
          </w:tcPr>
          <w:p>
            <w:pPr>
              <w:pStyle w:val="yTableNAm"/>
            </w:pPr>
            <w:r>
              <w:rPr>
                <w:szCs w:val="22"/>
              </w:rPr>
              <w:t>New Norcia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Nilgen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11</w:t>
            </w:r>
          </w:p>
        </w:tc>
      </w:tr>
      <w:tr>
        <w:tc>
          <w:tcPr>
            <w:tcW w:w="2977" w:type="dxa"/>
          </w:tcPr>
          <w:p>
            <w:pPr>
              <w:pStyle w:val="yTableNAm"/>
            </w:pPr>
            <w:r>
              <w:rPr>
                <w:szCs w:val="22"/>
              </w:rPr>
              <w:t>Norseman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Northam</w:t>
            </w:r>
          </w:p>
        </w:tc>
        <w:tc>
          <w:tcPr>
            <w:tcW w:w="1984" w:type="dxa"/>
            <w:vAlign w:val="center"/>
          </w:tcPr>
          <w:p>
            <w:pPr>
              <w:pStyle w:val="yTableNAm"/>
              <w:jc w:val="center"/>
            </w:pPr>
            <w:r>
              <w:rPr>
                <w:szCs w:val="22"/>
              </w:rPr>
              <w:t>5</w:t>
            </w:r>
          </w:p>
        </w:tc>
        <w:tc>
          <w:tcPr>
            <w:tcW w:w="1843" w:type="dxa"/>
            <w:vAlign w:val="center"/>
          </w:tcPr>
          <w:p>
            <w:pPr>
              <w:pStyle w:val="yTableNAm"/>
              <w:jc w:val="center"/>
            </w:pPr>
            <w:r>
              <w:t>10</w:t>
            </w:r>
          </w:p>
        </w:tc>
      </w:tr>
      <w:tr>
        <w:tc>
          <w:tcPr>
            <w:tcW w:w="2977" w:type="dxa"/>
          </w:tcPr>
          <w:p>
            <w:pPr>
              <w:pStyle w:val="yTableNAm"/>
            </w:pPr>
            <w:r>
              <w:rPr>
                <w:szCs w:val="22"/>
              </w:rPr>
              <w:t>Northam Farmlands</w:t>
            </w:r>
          </w:p>
        </w:tc>
        <w:tc>
          <w:tcPr>
            <w:tcW w:w="1984" w:type="dxa"/>
            <w:vAlign w:val="center"/>
          </w:tcPr>
          <w:p>
            <w:pPr>
              <w:pStyle w:val="yTableNAm"/>
              <w:jc w:val="center"/>
            </w:pPr>
            <w:r>
              <w:rPr>
                <w:szCs w:val="22"/>
              </w:rPr>
              <w:t>3</w:t>
            </w:r>
          </w:p>
        </w:tc>
        <w:tc>
          <w:tcPr>
            <w:tcW w:w="1843" w:type="dxa"/>
            <w:vAlign w:val="center"/>
          </w:tcPr>
          <w:p>
            <w:pPr>
              <w:pStyle w:val="yTableNAm"/>
              <w:jc w:val="center"/>
            </w:pPr>
            <w:r>
              <w:rPr>
                <w:szCs w:val="22"/>
              </w:rPr>
              <w:t>9</w:t>
            </w:r>
          </w:p>
        </w:tc>
      </w:tr>
      <w:tr>
        <w:tc>
          <w:tcPr>
            <w:tcW w:w="2977" w:type="dxa"/>
          </w:tcPr>
          <w:p>
            <w:pPr>
              <w:pStyle w:val="yTableNAm"/>
            </w:pPr>
            <w:r>
              <w:rPr>
                <w:szCs w:val="22"/>
              </w:rPr>
              <w:t>Northampton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Northcliffe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North Dandalup</w:t>
            </w:r>
          </w:p>
        </w:tc>
        <w:tc>
          <w:tcPr>
            <w:tcW w:w="1984" w:type="dxa"/>
            <w:vAlign w:val="center"/>
          </w:tcPr>
          <w:p>
            <w:pPr>
              <w:pStyle w:val="yTableNAm"/>
              <w:jc w:val="center"/>
            </w:pPr>
            <w:r>
              <w:rPr>
                <w:szCs w:val="22"/>
              </w:rPr>
              <w:t>4</w:t>
            </w:r>
          </w:p>
        </w:tc>
        <w:tc>
          <w:tcPr>
            <w:tcW w:w="1843" w:type="dxa"/>
            <w:vAlign w:val="center"/>
          </w:tcPr>
          <w:p>
            <w:pPr>
              <w:pStyle w:val="yTableNAm"/>
              <w:jc w:val="center"/>
            </w:pPr>
            <w:r>
              <w:rPr>
                <w:szCs w:val="22"/>
              </w:rPr>
              <w:t>12</w:t>
            </w:r>
          </w:p>
        </w:tc>
      </w:tr>
      <w:tr>
        <w:tc>
          <w:tcPr>
            <w:tcW w:w="2977" w:type="dxa"/>
          </w:tcPr>
          <w:p>
            <w:pPr>
              <w:pStyle w:val="yTableNAm"/>
            </w:pPr>
            <w:r>
              <w:rPr>
                <w:szCs w:val="22"/>
              </w:rPr>
              <w:t>Nullagine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Nungarin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Nyabing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Ongerup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Onslow</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Ora Banda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Park Ridge</w:t>
            </w:r>
          </w:p>
        </w:tc>
        <w:tc>
          <w:tcPr>
            <w:tcW w:w="1984" w:type="dxa"/>
            <w:vAlign w:val="center"/>
          </w:tcPr>
          <w:p>
            <w:pPr>
              <w:pStyle w:val="yTableNAm"/>
              <w:jc w:val="center"/>
            </w:pPr>
            <w:r>
              <w:rPr>
                <w:szCs w:val="22"/>
              </w:rPr>
              <w:t>4</w:t>
            </w:r>
          </w:p>
        </w:tc>
        <w:tc>
          <w:tcPr>
            <w:tcW w:w="1843" w:type="dxa"/>
            <w:vAlign w:val="center"/>
          </w:tcPr>
          <w:p>
            <w:pPr>
              <w:pStyle w:val="yTableNAm"/>
              <w:jc w:val="center"/>
            </w:pPr>
            <w:r>
              <w:t>10</w:t>
            </w:r>
          </w:p>
        </w:tc>
      </w:tr>
      <w:tr>
        <w:tc>
          <w:tcPr>
            <w:tcW w:w="2977" w:type="dxa"/>
          </w:tcPr>
          <w:p>
            <w:pPr>
              <w:pStyle w:val="yTableNAm"/>
            </w:pPr>
            <w:r>
              <w:rPr>
                <w:szCs w:val="22"/>
              </w:rPr>
              <w:t>Pemberton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Peppermint Grove Beach</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Perenjori</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Pingaring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Pingelly</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Pingrup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Pinjarra</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2</w:t>
            </w:r>
          </w:p>
        </w:tc>
      </w:tr>
      <w:tr>
        <w:tc>
          <w:tcPr>
            <w:tcW w:w="2977" w:type="dxa"/>
          </w:tcPr>
          <w:p>
            <w:pPr>
              <w:pStyle w:val="yTableNAm"/>
            </w:pPr>
            <w:r>
              <w:rPr>
                <w:szCs w:val="22"/>
              </w:rPr>
              <w:t>Pithara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Point Samson</w:t>
            </w:r>
          </w:p>
        </w:tc>
        <w:tc>
          <w:tcPr>
            <w:tcW w:w="1984"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2977" w:type="dxa"/>
          </w:tcPr>
          <w:p>
            <w:pPr>
              <w:pStyle w:val="yTableNAm"/>
            </w:pPr>
            <w:r>
              <w:rPr>
                <w:szCs w:val="22"/>
              </w:rPr>
              <w:t>Popanyinning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Porongurup</w:t>
            </w:r>
          </w:p>
        </w:tc>
        <w:tc>
          <w:tcPr>
            <w:tcW w:w="1984" w:type="dxa"/>
            <w:vAlign w:val="center"/>
          </w:tcPr>
          <w:p>
            <w:pPr>
              <w:pStyle w:val="yTableNAm"/>
              <w:jc w:val="center"/>
            </w:pPr>
            <w:r>
              <w:rPr>
                <w:szCs w:val="22"/>
              </w:rPr>
              <w:t>5</w:t>
            </w:r>
          </w:p>
        </w:tc>
        <w:tc>
          <w:tcPr>
            <w:tcW w:w="1843" w:type="dxa"/>
            <w:vAlign w:val="center"/>
          </w:tcPr>
          <w:p>
            <w:pPr>
              <w:pStyle w:val="yTableNAm"/>
              <w:jc w:val="center"/>
            </w:pPr>
            <w:r>
              <w:t>8</w:t>
            </w:r>
          </w:p>
        </w:tc>
      </w:tr>
      <w:tr>
        <w:tc>
          <w:tcPr>
            <w:tcW w:w="2977" w:type="dxa"/>
          </w:tcPr>
          <w:p>
            <w:pPr>
              <w:pStyle w:val="yTableNAm"/>
            </w:pPr>
            <w:r>
              <w:rPr>
                <w:szCs w:val="22"/>
              </w:rPr>
              <w:t>Port Hedland</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2977" w:type="dxa"/>
          </w:tcPr>
          <w:p>
            <w:pPr>
              <w:pStyle w:val="yTableNAm"/>
            </w:pPr>
            <w:r>
              <w:rPr>
                <w:szCs w:val="22"/>
              </w:rPr>
              <w:t>Preston Beach</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Prevelly</w:t>
            </w:r>
          </w:p>
        </w:tc>
        <w:tc>
          <w:tcPr>
            <w:tcW w:w="1984" w:type="dxa"/>
            <w:vAlign w:val="center"/>
          </w:tcPr>
          <w:p>
            <w:pPr>
              <w:pStyle w:val="yTableNAm"/>
              <w:jc w:val="center"/>
            </w:pPr>
            <w:r>
              <w:rPr>
                <w:szCs w:val="22"/>
              </w:rPr>
              <w:t>5</w:t>
            </w:r>
          </w:p>
        </w:tc>
        <w:tc>
          <w:tcPr>
            <w:tcW w:w="1843" w:type="dxa"/>
            <w:vAlign w:val="center"/>
          </w:tcPr>
          <w:p>
            <w:pPr>
              <w:pStyle w:val="yTableNAm"/>
              <w:jc w:val="center"/>
            </w:pPr>
            <w:r>
              <w:t>10</w:t>
            </w:r>
          </w:p>
        </w:tc>
      </w:tr>
      <w:tr>
        <w:tc>
          <w:tcPr>
            <w:tcW w:w="2977" w:type="dxa"/>
          </w:tcPr>
          <w:p>
            <w:pPr>
              <w:pStyle w:val="yTableNAm"/>
            </w:pPr>
            <w:r>
              <w:rPr>
                <w:szCs w:val="22"/>
              </w:rPr>
              <w:t>Quairading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Quinninup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Ravensthorpe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Rocky Gully</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Roebourne</w:t>
            </w:r>
          </w:p>
        </w:tc>
        <w:tc>
          <w:tcPr>
            <w:tcW w:w="1984"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2977" w:type="dxa"/>
          </w:tcPr>
          <w:p>
            <w:pPr>
              <w:pStyle w:val="yTableNAm"/>
            </w:pPr>
            <w:r>
              <w:rPr>
                <w:szCs w:val="22"/>
              </w:rPr>
              <w:t>Salmon Gums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Sandstone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Seabird</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Southern Cross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13</w:t>
            </w:r>
          </w:p>
        </w:tc>
      </w:tr>
      <w:tr>
        <w:tc>
          <w:tcPr>
            <w:tcW w:w="2977" w:type="dxa"/>
          </w:tcPr>
          <w:p>
            <w:pPr>
              <w:pStyle w:val="yTableNAm"/>
            </w:pPr>
            <w:r>
              <w:rPr>
                <w:szCs w:val="22"/>
              </w:rPr>
              <w:t>South Hedland</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5</w:t>
            </w:r>
          </w:p>
        </w:tc>
      </w:tr>
      <w:tr>
        <w:tc>
          <w:tcPr>
            <w:tcW w:w="2977" w:type="dxa"/>
          </w:tcPr>
          <w:p>
            <w:pPr>
              <w:pStyle w:val="yTableNAm"/>
            </w:pPr>
            <w:r>
              <w:rPr>
                <w:szCs w:val="22"/>
              </w:rPr>
              <w:t>Tambellup</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Tammin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Three Springs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Tincurrin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Toodyay</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Trayning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Varley</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Wagin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Walkaway</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2977" w:type="dxa"/>
          </w:tcPr>
          <w:p>
            <w:pPr>
              <w:pStyle w:val="yTableNAm"/>
            </w:pPr>
            <w:r>
              <w:rPr>
                <w:szCs w:val="22"/>
              </w:rPr>
              <w:t>Walpole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Wandering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Watheroo</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Wellstead</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Westonia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Wickepin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Wickham</w:t>
            </w:r>
          </w:p>
        </w:tc>
        <w:tc>
          <w:tcPr>
            <w:tcW w:w="1984" w:type="dxa"/>
            <w:vAlign w:val="center"/>
          </w:tcPr>
          <w:p>
            <w:pPr>
              <w:pStyle w:val="yTableNAm"/>
              <w:jc w:val="center"/>
            </w:pPr>
            <w:r>
              <w:rPr>
                <w:szCs w:val="22"/>
              </w:rPr>
              <w:t>4</w:t>
            </w:r>
          </w:p>
        </w:tc>
        <w:tc>
          <w:tcPr>
            <w:tcW w:w="1843" w:type="dxa"/>
            <w:vAlign w:val="center"/>
          </w:tcPr>
          <w:p>
            <w:pPr>
              <w:pStyle w:val="yTableNAm"/>
              <w:jc w:val="center"/>
            </w:pPr>
            <w:r>
              <w:rPr>
                <w:szCs w:val="22"/>
              </w:rPr>
              <w:t>10</w:t>
            </w:r>
          </w:p>
        </w:tc>
      </w:tr>
      <w:tr>
        <w:tc>
          <w:tcPr>
            <w:tcW w:w="2977" w:type="dxa"/>
          </w:tcPr>
          <w:p>
            <w:pPr>
              <w:pStyle w:val="yTableNAm"/>
            </w:pPr>
            <w:r>
              <w:rPr>
                <w:szCs w:val="22"/>
              </w:rPr>
              <w:t>Widgiemooltha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Williams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Wiluna</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Wongan Hills</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Woodanilling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Woodridge</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Pr>
          <w:p>
            <w:pPr>
              <w:pStyle w:val="yTableNAm"/>
            </w:pPr>
            <w:r>
              <w:rPr>
                <w:szCs w:val="22"/>
              </w:rPr>
              <w:t>Wubin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Wundowie</w:t>
            </w:r>
          </w:p>
        </w:tc>
        <w:tc>
          <w:tcPr>
            <w:tcW w:w="1984"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2977" w:type="dxa"/>
          </w:tcPr>
          <w:p>
            <w:pPr>
              <w:pStyle w:val="yTableNAm"/>
            </w:pPr>
            <w:r>
              <w:rPr>
                <w:szCs w:val="22"/>
              </w:rPr>
              <w:t>Wyalkatchem</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Wyndham</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Yalgoo</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Yarloop/Wagerup</w:t>
            </w:r>
          </w:p>
        </w:tc>
        <w:tc>
          <w:tcPr>
            <w:tcW w:w="1984" w:type="dxa"/>
            <w:vAlign w:val="center"/>
          </w:tcPr>
          <w:p>
            <w:pPr>
              <w:pStyle w:val="yTableNAm"/>
              <w:jc w:val="center"/>
            </w:pPr>
            <w:r>
              <w:rPr>
                <w:szCs w:val="22"/>
              </w:rPr>
              <w:t>5</w:t>
            </w:r>
          </w:p>
        </w:tc>
        <w:tc>
          <w:tcPr>
            <w:tcW w:w="1843" w:type="dxa"/>
            <w:vAlign w:val="center"/>
          </w:tcPr>
          <w:p>
            <w:pPr>
              <w:pStyle w:val="yTableNAm"/>
              <w:jc w:val="center"/>
            </w:pPr>
            <w:r>
              <w:t>10</w:t>
            </w:r>
          </w:p>
        </w:tc>
      </w:tr>
      <w:tr>
        <w:tc>
          <w:tcPr>
            <w:tcW w:w="2977" w:type="dxa"/>
          </w:tcPr>
          <w:p>
            <w:pPr>
              <w:pStyle w:val="yTableNAm"/>
            </w:pPr>
            <w:r>
              <w:rPr>
                <w:szCs w:val="22"/>
              </w:rPr>
              <w:t>Yealering</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Yerecoin</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2977" w:type="dxa"/>
          </w:tcPr>
          <w:p>
            <w:pPr>
              <w:pStyle w:val="yTableNAm"/>
            </w:pPr>
            <w:r>
              <w:rPr>
                <w:szCs w:val="22"/>
              </w:rPr>
              <w:t>York</w:t>
            </w:r>
          </w:p>
        </w:tc>
        <w:tc>
          <w:tcPr>
            <w:tcW w:w="1984" w:type="dxa"/>
            <w:vAlign w:val="center"/>
          </w:tcPr>
          <w:p>
            <w:pPr>
              <w:pStyle w:val="yTableNAm"/>
              <w:jc w:val="center"/>
            </w:pPr>
            <w:r>
              <w:rPr>
                <w:szCs w:val="22"/>
              </w:rPr>
              <w:t>5</w:t>
            </w:r>
          </w:p>
        </w:tc>
        <w:tc>
          <w:tcPr>
            <w:tcW w:w="1843" w:type="dxa"/>
            <w:vAlign w:val="center"/>
          </w:tcPr>
          <w:p>
            <w:pPr>
              <w:pStyle w:val="yTableNAm"/>
              <w:jc w:val="center"/>
            </w:pPr>
            <w:r>
              <w:rPr>
                <w:szCs w:val="22"/>
              </w:rPr>
              <w:t>14</w:t>
            </w:r>
          </w:p>
        </w:tc>
      </w:tr>
      <w:tr>
        <w:tc>
          <w:tcPr>
            <w:tcW w:w="2977" w:type="dxa"/>
            <w:tcBorders>
              <w:bottom w:val="single" w:sz="4" w:space="0" w:color="auto"/>
            </w:tcBorders>
          </w:tcPr>
          <w:p>
            <w:pPr>
              <w:pStyle w:val="yTableNAm"/>
            </w:pPr>
            <w:r>
              <w:rPr>
                <w:szCs w:val="22"/>
              </w:rPr>
              <w:t>Yuna</w:t>
            </w:r>
          </w:p>
        </w:tc>
        <w:tc>
          <w:tcPr>
            <w:tcW w:w="1984" w:type="dxa"/>
            <w:tcBorders>
              <w:bottom w:val="single" w:sz="4" w:space="0" w:color="auto"/>
            </w:tcBorders>
            <w:vAlign w:val="center"/>
          </w:tcPr>
          <w:p>
            <w:pPr>
              <w:pStyle w:val="yTableNAm"/>
              <w:jc w:val="center"/>
            </w:pPr>
            <w:r>
              <w:rPr>
                <w:szCs w:val="22"/>
              </w:rPr>
              <w:t>5</w:t>
            </w:r>
          </w:p>
        </w:tc>
        <w:tc>
          <w:tcPr>
            <w:tcW w:w="1843" w:type="dxa"/>
            <w:tcBorders>
              <w:bottom w:val="single" w:sz="4" w:space="0" w:color="auto"/>
            </w:tcBorders>
            <w:vAlign w:val="center"/>
          </w:tcPr>
          <w:p>
            <w:pPr>
              <w:pStyle w:val="yTableNAm"/>
              <w:jc w:val="center"/>
            </w:pPr>
            <w:r>
              <w:rPr>
                <w:szCs w:val="22"/>
              </w:rPr>
              <w:t>15</w:t>
            </w:r>
          </w:p>
        </w:tc>
      </w:tr>
    </w:tbl>
    <w:p>
      <w:pPr>
        <w:pStyle w:val="yFootnotesection"/>
      </w:pPr>
      <w:r>
        <w:tab/>
        <w:t>[Schedule 10 inserted in Gazette 27 Jun 2016 p. 2597</w:t>
      </w:r>
      <w:r>
        <w:noBreakHyphen/>
        <w:t>606.]</w:t>
      </w:r>
    </w:p>
    <w:p>
      <w:pPr>
        <w:pStyle w:val="yScheduleHeading"/>
      </w:pPr>
      <w:bookmarkStart w:id="543" w:name="_Toc453239651"/>
      <w:bookmarkStart w:id="544" w:name="_Toc453239822"/>
      <w:bookmarkStart w:id="545" w:name="_Toc453239999"/>
      <w:bookmarkStart w:id="546" w:name="_Toc453240212"/>
      <w:bookmarkStart w:id="547" w:name="_Toc453243705"/>
      <w:bookmarkStart w:id="548" w:name="_Toc455155381"/>
      <w:bookmarkStart w:id="549" w:name="_Toc455404272"/>
      <w:r>
        <w:rPr>
          <w:rStyle w:val="CharSchNo"/>
        </w:rPr>
        <w:t>Schedule 11</w:t>
      </w:r>
      <w:r>
        <w:t> — </w:t>
      </w:r>
      <w:r>
        <w:rPr>
          <w:rStyle w:val="CharSchText"/>
        </w:rPr>
        <w:t>Class of town or area: previous consumption year</w:t>
      </w:r>
      <w:bookmarkEnd w:id="543"/>
      <w:bookmarkEnd w:id="544"/>
      <w:bookmarkEnd w:id="545"/>
      <w:bookmarkEnd w:id="546"/>
      <w:bookmarkEnd w:id="547"/>
      <w:bookmarkEnd w:id="548"/>
      <w:bookmarkEnd w:id="549"/>
    </w:p>
    <w:p>
      <w:pPr>
        <w:pStyle w:val="yShoulderClause"/>
        <w:ind w:right="151"/>
      </w:pPr>
      <w:r>
        <w:t>[Sch. 3 it. 24]</w:t>
      </w:r>
    </w:p>
    <w:p>
      <w:pPr>
        <w:pStyle w:val="yFootnoteheading"/>
        <w:spacing w:after="120"/>
      </w:pPr>
      <w:r>
        <w:tab/>
        <w:t>[Heading inserted in Gazette 27 Jun 2016 p. 2606.]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984"/>
        <w:gridCol w:w="1843"/>
      </w:tblGrid>
      <w:tr>
        <w:trPr>
          <w:tblHeader/>
        </w:trPr>
        <w:tc>
          <w:tcPr>
            <w:tcW w:w="2977" w:type="dxa"/>
            <w:tcBorders>
              <w:top w:val="single" w:sz="4" w:space="0" w:color="auto"/>
              <w:left w:val="nil"/>
              <w:bottom w:val="single" w:sz="4" w:space="0" w:color="auto"/>
              <w:right w:val="nil"/>
            </w:tcBorders>
          </w:tcPr>
          <w:p>
            <w:pPr>
              <w:pStyle w:val="yTableNAm"/>
            </w:pPr>
            <w:r>
              <w:rPr>
                <w:b/>
              </w:rPr>
              <w:t>Town/area</w:t>
            </w:r>
          </w:p>
        </w:tc>
        <w:tc>
          <w:tcPr>
            <w:tcW w:w="1984" w:type="dxa"/>
            <w:tcBorders>
              <w:top w:val="single" w:sz="4" w:space="0" w:color="auto"/>
              <w:left w:val="nil"/>
              <w:bottom w:val="single" w:sz="4" w:space="0" w:color="auto"/>
              <w:right w:val="nil"/>
            </w:tcBorders>
          </w:tcPr>
          <w:p>
            <w:pPr>
              <w:pStyle w:val="yTableNAm"/>
              <w:jc w:val="center"/>
            </w:pPr>
            <w:r>
              <w:rPr>
                <w:b/>
              </w:rPr>
              <w:t>Residential classification</w:t>
            </w:r>
          </w:p>
        </w:tc>
        <w:tc>
          <w:tcPr>
            <w:tcW w:w="1843" w:type="dxa"/>
            <w:tcBorders>
              <w:top w:val="single" w:sz="4" w:space="0" w:color="auto"/>
              <w:left w:val="nil"/>
              <w:bottom w:val="single" w:sz="4" w:space="0" w:color="auto"/>
              <w:right w:val="nil"/>
            </w:tcBorders>
            <w:vAlign w:val="center"/>
          </w:tcPr>
          <w:p>
            <w:pPr>
              <w:pStyle w:val="yTableNAm"/>
              <w:jc w:val="center"/>
            </w:pPr>
            <w:r>
              <w:rPr>
                <w:b/>
              </w:rPr>
              <w:t>Non</w:t>
            </w:r>
            <w:r>
              <w:rPr>
                <w:b/>
              </w:rPr>
              <w:noBreakHyphen/>
              <w:t>residential classification</w:t>
            </w:r>
          </w:p>
        </w:tc>
      </w:tr>
      <w:tr>
        <w:tc>
          <w:tcPr>
            <w:tcW w:w="2977" w:type="dxa"/>
            <w:tcBorders>
              <w:top w:val="single" w:sz="4" w:space="0" w:color="auto"/>
              <w:left w:val="nil"/>
              <w:bottom w:val="nil"/>
              <w:right w:val="nil"/>
            </w:tcBorders>
            <w:vAlign w:val="center"/>
          </w:tcPr>
          <w:p>
            <w:pPr>
              <w:pStyle w:val="yTableNAm"/>
            </w:pPr>
            <w:r>
              <w:rPr>
                <w:szCs w:val="22"/>
              </w:rPr>
              <w:t>Albany</w:t>
            </w:r>
          </w:p>
        </w:tc>
        <w:tc>
          <w:tcPr>
            <w:tcW w:w="1984" w:type="dxa"/>
            <w:tcBorders>
              <w:top w:val="single" w:sz="4" w:space="0" w:color="auto"/>
              <w:left w:val="nil"/>
              <w:bottom w:val="nil"/>
              <w:right w:val="nil"/>
            </w:tcBorders>
            <w:vAlign w:val="bottom"/>
          </w:tcPr>
          <w:p>
            <w:pPr>
              <w:pStyle w:val="yTableNAm"/>
              <w:jc w:val="center"/>
            </w:pPr>
            <w:r>
              <w:t>4</w:t>
            </w:r>
          </w:p>
        </w:tc>
        <w:tc>
          <w:tcPr>
            <w:tcW w:w="1843" w:type="dxa"/>
            <w:tcBorders>
              <w:top w:val="single" w:sz="4" w:space="0" w:color="auto"/>
              <w:left w:val="nil"/>
              <w:bottom w:val="nil"/>
              <w:right w:val="nil"/>
            </w:tcBorders>
            <w:vAlign w:val="center"/>
          </w:tcPr>
          <w:p>
            <w:pPr>
              <w:pStyle w:val="yTableNAm"/>
              <w:jc w:val="center"/>
            </w:pPr>
            <w:r>
              <w:rPr>
                <w:szCs w:val="24"/>
              </w:rPr>
              <w:t>8</w:t>
            </w:r>
          </w:p>
        </w:tc>
      </w:tr>
      <w:tr>
        <w:tc>
          <w:tcPr>
            <w:tcW w:w="2977" w:type="dxa"/>
            <w:tcBorders>
              <w:top w:val="nil"/>
              <w:left w:val="nil"/>
              <w:bottom w:val="nil"/>
              <w:right w:val="nil"/>
            </w:tcBorders>
            <w:vAlign w:val="center"/>
          </w:tcPr>
          <w:p>
            <w:pPr>
              <w:pStyle w:val="yTableNAm"/>
            </w:pPr>
            <w:r>
              <w:rPr>
                <w:szCs w:val="22"/>
              </w:rPr>
              <w:t>Allanooka Farmlands</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1</w:t>
            </w:r>
          </w:p>
        </w:tc>
      </w:tr>
      <w:tr>
        <w:tc>
          <w:tcPr>
            <w:tcW w:w="2977" w:type="dxa"/>
            <w:tcBorders>
              <w:top w:val="nil"/>
              <w:left w:val="nil"/>
              <w:bottom w:val="nil"/>
              <w:right w:val="nil"/>
            </w:tcBorders>
            <w:vAlign w:val="center"/>
          </w:tcPr>
          <w:p>
            <w:pPr>
              <w:pStyle w:val="yTableNAm"/>
            </w:pPr>
            <w:r>
              <w:rPr>
                <w:szCs w:val="22"/>
              </w:rPr>
              <w:t>Allanson</w:t>
            </w:r>
          </w:p>
        </w:tc>
        <w:tc>
          <w:tcPr>
            <w:tcW w:w="1984"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11</w:t>
            </w:r>
          </w:p>
        </w:tc>
      </w:tr>
      <w:tr>
        <w:tc>
          <w:tcPr>
            <w:tcW w:w="2977" w:type="dxa"/>
            <w:tcBorders>
              <w:top w:val="nil"/>
              <w:left w:val="nil"/>
              <w:bottom w:val="nil"/>
              <w:right w:val="nil"/>
            </w:tcBorders>
            <w:vAlign w:val="center"/>
          </w:tcPr>
          <w:p>
            <w:pPr>
              <w:pStyle w:val="yTableNAm"/>
            </w:pPr>
            <w:r>
              <w:rPr>
                <w:szCs w:val="22"/>
              </w:rPr>
              <w:t>Arrino</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Arrowsmith Farmlands</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Augusta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Australind/Eaton</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3</w:t>
            </w:r>
          </w:p>
        </w:tc>
      </w:tr>
      <w:tr>
        <w:tc>
          <w:tcPr>
            <w:tcW w:w="2977" w:type="dxa"/>
            <w:tcBorders>
              <w:top w:val="nil"/>
              <w:left w:val="nil"/>
              <w:bottom w:val="nil"/>
              <w:right w:val="nil"/>
            </w:tcBorders>
            <w:vAlign w:val="center"/>
          </w:tcPr>
          <w:p>
            <w:pPr>
              <w:pStyle w:val="yTableNAm"/>
            </w:pPr>
            <w:r>
              <w:rPr>
                <w:szCs w:val="22"/>
              </w:rPr>
              <w:t>Badgingarra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Bakers Hill</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Balingup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Ballidu</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Beacon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Bencubbin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Beverley</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Bindi Bindi</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Bindoon/Chittering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Binningup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Bodallin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Boddington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Bolgart</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Borden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Boyanup</w:t>
            </w:r>
          </w:p>
        </w:tc>
        <w:tc>
          <w:tcPr>
            <w:tcW w:w="1984"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rPr>
                <w:szCs w:val="24"/>
              </w:rPr>
              <w:t>9</w:t>
            </w:r>
          </w:p>
        </w:tc>
      </w:tr>
      <w:tr>
        <w:tc>
          <w:tcPr>
            <w:tcW w:w="2977" w:type="dxa"/>
            <w:tcBorders>
              <w:top w:val="nil"/>
              <w:left w:val="nil"/>
              <w:bottom w:val="nil"/>
              <w:right w:val="nil"/>
            </w:tcBorders>
            <w:vAlign w:val="center"/>
          </w:tcPr>
          <w:p>
            <w:pPr>
              <w:pStyle w:val="yTableNAm"/>
            </w:pPr>
            <w:r>
              <w:rPr>
                <w:szCs w:val="22"/>
              </w:rPr>
              <w:t>Boyup Brook</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Bremer Bay</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Bridgetown/Hester</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Broad Arrow</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Brookton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Broome</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3</w:t>
            </w:r>
          </w:p>
        </w:tc>
      </w:tr>
      <w:tr>
        <w:tc>
          <w:tcPr>
            <w:tcW w:w="2977" w:type="dxa"/>
            <w:tcBorders>
              <w:top w:val="nil"/>
              <w:left w:val="nil"/>
              <w:bottom w:val="nil"/>
              <w:right w:val="nil"/>
            </w:tcBorders>
            <w:vAlign w:val="center"/>
          </w:tcPr>
          <w:p>
            <w:pPr>
              <w:pStyle w:val="yTableNAm"/>
            </w:pPr>
            <w:r>
              <w:rPr>
                <w:szCs w:val="22"/>
              </w:rPr>
              <w:t>Broomehill</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Bruce Rock</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Brunswick/Burekup/Roelands</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7</w:t>
            </w:r>
          </w:p>
        </w:tc>
      </w:tr>
      <w:tr>
        <w:tc>
          <w:tcPr>
            <w:tcW w:w="2977" w:type="dxa"/>
            <w:tcBorders>
              <w:top w:val="nil"/>
              <w:left w:val="nil"/>
              <w:bottom w:val="nil"/>
              <w:right w:val="nil"/>
            </w:tcBorders>
            <w:vAlign w:val="center"/>
          </w:tcPr>
          <w:p>
            <w:pPr>
              <w:pStyle w:val="yTableNAm"/>
            </w:pPr>
            <w:r>
              <w:rPr>
                <w:szCs w:val="22"/>
              </w:rPr>
              <w:t>Bullaring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Bullfinch</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Bunjil</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Buntine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Burracoppin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Calingiri</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Camballin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Capel</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6</w:t>
            </w:r>
          </w:p>
        </w:tc>
      </w:tr>
      <w:tr>
        <w:tc>
          <w:tcPr>
            <w:tcW w:w="2977" w:type="dxa"/>
            <w:tcBorders>
              <w:top w:val="nil"/>
              <w:left w:val="nil"/>
              <w:bottom w:val="nil"/>
              <w:right w:val="nil"/>
            </w:tcBorders>
            <w:vAlign w:val="center"/>
          </w:tcPr>
          <w:p>
            <w:pPr>
              <w:pStyle w:val="yTableNAm"/>
            </w:pPr>
            <w:r>
              <w:rPr>
                <w:szCs w:val="22"/>
              </w:rPr>
              <w:t>Carnamah</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Carnarvon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Caron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Cervantes</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9</w:t>
            </w:r>
          </w:p>
        </w:tc>
      </w:tr>
      <w:tr>
        <w:tc>
          <w:tcPr>
            <w:tcW w:w="2977" w:type="dxa"/>
            <w:tcBorders>
              <w:top w:val="nil"/>
              <w:left w:val="nil"/>
              <w:bottom w:val="nil"/>
              <w:right w:val="nil"/>
            </w:tcBorders>
            <w:vAlign w:val="center"/>
          </w:tcPr>
          <w:p>
            <w:pPr>
              <w:pStyle w:val="yTableNAm"/>
            </w:pPr>
            <w:r>
              <w:rPr>
                <w:szCs w:val="22"/>
              </w:rPr>
              <w:t>Collie</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6</w:t>
            </w:r>
          </w:p>
        </w:tc>
      </w:tr>
      <w:tr>
        <w:tc>
          <w:tcPr>
            <w:tcW w:w="2977" w:type="dxa"/>
            <w:tcBorders>
              <w:top w:val="nil"/>
              <w:left w:val="nil"/>
              <w:bottom w:val="nil"/>
              <w:right w:val="nil"/>
            </w:tcBorders>
            <w:vAlign w:val="center"/>
          </w:tcPr>
          <w:p>
            <w:pPr>
              <w:pStyle w:val="yTableNAm"/>
            </w:pPr>
            <w:r>
              <w:rPr>
                <w:szCs w:val="22"/>
              </w:rPr>
              <w:t>Collie Farmlands</w:t>
            </w:r>
          </w:p>
        </w:tc>
        <w:tc>
          <w:tcPr>
            <w:tcW w:w="1984" w:type="dxa"/>
            <w:tcBorders>
              <w:top w:val="nil"/>
              <w:left w:val="nil"/>
              <w:bottom w:val="nil"/>
              <w:right w:val="nil"/>
            </w:tcBorders>
            <w:vAlign w:val="bottom"/>
          </w:tcPr>
          <w:p>
            <w:pPr>
              <w:pStyle w:val="yTableNAm"/>
              <w:jc w:val="center"/>
            </w:pPr>
            <w:r>
              <w:t>1</w:t>
            </w:r>
          </w:p>
        </w:tc>
        <w:tc>
          <w:tcPr>
            <w:tcW w:w="1843" w:type="dxa"/>
            <w:tcBorders>
              <w:top w:val="nil"/>
              <w:left w:val="nil"/>
              <w:bottom w:val="nil"/>
              <w:right w:val="nil"/>
            </w:tcBorders>
            <w:vAlign w:val="center"/>
          </w:tcPr>
          <w:p>
            <w:pPr>
              <w:pStyle w:val="yTableNAm"/>
              <w:jc w:val="center"/>
            </w:pPr>
            <w:r>
              <w:t>1</w:t>
            </w:r>
          </w:p>
        </w:tc>
      </w:tr>
      <w:tr>
        <w:tc>
          <w:tcPr>
            <w:tcW w:w="2977" w:type="dxa"/>
            <w:tcBorders>
              <w:top w:val="nil"/>
              <w:left w:val="nil"/>
              <w:bottom w:val="nil"/>
              <w:right w:val="nil"/>
            </w:tcBorders>
            <w:vAlign w:val="center"/>
          </w:tcPr>
          <w:p>
            <w:pPr>
              <w:pStyle w:val="yTableNAm"/>
            </w:pPr>
            <w:r>
              <w:rPr>
                <w:szCs w:val="22"/>
              </w:rPr>
              <w:t>Condingup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Coolgardie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2977" w:type="dxa"/>
            <w:tcBorders>
              <w:top w:val="nil"/>
              <w:left w:val="nil"/>
              <w:bottom w:val="nil"/>
              <w:right w:val="nil"/>
            </w:tcBorders>
            <w:vAlign w:val="center"/>
          </w:tcPr>
          <w:p>
            <w:pPr>
              <w:pStyle w:val="yTableNAm"/>
            </w:pPr>
            <w:r>
              <w:rPr>
                <w:szCs w:val="22"/>
              </w:rPr>
              <w:t>Coomberdale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Coorow</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Coral Bay</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N/A</w:t>
            </w:r>
          </w:p>
        </w:tc>
      </w:tr>
      <w:tr>
        <w:tc>
          <w:tcPr>
            <w:tcW w:w="2977" w:type="dxa"/>
            <w:tcBorders>
              <w:top w:val="nil"/>
              <w:left w:val="nil"/>
              <w:bottom w:val="nil"/>
              <w:right w:val="nil"/>
            </w:tcBorders>
            <w:vAlign w:val="center"/>
          </w:tcPr>
          <w:p>
            <w:pPr>
              <w:pStyle w:val="yTableNAm"/>
            </w:pPr>
            <w:r>
              <w:rPr>
                <w:szCs w:val="22"/>
              </w:rPr>
              <w:t>Corrigin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Cowaramup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Cranbrook</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Cuballing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Cue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Cunderdin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9</w:t>
            </w:r>
          </w:p>
        </w:tc>
      </w:tr>
      <w:tr>
        <w:tc>
          <w:tcPr>
            <w:tcW w:w="2977" w:type="dxa"/>
            <w:tcBorders>
              <w:top w:val="nil"/>
              <w:left w:val="nil"/>
              <w:bottom w:val="nil"/>
              <w:right w:val="nil"/>
            </w:tcBorders>
            <w:vAlign w:val="center"/>
          </w:tcPr>
          <w:p>
            <w:pPr>
              <w:pStyle w:val="yTableNAm"/>
            </w:pPr>
            <w:r>
              <w:rPr>
                <w:szCs w:val="22"/>
              </w:rPr>
              <w:t>Dalwallinu</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Dalyellup</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4</w:t>
            </w:r>
          </w:p>
        </w:tc>
      </w:tr>
      <w:tr>
        <w:tc>
          <w:tcPr>
            <w:tcW w:w="2977" w:type="dxa"/>
            <w:tcBorders>
              <w:top w:val="nil"/>
              <w:left w:val="nil"/>
              <w:bottom w:val="nil"/>
              <w:right w:val="nil"/>
            </w:tcBorders>
            <w:vAlign w:val="center"/>
          </w:tcPr>
          <w:p>
            <w:pPr>
              <w:pStyle w:val="yTableNAm"/>
            </w:pPr>
            <w:r>
              <w:rPr>
                <w:szCs w:val="22"/>
              </w:rPr>
              <w:t>Dandaragan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tcPr>
          <w:p>
            <w:pPr>
              <w:pStyle w:val="yTableNAm"/>
            </w:pPr>
            <w:r>
              <w:rPr>
                <w:szCs w:val="22"/>
              </w:rPr>
              <w:t>Dardanup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Darkan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Dathagnoorara Farmlands</w:t>
            </w:r>
          </w:p>
        </w:tc>
        <w:tc>
          <w:tcPr>
            <w:tcW w:w="1984"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rPr>
                <w:szCs w:val="24"/>
              </w:rPr>
              <w:t>9</w:t>
            </w:r>
          </w:p>
        </w:tc>
      </w:tr>
      <w:tr>
        <w:tc>
          <w:tcPr>
            <w:tcW w:w="2977" w:type="dxa"/>
            <w:tcBorders>
              <w:top w:val="nil"/>
              <w:left w:val="nil"/>
              <w:bottom w:val="nil"/>
              <w:right w:val="nil"/>
            </w:tcBorders>
            <w:vAlign w:val="center"/>
          </w:tcPr>
          <w:p>
            <w:pPr>
              <w:pStyle w:val="yTableNAm"/>
            </w:pPr>
            <w:r>
              <w:rPr>
                <w:szCs w:val="22"/>
              </w:rPr>
              <w:t>Denham (Saline)</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5</w:t>
            </w:r>
          </w:p>
        </w:tc>
      </w:tr>
      <w:tr>
        <w:tc>
          <w:tcPr>
            <w:tcW w:w="2977" w:type="dxa"/>
            <w:tcBorders>
              <w:top w:val="nil"/>
              <w:left w:val="nil"/>
              <w:bottom w:val="nil"/>
              <w:right w:val="nil"/>
            </w:tcBorders>
            <w:vAlign w:val="center"/>
          </w:tcPr>
          <w:p>
            <w:pPr>
              <w:pStyle w:val="yTableNAm"/>
            </w:pPr>
            <w:r>
              <w:rPr>
                <w:szCs w:val="22"/>
              </w:rPr>
              <w:t>Denmark</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Derby</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7</w:t>
            </w:r>
          </w:p>
        </w:tc>
      </w:tr>
      <w:tr>
        <w:tc>
          <w:tcPr>
            <w:tcW w:w="2977" w:type="dxa"/>
            <w:tcBorders>
              <w:top w:val="nil"/>
              <w:left w:val="nil"/>
              <w:bottom w:val="nil"/>
              <w:right w:val="nil"/>
            </w:tcBorders>
            <w:vAlign w:val="center"/>
          </w:tcPr>
          <w:p>
            <w:pPr>
              <w:pStyle w:val="yTableNAm"/>
            </w:pPr>
            <w:r>
              <w:rPr>
                <w:szCs w:val="22"/>
              </w:rPr>
              <w:t>Dongara/Denison</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3</w:t>
            </w:r>
          </w:p>
        </w:tc>
      </w:tr>
      <w:tr>
        <w:tc>
          <w:tcPr>
            <w:tcW w:w="2977" w:type="dxa"/>
            <w:tcBorders>
              <w:top w:val="nil"/>
              <w:left w:val="nil"/>
              <w:bottom w:val="nil"/>
              <w:right w:val="nil"/>
            </w:tcBorders>
            <w:vAlign w:val="center"/>
          </w:tcPr>
          <w:p>
            <w:pPr>
              <w:pStyle w:val="yTableNAm"/>
            </w:pPr>
            <w:r>
              <w:rPr>
                <w:szCs w:val="22"/>
              </w:rPr>
              <w:t>Donnybrook</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6</w:t>
            </w:r>
          </w:p>
        </w:tc>
      </w:tr>
      <w:tr>
        <w:tc>
          <w:tcPr>
            <w:tcW w:w="2977" w:type="dxa"/>
            <w:tcBorders>
              <w:top w:val="nil"/>
              <w:left w:val="nil"/>
              <w:bottom w:val="nil"/>
              <w:right w:val="nil"/>
            </w:tcBorders>
            <w:vAlign w:val="center"/>
          </w:tcPr>
          <w:p>
            <w:pPr>
              <w:pStyle w:val="yTableNAm"/>
            </w:pPr>
            <w:r>
              <w:rPr>
                <w:szCs w:val="22"/>
              </w:rPr>
              <w:t>Doodlakine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Dowerin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Dudinin/Harrismith/Jitarning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Dumbleyung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Dunsborough/Yallingup</w:t>
            </w:r>
          </w:p>
        </w:tc>
        <w:tc>
          <w:tcPr>
            <w:tcW w:w="1984" w:type="dxa"/>
            <w:tcBorders>
              <w:top w:val="nil"/>
              <w:left w:val="nil"/>
              <w:bottom w:val="nil"/>
              <w:right w:val="nil"/>
            </w:tcBorders>
            <w:vAlign w:val="bottom"/>
          </w:tcPr>
          <w:p>
            <w:pPr>
              <w:pStyle w:val="yTableNAm"/>
              <w:jc w:val="center"/>
            </w:pPr>
            <w:r>
              <w:rPr>
                <w:szCs w:val="24"/>
              </w:rPr>
              <w:t>4</w:t>
            </w:r>
          </w:p>
        </w:tc>
        <w:tc>
          <w:tcPr>
            <w:tcW w:w="1843" w:type="dxa"/>
            <w:tcBorders>
              <w:top w:val="nil"/>
              <w:left w:val="nil"/>
              <w:bottom w:val="nil"/>
              <w:right w:val="nil"/>
            </w:tcBorders>
            <w:vAlign w:val="center"/>
          </w:tcPr>
          <w:p>
            <w:pPr>
              <w:pStyle w:val="yTableNAm"/>
              <w:jc w:val="center"/>
            </w:pPr>
            <w:r>
              <w:t>7</w:t>
            </w:r>
          </w:p>
        </w:tc>
      </w:tr>
      <w:tr>
        <w:tc>
          <w:tcPr>
            <w:tcW w:w="2977" w:type="dxa"/>
            <w:tcBorders>
              <w:top w:val="nil"/>
              <w:left w:val="nil"/>
              <w:bottom w:val="nil"/>
              <w:right w:val="nil"/>
            </w:tcBorders>
            <w:vAlign w:val="center"/>
          </w:tcPr>
          <w:p>
            <w:pPr>
              <w:pStyle w:val="yTableNAm"/>
            </w:pPr>
            <w:r>
              <w:rPr>
                <w:szCs w:val="22"/>
              </w:rPr>
              <w:t>Dwellingup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Eneabba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Eradu</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Esperance</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7</w:t>
            </w:r>
          </w:p>
        </w:tc>
      </w:tr>
      <w:tr>
        <w:tc>
          <w:tcPr>
            <w:tcW w:w="2977" w:type="dxa"/>
            <w:tcBorders>
              <w:top w:val="nil"/>
              <w:left w:val="nil"/>
              <w:bottom w:val="nil"/>
              <w:right w:val="nil"/>
            </w:tcBorders>
            <w:vAlign w:val="center"/>
          </w:tcPr>
          <w:p>
            <w:pPr>
              <w:pStyle w:val="yTableNAm"/>
            </w:pPr>
            <w:r>
              <w:rPr>
                <w:szCs w:val="22"/>
              </w:rPr>
              <w:t>Exmouth</w:t>
            </w:r>
          </w:p>
        </w:tc>
        <w:tc>
          <w:tcPr>
            <w:tcW w:w="1984"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11</w:t>
            </w:r>
          </w:p>
        </w:tc>
      </w:tr>
      <w:tr>
        <w:tc>
          <w:tcPr>
            <w:tcW w:w="2977" w:type="dxa"/>
            <w:tcBorders>
              <w:top w:val="nil"/>
              <w:left w:val="nil"/>
              <w:bottom w:val="nil"/>
              <w:right w:val="nil"/>
            </w:tcBorders>
            <w:vAlign w:val="center"/>
          </w:tcPr>
          <w:p>
            <w:pPr>
              <w:pStyle w:val="yTableNAm"/>
            </w:pPr>
            <w:r>
              <w:rPr>
                <w:szCs w:val="22"/>
              </w:rPr>
              <w:t>Fitzroy Crossing</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3</w:t>
            </w:r>
          </w:p>
        </w:tc>
      </w:tr>
      <w:tr>
        <w:tc>
          <w:tcPr>
            <w:tcW w:w="2977" w:type="dxa"/>
            <w:tcBorders>
              <w:top w:val="nil"/>
              <w:left w:val="nil"/>
              <w:bottom w:val="nil"/>
              <w:right w:val="nil"/>
            </w:tcBorders>
            <w:vAlign w:val="center"/>
          </w:tcPr>
          <w:p>
            <w:pPr>
              <w:pStyle w:val="yTableNAm"/>
            </w:pPr>
            <w:r>
              <w:rPr>
                <w:szCs w:val="22"/>
              </w:rPr>
              <w:t>Frankland</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Gabbadah</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Gascoyne Junction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Geraldton</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3</w:t>
            </w:r>
          </w:p>
        </w:tc>
      </w:tr>
      <w:tr>
        <w:tc>
          <w:tcPr>
            <w:tcW w:w="2977" w:type="dxa"/>
            <w:tcBorders>
              <w:top w:val="nil"/>
              <w:left w:val="nil"/>
              <w:bottom w:val="nil"/>
              <w:right w:val="nil"/>
            </w:tcBorders>
            <w:vAlign w:val="center"/>
          </w:tcPr>
          <w:p>
            <w:pPr>
              <w:pStyle w:val="yTableNAm"/>
            </w:pPr>
            <w:r>
              <w:rPr>
                <w:szCs w:val="22"/>
              </w:rPr>
              <w:t>Gibson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Gingin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Gnowangerup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Goomalling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Grass Patch</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Grass Valley</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Greenbushes</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Greenhead</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Guilderton</w:t>
            </w:r>
          </w:p>
        </w:tc>
        <w:tc>
          <w:tcPr>
            <w:tcW w:w="1984"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rPr>
                <w:szCs w:val="24"/>
              </w:rPr>
              <w:t>10</w:t>
            </w:r>
          </w:p>
        </w:tc>
      </w:tr>
      <w:tr>
        <w:tc>
          <w:tcPr>
            <w:tcW w:w="2977" w:type="dxa"/>
            <w:tcBorders>
              <w:top w:val="nil"/>
              <w:left w:val="nil"/>
              <w:bottom w:val="nil"/>
              <w:right w:val="nil"/>
            </w:tcBorders>
            <w:vAlign w:val="center"/>
          </w:tcPr>
          <w:p>
            <w:pPr>
              <w:pStyle w:val="yTableNAm"/>
            </w:pPr>
            <w:r>
              <w:rPr>
                <w:szCs w:val="22"/>
              </w:rPr>
              <w:t>Halls Creek</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Hamel/Waroona</w:t>
            </w:r>
          </w:p>
        </w:tc>
        <w:tc>
          <w:tcPr>
            <w:tcW w:w="1984" w:type="dxa"/>
            <w:tcBorders>
              <w:top w:val="nil"/>
              <w:left w:val="nil"/>
              <w:bottom w:val="nil"/>
              <w:right w:val="nil"/>
            </w:tcBorders>
            <w:vAlign w:val="bottom"/>
          </w:tcPr>
          <w:p>
            <w:pPr>
              <w:pStyle w:val="yTableNAm"/>
              <w:jc w:val="center"/>
            </w:pPr>
            <w:r>
              <w:rPr>
                <w:szCs w:val="24"/>
              </w:rPr>
              <w:t>4</w:t>
            </w:r>
          </w:p>
        </w:tc>
        <w:tc>
          <w:tcPr>
            <w:tcW w:w="1843" w:type="dxa"/>
            <w:tcBorders>
              <w:top w:val="nil"/>
              <w:left w:val="nil"/>
              <w:bottom w:val="nil"/>
              <w:right w:val="nil"/>
            </w:tcBorders>
            <w:vAlign w:val="center"/>
          </w:tcPr>
          <w:p>
            <w:pPr>
              <w:pStyle w:val="yTableNAm"/>
              <w:jc w:val="center"/>
            </w:pPr>
            <w:r>
              <w:rPr>
                <w:szCs w:val="24"/>
              </w:rPr>
              <w:t>6</w:t>
            </w:r>
          </w:p>
        </w:tc>
      </w:tr>
      <w:tr>
        <w:tc>
          <w:tcPr>
            <w:tcW w:w="2977" w:type="dxa"/>
            <w:tcBorders>
              <w:top w:val="nil"/>
              <w:left w:val="nil"/>
              <w:bottom w:val="nil"/>
              <w:right w:val="nil"/>
            </w:tcBorders>
            <w:vAlign w:val="center"/>
          </w:tcPr>
          <w:p>
            <w:pPr>
              <w:pStyle w:val="yTableNAm"/>
            </w:pPr>
            <w:r>
              <w:rPr>
                <w:szCs w:val="22"/>
              </w:rPr>
              <w:t>Harvey/Wokalup</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7</w:t>
            </w:r>
          </w:p>
        </w:tc>
      </w:tr>
      <w:tr>
        <w:tc>
          <w:tcPr>
            <w:tcW w:w="2977" w:type="dxa"/>
            <w:tcBorders>
              <w:top w:val="nil"/>
              <w:left w:val="nil"/>
              <w:bottom w:val="nil"/>
              <w:right w:val="nil"/>
            </w:tcBorders>
            <w:vAlign w:val="center"/>
          </w:tcPr>
          <w:p>
            <w:pPr>
              <w:pStyle w:val="yTableNAm"/>
            </w:pPr>
            <w:r>
              <w:rPr>
                <w:szCs w:val="22"/>
              </w:rPr>
              <w:t>Highbury/Piesseville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Hines Hill</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Hopetoun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Horrocks</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Hyden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Jerramungup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Jurien Bay</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5</w:t>
            </w:r>
          </w:p>
        </w:tc>
      </w:tr>
      <w:tr>
        <w:tc>
          <w:tcPr>
            <w:tcW w:w="2977" w:type="dxa"/>
            <w:tcBorders>
              <w:top w:val="nil"/>
              <w:left w:val="nil"/>
              <w:bottom w:val="nil"/>
              <w:right w:val="nil"/>
            </w:tcBorders>
            <w:vAlign w:val="center"/>
          </w:tcPr>
          <w:p>
            <w:pPr>
              <w:pStyle w:val="yTableNAm"/>
            </w:pPr>
            <w:r>
              <w:rPr>
                <w:szCs w:val="22"/>
              </w:rPr>
              <w:t>Kalannie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Kalbarri</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4</w:t>
            </w:r>
          </w:p>
        </w:tc>
      </w:tr>
      <w:tr>
        <w:tc>
          <w:tcPr>
            <w:tcW w:w="2977" w:type="dxa"/>
            <w:tcBorders>
              <w:top w:val="nil"/>
              <w:left w:val="nil"/>
              <w:bottom w:val="nil"/>
              <w:right w:val="nil"/>
            </w:tcBorders>
            <w:vAlign w:val="center"/>
          </w:tcPr>
          <w:p>
            <w:pPr>
              <w:pStyle w:val="yTableNAm"/>
            </w:pPr>
            <w:r>
              <w:rPr>
                <w:szCs w:val="22"/>
              </w:rPr>
              <w:t>Kalgoorlie/Boulder</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Kambalda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11</w:t>
            </w:r>
          </w:p>
        </w:tc>
      </w:tr>
      <w:tr>
        <w:tc>
          <w:tcPr>
            <w:tcW w:w="2977" w:type="dxa"/>
            <w:tcBorders>
              <w:top w:val="nil"/>
              <w:left w:val="nil"/>
              <w:bottom w:val="nil"/>
              <w:right w:val="nil"/>
            </w:tcBorders>
            <w:vAlign w:val="center"/>
          </w:tcPr>
          <w:p>
            <w:pPr>
              <w:pStyle w:val="yTableNAm"/>
            </w:pPr>
            <w:r>
              <w:rPr>
                <w:szCs w:val="22"/>
              </w:rPr>
              <w:t>Karakin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Karlgarin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Karratha</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8</w:t>
            </w:r>
          </w:p>
        </w:tc>
      </w:tr>
      <w:tr>
        <w:tc>
          <w:tcPr>
            <w:tcW w:w="2977" w:type="dxa"/>
            <w:tcBorders>
              <w:top w:val="nil"/>
              <w:left w:val="nil"/>
              <w:bottom w:val="nil"/>
              <w:right w:val="nil"/>
            </w:tcBorders>
            <w:vAlign w:val="center"/>
          </w:tcPr>
          <w:p>
            <w:pPr>
              <w:pStyle w:val="yTableNAm"/>
            </w:pPr>
            <w:r>
              <w:rPr>
                <w:szCs w:val="22"/>
              </w:rPr>
              <w:t>Katanning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Katanning Farmlands</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Kellerberrin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Kendenup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Kendenup Farmlands</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Kirup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Kojonup/Muradup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Kondinin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Koorda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Kukerin/Moulyinning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Kulin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Kununoppin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tcPr>
          <w:p>
            <w:pPr>
              <w:pStyle w:val="yTableNAm"/>
            </w:pPr>
            <w:r>
              <w:rPr>
                <w:szCs w:val="22"/>
              </w:rPr>
              <w:t>Kununurra</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4</w:t>
            </w:r>
          </w:p>
        </w:tc>
      </w:tr>
      <w:tr>
        <w:tc>
          <w:tcPr>
            <w:tcW w:w="2977" w:type="dxa"/>
            <w:tcBorders>
              <w:top w:val="nil"/>
              <w:left w:val="nil"/>
              <w:bottom w:val="nil"/>
              <w:right w:val="nil"/>
            </w:tcBorders>
            <w:vAlign w:val="center"/>
          </w:tcPr>
          <w:p>
            <w:pPr>
              <w:pStyle w:val="yTableNAm"/>
            </w:pPr>
            <w:r>
              <w:rPr>
                <w:szCs w:val="22"/>
              </w:rPr>
              <w:t>Lake Grace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Lake King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Lancelin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Latham</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Laverton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Ledge Point</w:t>
            </w:r>
          </w:p>
        </w:tc>
        <w:tc>
          <w:tcPr>
            <w:tcW w:w="1984" w:type="dxa"/>
            <w:tcBorders>
              <w:top w:val="nil"/>
              <w:left w:val="nil"/>
              <w:bottom w:val="nil"/>
              <w:right w:val="nil"/>
            </w:tcBorders>
            <w:vAlign w:val="bottom"/>
          </w:tcPr>
          <w:p>
            <w:pPr>
              <w:pStyle w:val="yTableNAm"/>
              <w:jc w:val="center"/>
            </w:pPr>
            <w:r>
              <w:rPr>
                <w:szCs w:val="24"/>
              </w:rP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Leeman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Leonora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Mandurah</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5</w:t>
            </w:r>
          </w:p>
        </w:tc>
      </w:tr>
      <w:tr>
        <w:tc>
          <w:tcPr>
            <w:tcW w:w="2977" w:type="dxa"/>
            <w:tcBorders>
              <w:top w:val="nil"/>
              <w:left w:val="nil"/>
              <w:bottom w:val="nil"/>
              <w:right w:val="nil"/>
            </w:tcBorders>
            <w:vAlign w:val="center"/>
          </w:tcPr>
          <w:p>
            <w:pPr>
              <w:pStyle w:val="yTableNAm"/>
            </w:pPr>
            <w:r>
              <w:rPr>
                <w:szCs w:val="22"/>
              </w:rPr>
              <w:t>Manjimup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12</w:t>
            </w:r>
          </w:p>
        </w:tc>
      </w:tr>
      <w:tr>
        <w:tc>
          <w:tcPr>
            <w:tcW w:w="2977" w:type="dxa"/>
            <w:tcBorders>
              <w:top w:val="nil"/>
              <w:left w:val="nil"/>
              <w:bottom w:val="nil"/>
              <w:right w:val="nil"/>
            </w:tcBorders>
            <w:vAlign w:val="center"/>
          </w:tcPr>
          <w:p>
            <w:pPr>
              <w:pStyle w:val="yTableNAm"/>
            </w:pPr>
            <w:r>
              <w:rPr>
                <w:szCs w:val="22"/>
              </w:rPr>
              <w:t>Marble Bar</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Margaret River</w:t>
            </w:r>
          </w:p>
        </w:tc>
        <w:tc>
          <w:tcPr>
            <w:tcW w:w="1984" w:type="dxa"/>
            <w:tcBorders>
              <w:top w:val="nil"/>
              <w:left w:val="nil"/>
              <w:bottom w:val="nil"/>
              <w:right w:val="nil"/>
            </w:tcBorders>
            <w:vAlign w:val="bottom"/>
          </w:tcPr>
          <w:p>
            <w:pPr>
              <w:pStyle w:val="yTableNAm"/>
              <w:jc w:val="center"/>
            </w:pPr>
            <w:r>
              <w:rPr>
                <w:szCs w:val="24"/>
              </w:rPr>
              <w:t>4</w:t>
            </w:r>
          </w:p>
        </w:tc>
        <w:tc>
          <w:tcPr>
            <w:tcW w:w="1843" w:type="dxa"/>
            <w:tcBorders>
              <w:top w:val="nil"/>
              <w:left w:val="nil"/>
              <w:bottom w:val="nil"/>
              <w:right w:val="nil"/>
            </w:tcBorders>
            <w:vAlign w:val="center"/>
          </w:tcPr>
          <w:p>
            <w:pPr>
              <w:pStyle w:val="yTableNAm"/>
              <w:jc w:val="center"/>
            </w:pPr>
            <w:r>
              <w:rPr>
                <w:szCs w:val="24"/>
              </w:rPr>
              <w:t>7</w:t>
            </w:r>
          </w:p>
        </w:tc>
      </w:tr>
      <w:tr>
        <w:tc>
          <w:tcPr>
            <w:tcW w:w="2977" w:type="dxa"/>
            <w:tcBorders>
              <w:top w:val="nil"/>
              <w:left w:val="nil"/>
              <w:bottom w:val="nil"/>
              <w:right w:val="nil"/>
            </w:tcBorders>
            <w:vAlign w:val="center"/>
          </w:tcPr>
          <w:p>
            <w:pPr>
              <w:pStyle w:val="yTableNAm"/>
            </w:pPr>
            <w:r>
              <w:rPr>
                <w:szCs w:val="22"/>
              </w:rPr>
              <w:t>Marvel Loch</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Meckering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Meekatharra</w:t>
            </w:r>
          </w:p>
        </w:tc>
        <w:tc>
          <w:tcPr>
            <w:tcW w:w="1984"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11</w:t>
            </w:r>
          </w:p>
        </w:tc>
      </w:tr>
      <w:tr>
        <w:tc>
          <w:tcPr>
            <w:tcW w:w="2977" w:type="dxa"/>
            <w:tcBorders>
              <w:top w:val="nil"/>
              <w:left w:val="nil"/>
              <w:bottom w:val="nil"/>
              <w:right w:val="nil"/>
            </w:tcBorders>
            <w:vAlign w:val="center"/>
          </w:tcPr>
          <w:p>
            <w:pPr>
              <w:pStyle w:val="yTableNAm"/>
            </w:pPr>
            <w:r>
              <w:rPr>
                <w:szCs w:val="22"/>
              </w:rPr>
              <w:t>Menzies</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Merredin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Merredin Farmlands</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9</w:t>
            </w:r>
          </w:p>
        </w:tc>
      </w:tr>
      <w:tr>
        <w:tc>
          <w:tcPr>
            <w:tcW w:w="2977" w:type="dxa"/>
            <w:tcBorders>
              <w:top w:val="nil"/>
              <w:left w:val="nil"/>
              <w:bottom w:val="nil"/>
              <w:right w:val="nil"/>
            </w:tcBorders>
            <w:vAlign w:val="center"/>
          </w:tcPr>
          <w:p>
            <w:pPr>
              <w:pStyle w:val="yTableNAm"/>
            </w:pPr>
            <w:r>
              <w:rPr>
                <w:szCs w:val="22"/>
              </w:rPr>
              <w:t>Miling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Mingenew</w:t>
            </w:r>
          </w:p>
        </w:tc>
        <w:tc>
          <w:tcPr>
            <w:tcW w:w="1984" w:type="dxa"/>
            <w:tcBorders>
              <w:top w:val="nil"/>
              <w:left w:val="nil"/>
              <w:bottom w:val="nil"/>
              <w:right w:val="nil"/>
            </w:tcBorders>
            <w:vAlign w:val="bottom"/>
          </w:tcPr>
          <w:p>
            <w:pPr>
              <w:pStyle w:val="yTableNAm"/>
              <w:jc w:val="center"/>
            </w:pPr>
            <w:r>
              <w:rPr>
                <w:szCs w:val="24"/>
              </w:rPr>
              <w:t>5</w:t>
            </w:r>
          </w:p>
        </w:tc>
        <w:tc>
          <w:tcPr>
            <w:tcW w:w="1843" w:type="dxa"/>
            <w:tcBorders>
              <w:top w:val="nil"/>
              <w:left w:val="nil"/>
              <w:bottom w:val="nil"/>
              <w:right w:val="nil"/>
            </w:tcBorders>
            <w:vAlign w:val="center"/>
          </w:tcPr>
          <w:p>
            <w:pPr>
              <w:pStyle w:val="yTableNAm"/>
              <w:jc w:val="center"/>
            </w:pPr>
            <w:r>
              <w:t>12</w:t>
            </w:r>
          </w:p>
        </w:tc>
      </w:tr>
      <w:tr>
        <w:tc>
          <w:tcPr>
            <w:tcW w:w="2977" w:type="dxa"/>
            <w:tcBorders>
              <w:top w:val="nil"/>
              <w:left w:val="nil"/>
              <w:bottom w:val="nil"/>
              <w:right w:val="nil"/>
            </w:tcBorders>
            <w:vAlign w:val="center"/>
          </w:tcPr>
          <w:p>
            <w:pPr>
              <w:pStyle w:val="yTableNAm"/>
            </w:pPr>
            <w:r>
              <w:rPr>
                <w:szCs w:val="22"/>
              </w:rPr>
              <w:t>Moora</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3</w:t>
            </w:r>
          </w:p>
        </w:tc>
      </w:tr>
      <w:tr>
        <w:tc>
          <w:tcPr>
            <w:tcW w:w="2977" w:type="dxa"/>
            <w:tcBorders>
              <w:top w:val="nil"/>
              <w:left w:val="nil"/>
              <w:bottom w:val="nil"/>
              <w:right w:val="nil"/>
            </w:tcBorders>
            <w:vAlign w:val="center"/>
          </w:tcPr>
          <w:p>
            <w:pPr>
              <w:pStyle w:val="yTableNAm"/>
            </w:pPr>
            <w:r>
              <w:rPr>
                <w:szCs w:val="22"/>
              </w:rPr>
              <w:t>Moorine Rock</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Morawa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Mount Barker</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Mount Magnet</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Mukinbudin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Mullalyup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Mullewa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12</w:t>
            </w:r>
          </w:p>
        </w:tc>
      </w:tr>
      <w:tr>
        <w:tc>
          <w:tcPr>
            <w:tcW w:w="2977" w:type="dxa"/>
            <w:tcBorders>
              <w:top w:val="nil"/>
              <w:left w:val="nil"/>
              <w:bottom w:val="nil"/>
              <w:right w:val="nil"/>
            </w:tcBorders>
            <w:vAlign w:val="center"/>
          </w:tcPr>
          <w:p>
            <w:pPr>
              <w:pStyle w:val="yTableNAm"/>
            </w:pPr>
            <w:r>
              <w:rPr>
                <w:szCs w:val="22"/>
              </w:rPr>
              <w:t>Mullewa Farmlands</w:t>
            </w:r>
          </w:p>
        </w:tc>
        <w:tc>
          <w:tcPr>
            <w:tcW w:w="1984"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Munglinup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Muntadgin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Myalup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Nabawa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Nannup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Narembeen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Narngulu</w:t>
            </w:r>
          </w:p>
        </w:tc>
        <w:tc>
          <w:tcPr>
            <w:tcW w:w="1984" w:type="dxa"/>
            <w:tcBorders>
              <w:top w:val="nil"/>
              <w:left w:val="nil"/>
              <w:bottom w:val="nil"/>
              <w:right w:val="nil"/>
            </w:tcBorders>
            <w:vAlign w:val="bottom"/>
          </w:tcPr>
          <w:p>
            <w:pPr>
              <w:pStyle w:val="yTableNAm"/>
              <w:jc w:val="center"/>
            </w:pPr>
            <w:r>
              <w:t>1</w:t>
            </w:r>
          </w:p>
        </w:tc>
        <w:tc>
          <w:tcPr>
            <w:tcW w:w="1843" w:type="dxa"/>
            <w:tcBorders>
              <w:top w:val="nil"/>
              <w:left w:val="nil"/>
              <w:bottom w:val="nil"/>
              <w:right w:val="nil"/>
            </w:tcBorders>
            <w:vAlign w:val="center"/>
          </w:tcPr>
          <w:p>
            <w:pPr>
              <w:pStyle w:val="yTableNAm"/>
              <w:jc w:val="center"/>
            </w:pPr>
            <w:r>
              <w:t>1</w:t>
            </w:r>
          </w:p>
        </w:tc>
      </w:tr>
      <w:tr>
        <w:tc>
          <w:tcPr>
            <w:tcW w:w="2977" w:type="dxa"/>
            <w:tcBorders>
              <w:top w:val="nil"/>
              <w:left w:val="nil"/>
              <w:bottom w:val="nil"/>
              <w:right w:val="nil"/>
            </w:tcBorders>
            <w:vAlign w:val="center"/>
          </w:tcPr>
          <w:p>
            <w:pPr>
              <w:pStyle w:val="yTableNAm"/>
            </w:pPr>
            <w:r>
              <w:rPr>
                <w:szCs w:val="22"/>
              </w:rPr>
              <w:t>Narrikup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Narrogin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Narrogin Farmlands</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9</w:t>
            </w:r>
          </w:p>
        </w:tc>
      </w:tr>
      <w:tr>
        <w:tc>
          <w:tcPr>
            <w:tcW w:w="2977" w:type="dxa"/>
            <w:tcBorders>
              <w:top w:val="nil"/>
              <w:left w:val="nil"/>
              <w:bottom w:val="nil"/>
              <w:right w:val="nil"/>
            </w:tcBorders>
            <w:vAlign w:val="center"/>
          </w:tcPr>
          <w:p>
            <w:pPr>
              <w:pStyle w:val="yTableNAm"/>
            </w:pPr>
            <w:r>
              <w:rPr>
                <w:szCs w:val="22"/>
              </w:rPr>
              <w:t>Newdegate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Newman</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3</w:t>
            </w:r>
          </w:p>
        </w:tc>
      </w:tr>
      <w:tr>
        <w:tc>
          <w:tcPr>
            <w:tcW w:w="2977" w:type="dxa"/>
            <w:tcBorders>
              <w:top w:val="nil"/>
              <w:left w:val="nil"/>
              <w:bottom w:val="nil"/>
              <w:right w:val="nil"/>
            </w:tcBorders>
            <w:vAlign w:val="center"/>
          </w:tcPr>
          <w:p>
            <w:pPr>
              <w:pStyle w:val="yTableNAm"/>
            </w:pPr>
            <w:r>
              <w:rPr>
                <w:szCs w:val="22"/>
              </w:rPr>
              <w:t>New Norcia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Nilgen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10</w:t>
            </w:r>
          </w:p>
        </w:tc>
      </w:tr>
      <w:tr>
        <w:tc>
          <w:tcPr>
            <w:tcW w:w="2977" w:type="dxa"/>
            <w:tcBorders>
              <w:top w:val="nil"/>
              <w:left w:val="nil"/>
              <w:bottom w:val="nil"/>
              <w:right w:val="nil"/>
            </w:tcBorders>
            <w:vAlign w:val="center"/>
          </w:tcPr>
          <w:p>
            <w:pPr>
              <w:pStyle w:val="yTableNAm"/>
            </w:pPr>
            <w:r>
              <w:rPr>
                <w:szCs w:val="22"/>
              </w:rPr>
              <w:t>Norseman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Northam</w:t>
            </w:r>
          </w:p>
        </w:tc>
        <w:tc>
          <w:tcPr>
            <w:tcW w:w="1984" w:type="dxa"/>
            <w:tcBorders>
              <w:top w:val="nil"/>
              <w:left w:val="nil"/>
              <w:bottom w:val="nil"/>
              <w:right w:val="nil"/>
            </w:tcBorders>
            <w:vAlign w:val="bottom"/>
          </w:tcPr>
          <w:p>
            <w:pPr>
              <w:pStyle w:val="yTableNAm"/>
              <w:jc w:val="center"/>
            </w:pPr>
            <w:r>
              <w:rPr>
                <w:szCs w:val="24"/>
              </w:rPr>
              <w:t>5</w:t>
            </w:r>
          </w:p>
        </w:tc>
        <w:tc>
          <w:tcPr>
            <w:tcW w:w="1843" w:type="dxa"/>
            <w:tcBorders>
              <w:top w:val="nil"/>
              <w:left w:val="nil"/>
              <w:bottom w:val="nil"/>
              <w:right w:val="nil"/>
            </w:tcBorders>
            <w:vAlign w:val="center"/>
          </w:tcPr>
          <w:p>
            <w:pPr>
              <w:pStyle w:val="yTableNAm"/>
              <w:jc w:val="center"/>
            </w:pPr>
            <w:r>
              <w:rPr>
                <w:szCs w:val="24"/>
              </w:rPr>
              <w:t>9</w:t>
            </w:r>
          </w:p>
        </w:tc>
      </w:tr>
      <w:tr>
        <w:tc>
          <w:tcPr>
            <w:tcW w:w="2977" w:type="dxa"/>
            <w:tcBorders>
              <w:top w:val="nil"/>
              <w:left w:val="nil"/>
              <w:bottom w:val="nil"/>
              <w:right w:val="nil"/>
            </w:tcBorders>
            <w:vAlign w:val="center"/>
          </w:tcPr>
          <w:p>
            <w:pPr>
              <w:pStyle w:val="yTableNAm"/>
            </w:pPr>
            <w:r>
              <w:rPr>
                <w:szCs w:val="22"/>
              </w:rPr>
              <w:t>Northam Farmlands</w:t>
            </w:r>
          </w:p>
        </w:tc>
        <w:tc>
          <w:tcPr>
            <w:tcW w:w="1984"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9</w:t>
            </w:r>
          </w:p>
        </w:tc>
      </w:tr>
      <w:tr>
        <w:tc>
          <w:tcPr>
            <w:tcW w:w="2977" w:type="dxa"/>
            <w:tcBorders>
              <w:top w:val="nil"/>
              <w:left w:val="nil"/>
              <w:bottom w:val="nil"/>
              <w:right w:val="nil"/>
            </w:tcBorders>
            <w:vAlign w:val="center"/>
          </w:tcPr>
          <w:p>
            <w:pPr>
              <w:pStyle w:val="yTableNAm"/>
            </w:pPr>
            <w:r>
              <w:rPr>
                <w:szCs w:val="22"/>
              </w:rPr>
              <w:t>Northampton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Northcliffe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North Dandalup</w:t>
            </w:r>
          </w:p>
        </w:tc>
        <w:tc>
          <w:tcPr>
            <w:tcW w:w="1984" w:type="dxa"/>
            <w:tcBorders>
              <w:top w:val="nil"/>
              <w:left w:val="nil"/>
              <w:bottom w:val="nil"/>
              <w:right w:val="nil"/>
            </w:tcBorders>
            <w:vAlign w:val="bottom"/>
          </w:tcPr>
          <w:p>
            <w:pPr>
              <w:pStyle w:val="yTableNAm"/>
              <w:jc w:val="center"/>
            </w:pPr>
            <w:r>
              <w:rPr>
                <w:szCs w:val="24"/>
              </w:rPr>
              <w:t>4</w:t>
            </w:r>
          </w:p>
        </w:tc>
        <w:tc>
          <w:tcPr>
            <w:tcW w:w="1843" w:type="dxa"/>
            <w:tcBorders>
              <w:top w:val="nil"/>
              <w:left w:val="nil"/>
              <w:bottom w:val="nil"/>
              <w:right w:val="nil"/>
            </w:tcBorders>
            <w:vAlign w:val="center"/>
          </w:tcPr>
          <w:p>
            <w:pPr>
              <w:pStyle w:val="yTableNAm"/>
              <w:jc w:val="center"/>
            </w:pPr>
            <w:r>
              <w:t>11</w:t>
            </w:r>
          </w:p>
        </w:tc>
      </w:tr>
      <w:tr>
        <w:tc>
          <w:tcPr>
            <w:tcW w:w="2977" w:type="dxa"/>
            <w:tcBorders>
              <w:top w:val="nil"/>
              <w:left w:val="nil"/>
              <w:bottom w:val="nil"/>
              <w:right w:val="nil"/>
            </w:tcBorders>
            <w:vAlign w:val="center"/>
          </w:tcPr>
          <w:p>
            <w:pPr>
              <w:pStyle w:val="yTableNAm"/>
            </w:pPr>
            <w:r>
              <w:rPr>
                <w:szCs w:val="22"/>
              </w:rPr>
              <w:t>Nullagine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Nungarin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Nyabing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Ongerup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Onslow</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Ora Banda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Park Ridge</w:t>
            </w:r>
          </w:p>
        </w:tc>
        <w:tc>
          <w:tcPr>
            <w:tcW w:w="1984"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rPr>
                <w:szCs w:val="24"/>
              </w:rPr>
              <w:t>9</w:t>
            </w:r>
          </w:p>
        </w:tc>
      </w:tr>
      <w:tr>
        <w:tc>
          <w:tcPr>
            <w:tcW w:w="2977" w:type="dxa"/>
            <w:tcBorders>
              <w:top w:val="nil"/>
              <w:left w:val="nil"/>
              <w:bottom w:val="nil"/>
              <w:right w:val="nil"/>
            </w:tcBorders>
            <w:vAlign w:val="center"/>
          </w:tcPr>
          <w:p>
            <w:pPr>
              <w:pStyle w:val="yTableNAm"/>
            </w:pPr>
            <w:r>
              <w:rPr>
                <w:szCs w:val="22"/>
              </w:rPr>
              <w:t>Pemberton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Peppermint Grove Beach</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2977" w:type="dxa"/>
            <w:tcBorders>
              <w:top w:val="nil"/>
              <w:left w:val="nil"/>
              <w:bottom w:val="nil"/>
              <w:right w:val="nil"/>
            </w:tcBorders>
            <w:vAlign w:val="center"/>
          </w:tcPr>
          <w:p>
            <w:pPr>
              <w:pStyle w:val="yTableNAm"/>
            </w:pPr>
            <w:r>
              <w:rPr>
                <w:szCs w:val="22"/>
              </w:rPr>
              <w:t>Perenjori</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Pingaring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Pingelly</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Pingrup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Pinjarra</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2</w:t>
            </w:r>
          </w:p>
        </w:tc>
      </w:tr>
      <w:tr>
        <w:tc>
          <w:tcPr>
            <w:tcW w:w="2977" w:type="dxa"/>
            <w:tcBorders>
              <w:top w:val="nil"/>
              <w:left w:val="nil"/>
              <w:bottom w:val="nil"/>
              <w:right w:val="nil"/>
            </w:tcBorders>
            <w:vAlign w:val="center"/>
          </w:tcPr>
          <w:p>
            <w:pPr>
              <w:pStyle w:val="yTableNAm"/>
            </w:pPr>
            <w:r>
              <w:rPr>
                <w:szCs w:val="22"/>
              </w:rPr>
              <w:t>Pithara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Point Samson</w:t>
            </w:r>
          </w:p>
        </w:tc>
        <w:tc>
          <w:tcPr>
            <w:tcW w:w="1984"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10</w:t>
            </w:r>
          </w:p>
        </w:tc>
      </w:tr>
      <w:tr>
        <w:tc>
          <w:tcPr>
            <w:tcW w:w="2977" w:type="dxa"/>
            <w:tcBorders>
              <w:top w:val="nil"/>
              <w:left w:val="nil"/>
              <w:bottom w:val="nil"/>
              <w:right w:val="nil"/>
            </w:tcBorders>
            <w:vAlign w:val="center"/>
          </w:tcPr>
          <w:p>
            <w:pPr>
              <w:pStyle w:val="yTableNAm"/>
            </w:pPr>
            <w:r>
              <w:rPr>
                <w:szCs w:val="22"/>
              </w:rPr>
              <w:t>Popanyinning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Porongurup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7</w:t>
            </w:r>
          </w:p>
        </w:tc>
      </w:tr>
      <w:tr>
        <w:tc>
          <w:tcPr>
            <w:tcW w:w="2977" w:type="dxa"/>
            <w:tcBorders>
              <w:top w:val="nil"/>
              <w:left w:val="nil"/>
              <w:bottom w:val="nil"/>
              <w:right w:val="nil"/>
            </w:tcBorders>
            <w:vAlign w:val="center"/>
          </w:tcPr>
          <w:p>
            <w:pPr>
              <w:pStyle w:val="yTableNAm"/>
            </w:pPr>
            <w:r>
              <w:rPr>
                <w:szCs w:val="22"/>
              </w:rPr>
              <w:t>Port Hedland</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5</w:t>
            </w:r>
          </w:p>
        </w:tc>
      </w:tr>
      <w:tr>
        <w:tc>
          <w:tcPr>
            <w:tcW w:w="2977" w:type="dxa"/>
            <w:tcBorders>
              <w:top w:val="nil"/>
              <w:left w:val="nil"/>
              <w:bottom w:val="nil"/>
              <w:right w:val="nil"/>
            </w:tcBorders>
            <w:vAlign w:val="center"/>
          </w:tcPr>
          <w:p>
            <w:pPr>
              <w:pStyle w:val="yTableNAm"/>
            </w:pPr>
            <w:r>
              <w:rPr>
                <w:szCs w:val="22"/>
              </w:rPr>
              <w:t>Preston Beach</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Prevelly</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9</w:t>
            </w:r>
          </w:p>
        </w:tc>
      </w:tr>
      <w:tr>
        <w:tc>
          <w:tcPr>
            <w:tcW w:w="2977" w:type="dxa"/>
            <w:tcBorders>
              <w:top w:val="nil"/>
              <w:left w:val="nil"/>
              <w:bottom w:val="nil"/>
              <w:right w:val="nil"/>
            </w:tcBorders>
            <w:vAlign w:val="center"/>
          </w:tcPr>
          <w:p>
            <w:pPr>
              <w:pStyle w:val="yTableNAm"/>
            </w:pPr>
            <w:r>
              <w:rPr>
                <w:szCs w:val="22"/>
              </w:rPr>
              <w:t>Quairading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Quinninup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Ravensthorpe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Rocky Gully</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Roebourne</w:t>
            </w:r>
          </w:p>
        </w:tc>
        <w:tc>
          <w:tcPr>
            <w:tcW w:w="1984"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10</w:t>
            </w:r>
          </w:p>
        </w:tc>
      </w:tr>
      <w:tr>
        <w:tc>
          <w:tcPr>
            <w:tcW w:w="2977" w:type="dxa"/>
            <w:tcBorders>
              <w:top w:val="nil"/>
              <w:left w:val="nil"/>
              <w:bottom w:val="nil"/>
              <w:right w:val="nil"/>
            </w:tcBorders>
            <w:vAlign w:val="center"/>
          </w:tcPr>
          <w:p>
            <w:pPr>
              <w:pStyle w:val="yTableNAm"/>
            </w:pPr>
            <w:r>
              <w:rPr>
                <w:szCs w:val="22"/>
              </w:rPr>
              <w:t>Salmon Gums</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Sandstone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Seabird</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Southern Cross</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12</w:t>
            </w:r>
          </w:p>
        </w:tc>
      </w:tr>
      <w:tr>
        <w:tc>
          <w:tcPr>
            <w:tcW w:w="2977" w:type="dxa"/>
            <w:tcBorders>
              <w:top w:val="nil"/>
              <w:left w:val="nil"/>
              <w:bottom w:val="nil"/>
              <w:right w:val="nil"/>
            </w:tcBorders>
            <w:vAlign w:val="center"/>
          </w:tcPr>
          <w:p>
            <w:pPr>
              <w:pStyle w:val="yTableNAm"/>
            </w:pPr>
            <w:r>
              <w:rPr>
                <w:szCs w:val="22"/>
              </w:rPr>
              <w:t>South Hedland</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5</w:t>
            </w:r>
          </w:p>
        </w:tc>
      </w:tr>
      <w:tr>
        <w:tc>
          <w:tcPr>
            <w:tcW w:w="2977" w:type="dxa"/>
            <w:tcBorders>
              <w:top w:val="nil"/>
              <w:left w:val="nil"/>
              <w:bottom w:val="nil"/>
              <w:right w:val="nil"/>
            </w:tcBorders>
            <w:vAlign w:val="center"/>
          </w:tcPr>
          <w:p>
            <w:pPr>
              <w:pStyle w:val="yTableNAm"/>
            </w:pPr>
            <w:r>
              <w:rPr>
                <w:szCs w:val="22"/>
              </w:rPr>
              <w:t>Tambellup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Tammin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Three Springs</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Tincurrin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Toodyay</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Trayning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Varley</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Wagin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Walkaway</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1</w:t>
            </w:r>
          </w:p>
        </w:tc>
      </w:tr>
      <w:tr>
        <w:tc>
          <w:tcPr>
            <w:tcW w:w="2977" w:type="dxa"/>
            <w:tcBorders>
              <w:top w:val="nil"/>
              <w:left w:val="nil"/>
              <w:bottom w:val="nil"/>
              <w:right w:val="nil"/>
            </w:tcBorders>
            <w:vAlign w:val="center"/>
          </w:tcPr>
          <w:p>
            <w:pPr>
              <w:pStyle w:val="yTableNAm"/>
            </w:pPr>
            <w:r>
              <w:rPr>
                <w:szCs w:val="22"/>
              </w:rPr>
              <w:t>Walpole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Wandering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Watheroo</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Wellstead</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Westonia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Wickepin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Wickham</w:t>
            </w:r>
          </w:p>
        </w:tc>
        <w:tc>
          <w:tcPr>
            <w:tcW w:w="1984"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10</w:t>
            </w:r>
          </w:p>
        </w:tc>
      </w:tr>
      <w:tr>
        <w:tc>
          <w:tcPr>
            <w:tcW w:w="2977" w:type="dxa"/>
            <w:tcBorders>
              <w:top w:val="nil"/>
              <w:left w:val="nil"/>
              <w:bottom w:val="nil"/>
              <w:right w:val="nil"/>
            </w:tcBorders>
            <w:vAlign w:val="center"/>
          </w:tcPr>
          <w:p>
            <w:pPr>
              <w:pStyle w:val="yTableNAm"/>
            </w:pPr>
            <w:r>
              <w:rPr>
                <w:szCs w:val="22"/>
              </w:rPr>
              <w:t>Widgiemooltha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Williams</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Wiluna</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Wongan Hills</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Woodanilling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Woodridge</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nil"/>
              <w:right w:val="nil"/>
            </w:tcBorders>
            <w:vAlign w:val="center"/>
          </w:tcPr>
          <w:p>
            <w:pPr>
              <w:pStyle w:val="yTableNAm"/>
            </w:pPr>
            <w:r>
              <w:rPr>
                <w:szCs w:val="22"/>
              </w:rPr>
              <w:t>Wubin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Wundowie</w:t>
            </w:r>
          </w:p>
        </w:tc>
        <w:tc>
          <w:tcPr>
            <w:tcW w:w="1984"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1</w:t>
            </w:r>
          </w:p>
        </w:tc>
      </w:tr>
      <w:tr>
        <w:tc>
          <w:tcPr>
            <w:tcW w:w="2977" w:type="dxa"/>
            <w:tcBorders>
              <w:top w:val="nil"/>
              <w:left w:val="nil"/>
              <w:bottom w:val="nil"/>
              <w:right w:val="nil"/>
            </w:tcBorders>
            <w:vAlign w:val="center"/>
          </w:tcPr>
          <w:p>
            <w:pPr>
              <w:pStyle w:val="yTableNAm"/>
            </w:pPr>
            <w:r>
              <w:rPr>
                <w:szCs w:val="22"/>
              </w:rPr>
              <w:t>Wyalkatchem</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Wyndham</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Yalgoo</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Yarloop</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9</w:t>
            </w:r>
          </w:p>
        </w:tc>
      </w:tr>
      <w:tr>
        <w:tc>
          <w:tcPr>
            <w:tcW w:w="2977" w:type="dxa"/>
            <w:tcBorders>
              <w:top w:val="nil"/>
              <w:left w:val="nil"/>
              <w:bottom w:val="nil"/>
              <w:right w:val="nil"/>
            </w:tcBorders>
            <w:vAlign w:val="center"/>
          </w:tcPr>
          <w:p>
            <w:pPr>
              <w:pStyle w:val="yTableNAm"/>
            </w:pPr>
            <w:r>
              <w:rPr>
                <w:szCs w:val="22"/>
              </w:rPr>
              <w:t>Yealering</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Yerecoin</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2977" w:type="dxa"/>
            <w:tcBorders>
              <w:top w:val="nil"/>
              <w:left w:val="nil"/>
              <w:bottom w:val="nil"/>
              <w:right w:val="nil"/>
            </w:tcBorders>
            <w:vAlign w:val="center"/>
          </w:tcPr>
          <w:p>
            <w:pPr>
              <w:pStyle w:val="yTableNAm"/>
            </w:pPr>
            <w:r>
              <w:rPr>
                <w:szCs w:val="22"/>
              </w:rPr>
              <w:t>York</w:t>
            </w:r>
          </w:p>
        </w:tc>
        <w:tc>
          <w:tcPr>
            <w:tcW w:w="1984"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2977" w:type="dxa"/>
            <w:tcBorders>
              <w:top w:val="nil"/>
              <w:left w:val="nil"/>
              <w:bottom w:val="single" w:sz="4" w:space="0" w:color="auto"/>
              <w:right w:val="nil"/>
            </w:tcBorders>
            <w:vAlign w:val="center"/>
          </w:tcPr>
          <w:p>
            <w:pPr>
              <w:pStyle w:val="yTableNAm"/>
            </w:pPr>
            <w:r>
              <w:rPr>
                <w:szCs w:val="22"/>
              </w:rPr>
              <w:t>Yuna</w:t>
            </w:r>
          </w:p>
        </w:tc>
        <w:tc>
          <w:tcPr>
            <w:tcW w:w="1984" w:type="dxa"/>
            <w:tcBorders>
              <w:top w:val="nil"/>
              <w:left w:val="nil"/>
              <w:bottom w:val="single" w:sz="4" w:space="0" w:color="auto"/>
              <w:right w:val="nil"/>
            </w:tcBorders>
            <w:vAlign w:val="bottom"/>
          </w:tcPr>
          <w:p>
            <w:pPr>
              <w:pStyle w:val="yTableNAm"/>
              <w:jc w:val="center"/>
            </w:pPr>
            <w:r>
              <w:t>5</w:t>
            </w:r>
          </w:p>
        </w:tc>
        <w:tc>
          <w:tcPr>
            <w:tcW w:w="1843" w:type="dxa"/>
            <w:tcBorders>
              <w:top w:val="nil"/>
              <w:left w:val="nil"/>
              <w:bottom w:val="single" w:sz="4" w:space="0" w:color="auto"/>
              <w:right w:val="nil"/>
            </w:tcBorders>
            <w:vAlign w:val="center"/>
          </w:tcPr>
          <w:p>
            <w:pPr>
              <w:pStyle w:val="yTableNAm"/>
              <w:jc w:val="center"/>
            </w:pPr>
            <w:r>
              <w:t>15</w:t>
            </w:r>
          </w:p>
        </w:tc>
      </w:tr>
    </w:tbl>
    <w:p>
      <w:pPr>
        <w:pStyle w:val="yFootnotesection"/>
      </w:pPr>
      <w:r>
        <w:tab/>
        <w:t>[Schedule 11 inserted in Gazette 27 Jun 2016 p. 2606</w:t>
      </w:r>
      <w:r>
        <w:noBreakHyphen/>
        <w:t>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550" w:name="_Toc455155382"/>
      <w:bookmarkStart w:id="551" w:name="_Toc455404273"/>
      <w:r>
        <w:t>Notes</w:t>
      </w:r>
      <w:bookmarkEnd w:id="550"/>
      <w:bookmarkEnd w:id="551"/>
    </w:p>
    <w:p>
      <w:pPr>
        <w:pStyle w:val="nSubsection"/>
      </w:pPr>
      <w:r>
        <w:rPr>
          <w:vertAlign w:val="superscript"/>
        </w:rPr>
        <w:t>1</w:t>
      </w:r>
      <w:r>
        <w:tab/>
        <w:t xml:space="preserve">This is a compilation of the </w:t>
      </w:r>
      <w:r>
        <w:rPr>
          <w:i/>
          <w:noProof/>
        </w:rPr>
        <w:t>Water Services (Water Corporations Charges) Regulations 2014</w:t>
      </w:r>
      <w:r>
        <w:t xml:space="preserve"> and includes the amendments made by the other written laws referred to in the following table.  The table also contains information about any reprint.</w:t>
      </w:r>
    </w:p>
    <w:p>
      <w:pPr>
        <w:pStyle w:val="nHeading3"/>
      </w:pPr>
      <w:bookmarkStart w:id="552" w:name="_Toc455404274"/>
      <w:r>
        <w:t>Compilation table</w:t>
      </w:r>
      <w:bookmarkEnd w:id="5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rFonts w:ascii="Times" w:hAnsi="Times"/>
                <w:bCs/>
                <w:snapToGrid w:val="0"/>
                <w:spacing w:val="-2"/>
              </w:rPr>
              <w:t>r. 1 and 2: 25 Jun 2014 (see r. 2(a));</w:t>
            </w:r>
            <w:r>
              <w:rPr>
                <w:rFonts w:ascii="Times" w:hAnsi="Times"/>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19 Sep 2014 (see r. 2(a));</w:t>
            </w:r>
            <w:r>
              <w:rPr>
                <w:rFonts w:ascii="Times" w:hAnsi="Times"/>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15 Oct 2014 (see r. 2(a));</w:t>
            </w:r>
            <w:r>
              <w:rPr>
                <w:rFonts w:ascii="Times" w:hAnsi="Times"/>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30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Water Services (Water Corporations Charges) Regulations 2014</w:t>
            </w:r>
            <w:r>
              <w:rPr>
                <w:rFonts w:ascii="Times" w:hAnsi="Times"/>
                <w:b/>
                <w:bCs/>
                <w:snapToGrid w:val="0"/>
                <w:spacing w:val="-2"/>
              </w:rPr>
              <w:t xml:space="preserve"> as at </w:t>
            </w:r>
            <w:r>
              <w:rPr>
                <w:rFonts w:ascii="Times" w:hAnsi="Times"/>
                <w:b/>
                <w:bCs/>
                <w:snapToGrid w:val="0"/>
                <w:spacing w:val="-2"/>
              </w:rPr>
              <w:br/>
              <w:t>8 Jan 2016</w:t>
            </w:r>
            <w:r>
              <w:rPr>
                <w:rFonts w:ascii="Times" w:hAnsi="Times"/>
                <w:bCs/>
                <w:snapToGrid w:val="0"/>
                <w:spacing w:val="-2"/>
              </w:rPr>
              <w:t xml:space="preserve"> (includes amendments listed above)</w:t>
            </w:r>
          </w:p>
        </w:tc>
      </w:tr>
      <w:tr>
        <w:tc>
          <w:tcPr>
            <w:tcW w:w="3147" w:type="dxa"/>
            <w:gridSpan w:val="2"/>
            <w:tcBorders>
              <w:top w:val="nil"/>
              <w:bottom w:val="single" w:sz="8" w:space="0" w:color="auto"/>
            </w:tcBorders>
            <w:shd w:val="clear" w:color="auto" w:fill="auto"/>
          </w:tcPr>
          <w:p>
            <w:pPr>
              <w:pStyle w:val="nTable"/>
              <w:spacing w:after="40"/>
              <w:rPr>
                <w:rFonts w:ascii="Times" w:hAnsi="Times"/>
                <w:b/>
                <w:bCs/>
                <w:snapToGrid w:val="0"/>
                <w:spacing w:val="-2"/>
              </w:rPr>
            </w:pPr>
            <w:r>
              <w:rPr>
                <w:i/>
              </w:rPr>
              <w:t>Water Services Amendment (Fees and Charges) Regulations 2016</w:t>
            </w:r>
            <w:r>
              <w:t xml:space="preserve"> Pt. 2</w:t>
            </w:r>
          </w:p>
        </w:tc>
        <w:tc>
          <w:tcPr>
            <w:tcW w:w="1276" w:type="dxa"/>
            <w:gridSpan w:val="2"/>
            <w:tcBorders>
              <w:top w:val="nil"/>
              <w:bottom w:val="single" w:sz="8" w:space="0" w:color="auto"/>
            </w:tcBorders>
            <w:shd w:val="clear" w:color="auto" w:fill="auto"/>
          </w:tcPr>
          <w:p>
            <w:pPr>
              <w:pStyle w:val="nTable"/>
              <w:spacing w:after="40"/>
              <w:rPr>
                <w:rFonts w:ascii="Times" w:hAnsi="Times"/>
                <w:b/>
                <w:bCs/>
                <w:snapToGrid w:val="0"/>
                <w:spacing w:val="-2"/>
              </w:rPr>
            </w:pPr>
            <w:r>
              <w:t>27 Jun 2016 p. 2531</w:t>
            </w:r>
            <w:r>
              <w:noBreakHyphen/>
              <w:t>620</w:t>
            </w:r>
          </w:p>
        </w:tc>
        <w:tc>
          <w:tcPr>
            <w:tcW w:w="2664" w:type="dxa"/>
            <w:tcBorders>
              <w:top w:val="nil"/>
              <w:bottom w:val="single" w:sz="8" w:space="0" w:color="auto"/>
            </w:tcBorders>
            <w:shd w:val="clear" w:color="auto" w:fill="auto"/>
          </w:tcPr>
          <w:p>
            <w:pPr>
              <w:pStyle w:val="nTable"/>
              <w:spacing w:after="40"/>
              <w:rPr>
                <w:rFonts w:ascii="Times" w:hAnsi="Times"/>
                <w:b/>
                <w:bCs/>
                <w:snapToGrid w:val="0"/>
                <w:spacing w:val="-2"/>
              </w:rPr>
            </w:pPr>
            <w:r>
              <w:rPr>
                <w:rFonts w:ascii="Times" w:hAnsi="Times"/>
                <w:bCs/>
                <w:snapToGrid w:val="0"/>
                <w:spacing w:val="-2"/>
              </w:rPr>
              <w:t>1 Jul 2016 (see r. 2(b))</w:t>
            </w:r>
          </w:p>
        </w:tc>
      </w:tr>
    </w:tbl>
    <w:p>
      <w:pPr>
        <w:pStyle w:val="nSubsection"/>
        <w:spacing w:before="160"/>
      </w:pPr>
      <w:r>
        <w:rPr>
          <w:vertAlign w:val="superscript"/>
        </w:rPr>
        <w:t>2</w:t>
      </w:r>
      <w:r>
        <w:tab/>
        <w:t xml:space="preserve">The </w:t>
      </w:r>
      <w:r>
        <w:rPr>
          <w:i/>
        </w:rPr>
        <w:t>Country Town Sewage By-laws 1952</w:t>
      </w:r>
      <w:r>
        <w:t xml:space="preserve"> were repealed by the </w:t>
      </w:r>
      <w:r>
        <w:rPr>
          <w:i/>
        </w:rPr>
        <w:t>Water Services Legislation Amendment and Repeal Act 2012</w:t>
      </w:r>
      <w:r>
        <w:t xml:space="preserve"> s. 200(b) on 18 Nov 2013.</w:t>
      </w:r>
    </w:p>
    <w:p>
      <w:pPr>
        <w:pStyle w:val="nSubsection"/>
      </w:pPr>
      <w:r>
        <w:rPr>
          <w:vertAlign w:val="superscript"/>
        </w:rPr>
        <w:t>3</w:t>
      </w:r>
      <w:r>
        <w:tab/>
        <w:t xml:space="preserve">The </w:t>
      </w:r>
      <w:r>
        <w:rPr>
          <w:i/>
        </w:rPr>
        <w:t xml:space="preserve">Water Agencies (Charges) By-laws 1987 </w:t>
      </w:r>
      <w:r>
        <w:t xml:space="preserve">were repealed by the </w:t>
      </w:r>
      <w:r>
        <w:rPr>
          <w:i/>
        </w:rPr>
        <w:t>Water Services Legislation Amendment and Repeal Act 2012</w:t>
      </w:r>
      <w:r>
        <w:t xml:space="preserve"> s. 202(b) on 1 Jul 2014.</w:t>
      </w:r>
    </w:p>
    <w:p>
      <w:pPr>
        <w:pStyle w:val="nSubsection"/>
      </w:pPr>
      <w:r>
        <w:rPr>
          <w:vertAlign w:val="superscript"/>
        </w:rPr>
        <w:t>4</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Subsection"/>
      </w:pPr>
      <w:r>
        <w:rPr>
          <w:vertAlign w:val="superscript"/>
        </w:rPr>
        <w:t>5</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pPr>
        <w:pStyle w:val="nHeading2"/>
        <w:rPr>
          <w:sz w:val="28"/>
        </w:rPr>
      </w:pPr>
      <w:bookmarkStart w:id="554" w:name="_Toc455404275"/>
      <w:r>
        <w:rPr>
          <w:sz w:val="28"/>
        </w:rPr>
        <w:t>Defined terms</w:t>
      </w:r>
      <w:bookmarkEnd w:id="5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aged home</w:t>
      </w:r>
      <w:r>
        <w:tab/>
        <w:t>16(1)</w:t>
      </w:r>
    </w:p>
    <w:p>
      <w:pPr>
        <w:pStyle w:val="DefinedTerms"/>
      </w:pPr>
      <w:r>
        <w:t>alienated land</w:t>
      </w:r>
      <w:r>
        <w:tab/>
        <w:t>16(1)</w:t>
      </w:r>
    </w:p>
    <w:p>
      <w:pPr>
        <w:pStyle w:val="DefinedTerms"/>
      </w:pPr>
      <w:r>
        <w:t>approved meter</w:t>
      </w:r>
      <w:r>
        <w:tab/>
        <w:t>23(1)</w:t>
      </w:r>
    </w:p>
    <w:p>
      <w:pPr>
        <w:pStyle w:val="DefinedTerms"/>
      </w:pPr>
      <w:r>
        <w:t>B.O.D.</w:t>
      </w:r>
      <w:r>
        <w:tab/>
        <w:t>Sch. 4 cl. 30</w:t>
      </w:r>
    </w:p>
    <w:p>
      <w:pPr>
        <w:pStyle w:val="DefinedTerms"/>
      </w:pPr>
      <w:r>
        <w:t>boundary volume</w:t>
      </w:r>
      <w:r>
        <w:tab/>
        <w:t>16(1)</w:t>
      </w:r>
    </w:p>
    <w:p>
      <w:pPr>
        <w:pStyle w:val="DefinedTerms"/>
      </w:pPr>
      <w:r>
        <w:t>c/kg</w:t>
      </w:r>
      <w:r>
        <w:tab/>
        <w:t>Sch. 4 cl. 30</w:t>
      </w:r>
    </w:p>
    <w:p>
      <w:pPr>
        <w:pStyle w:val="DefinedTerms"/>
      </w:pPr>
      <w:r>
        <w:t>c/kL</w:t>
      </w:r>
      <w:r>
        <w:tab/>
        <w:t>Sch. 4 cl. 30</w:t>
      </w:r>
    </w:p>
    <w:p>
      <w:pPr>
        <w:pStyle w:val="DefinedTerms"/>
      </w:pPr>
      <w:r>
        <w:t>caravan bay</w:t>
      </w:r>
      <w:r>
        <w:tab/>
        <w:t>16(1)</w:t>
      </w:r>
    </w:p>
    <w:p>
      <w:pPr>
        <w:pStyle w:val="DefinedTerms"/>
      </w:pPr>
      <w:r>
        <w:t>central business districts</w:t>
      </w:r>
      <w:r>
        <w:tab/>
        <w:t>16(1)</w:t>
      </w:r>
    </w:p>
    <w:p>
      <w:pPr>
        <w:pStyle w:val="DefinedTerms"/>
      </w:pPr>
      <w:r>
        <w:t>change of circumstances</w:t>
      </w:r>
      <w:r>
        <w:tab/>
        <w:t>16(1)</w:t>
      </w:r>
    </w:p>
    <w:p>
      <w:pPr>
        <w:pStyle w:val="DefinedTerms"/>
      </w:pPr>
      <w:r>
        <w:t>charge period</w:t>
      </w:r>
      <w:r>
        <w:tab/>
        <w:t>3</w:t>
      </w:r>
    </w:p>
    <w:p>
      <w:pPr>
        <w:pStyle w:val="DefinedTerms"/>
      </w:pPr>
      <w:r>
        <w:t>charitable purposes</w:t>
      </w:r>
      <w:r>
        <w:tab/>
        <w:t>16(1)</w:t>
      </w:r>
    </w:p>
    <w:p>
      <w:pPr>
        <w:pStyle w:val="DefinedTerms"/>
      </w:pPr>
      <w:r>
        <w:t>combined charge</w:t>
      </w:r>
      <w:r>
        <w:tab/>
        <w:t>42(1)</w:t>
      </w:r>
    </w:p>
    <w:p>
      <w:pPr>
        <w:pStyle w:val="DefinedTerms"/>
      </w:pPr>
      <w:r>
        <w:t>Commonwealth seniors health card</w:t>
      </w:r>
      <w:r>
        <w:tab/>
        <w:t>3</w:t>
      </w:r>
    </w:p>
    <w:p>
      <w:pPr>
        <w:pStyle w:val="DefinedTerms"/>
      </w:pPr>
      <w:r>
        <w:t>concession card holder</w:t>
      </w:r>
      <w:r>
        <w:tab/>
        <w:t>16(1)</w:t>
      </w:r>
    </w:p>
    <w:p>
      <w:pPr>
        <w:pStyle w:val="DefinedTerms"/>
      </w:pPr>
      <w:r>
        <w:t>concessional land</w:t>
      </w:r>
      <w:r>
        <w:tab/>
        <w:t>16(1)</w:t>
      </w:r>
    </w:p>
    <w:p>
      <w:pPr>
        <w:pStyle w:val="DefinedTerms"/>
      </w:pPr>
      <w:r>
        <w:t>consumption year</w:t>
      </w:r>
      <w:r>
        <w:tab/>
        <w:t>6, 11, 16(1)</w:t>
      </w:r>
    </w:p>
    <w:p>
      <w:pPr>
        <w:pStyle w:val="DefinedTerms"/>
      </w:pPr>
      <w:r>
        <w:t>cost of sampling</w:t>
      </w:r>
      <w:r>
        <w:tab/>
        <w:t>Sch. 7 cl. 13</w:t>
      </w:r>
    </w:p>
    <w:p>
      <w:pPr>
        <w:pStyle w:val="DefinedTerms"/>
      </w:pPr>
      <w:r>
        <w:t>desalinated water</w:t>
      </w:r>
      <w:r>
        <w:tab/>
        <w:t>16(1)</w:t>
      </w:r>
    </w:p>
    <w:p>
      <w:pPr>
        <w:pStyle w:val="DefinedTerms"/>
      </w:pPr>
      <w:r>
        <w:t>development</w:t>
      </w:r>
      <w:r>
        <w:tab/>
        <w:t>47(4)</w:t>
      </w:r>
    </w:p>
    <w:p>
      <w:pPr>
        <w:pStyle w:val="DefinedTerms"/>
      </w:pPr>
      <w:r>
        <w:t>discharge factor</w:t>
      </w:r>
      <w:r>
        <w:tab/>
        <w:t>16(1)</w:t>
      </w:r>
    </w:p>
    <w:p>
      <w:pPr>
        <w:pStyle w:val="DefinedTerms"/>
      </w:pPr>
      <w:r>
        <w:t>discharge volume</w:t>
      </w:r>
      <w:r>
        <w:tab/>
        <w:t>16(1)</w:t>
      </w:r>
    </w:p>
    <w:p>
      <w:pPr>
        <w:pStyle w:val="DefinedTerms"/>
      </w:pPr>
      <w:r>
        <w:t>discharge year</w:t>
      </w:r>
      <w:r>
        <w:tab/>
        <w:t>16(1)</w:t>
      </w:r>
    </w:p>
    <w:p>
      <w:pPr>
        <w:pStyle w:val="DefinedTerms"/>
      </w:pPr>
      <w:r>
        <w:t>drainage area</w:t>
      </w:r>
      <w:r>
        <w:tab/>
        <w:t>16(1)</w:t>
      </w:r>
    </w:p>
    <w:p>
      <w:pPr>
        <w:pStyle w:val="DefinedTerms"/>
      </w:pPr>
      <w:r>
        <w:t>drainage charge</w:t>
      </w:r>
      <w:r>
        <w:tab/>
        <w:t>16(1)</w:t>
      </w:r>
    </w:p>
    <w:p>
      <w:pPr>
        <w:pStyle w:val="DefinedTerms"/>
      </w:pPr>
      <w:r>
        <w:t>eligible pensioner</w:t>
      </w:r>
      <w:r>
        <w:tab/>
        <w:t>3</w:t>
      </w:r>
    </w:p>
    <w:p>
      <w:pPr>
        <w:pStyle w:val="DefinedTerms"/>
      </w:pPr>
      <w:r>
        <w:t>farmland</w:t>
      </w:r>
      <w:r>
        <w:tab/>
        <w:t>16(1)</w:t>
      </w:r>
    </w:p>
    <w:p>
      <w:pPr>
        <w:pStyle w:val="DefinedTerms"/>
      </w:pPr>
      <w:r>
        <w:t>financial year</w:t>
      </w:r>
      <w:r>
        <w:tab/>
        <w:t>6, 11, 16(1)</w:t>
      </w:r>
    </w:p>
    <w:p>
      <w:pPr>
        <w:pStyle w:val="DefinedTerms"/>
      </w:pPr>
      <w:r>
        <w:t>fire service connection</w:t>
      </w:r>
      <w:r>
        <w:tab/>
        <w:t>11</w:t>
      </w:r>
    </w:p>
    <w:p>
      <w:pPr>
        <w:pStyle w:val="DefinedTerms"/>
      </w:pPr>
      <w:r>
        <w:t>garden use</w:t>
      </w:r>
      <w:r>
        <w:tab/>
        <w:t>Sch. 3 cl. 15</w:t>
      </w:r>
    </w:p>
    <w:p>
      <w:pPr>
        <w:pStyle w:val="DefinedTerms"/>
      </w:pPr>
      <w:r>
        <w:t>government trading organisation</w:t>
      </w:r>
      <w:r>
        <w:tab/>
        <w:t>16(1)</w:t>
      </w:r>
    </w:p>
    <w:p>
      <w:pPr>
        <w:pStyle w:val="DefinedTerms"/>
      </w:pPr>
      <w:r>
        <w:t>GRV</w:t>
      </w:r>
      <w:r>
        <w:tab/>
        <w:t>16(1)</w:t>
      </w:r>
    </w:p>
    <w:p>
      <w:pPr>
        <w:pStyle w:val="DefinedTerms"/>
      </w:pPr>
      <w:r>
        <w:t>holiday accommodation</w:t>
      </w:r>
      <w:r>
        <w:tab/>
        <w:t>16(1)</w:t>
      </w:r>
    </w:p>
    <w:p>
      <w:pPr>
        <w:pStyle w:val="DefinedTerms"/>
      </w:pPr>
      <w:r>
        <w:t>hydrant standpipe</w:t>
      </w:r>
      <w:r>
        <w:tab/>
        <w:t>16(1)</w:t>
      </w:r>
    </w:p>
    <w:p>
      <w:pPr>
        <w:pStyle w:val="DefinedTerms"/>
      </w:pPr>
      <w:r>
        <w:t>irrigation district</w:t>
      </w:r>
      <w:r>
        <w:tab/>
        <w:t>16(1)</w:t>
      </w:r>
    </w:p>
    <w:p>
      <w:pPr>
        <w:pStyle w:val="DefinedTerms"/>
      </w:pPr>
      <w:r>
        <w:t>irrigation works</w:t>
      </w:r>
      <w:r>
        <w:tab/>
        <w:t>16(1)</w:t>
      </w:r>
    </w:p>
    <w:p>
      <w:pPr>
        <w:pStyle w:val="DefinedTerms"/>
      </w:pPr>
      <w:r>
        <w:t>local government standpipe</w:t>
      </w:r>
      <w:r>
        <w:tab/>
        <w:t>16(1)</w:t>
      </w:r>
    </w:p>
    <w:p>
      <w:pPr>
        <w:pStyle w:val="DefinedTerms"/>
      </w:pPr>
      <w:r>
        <w:t>long</w:t>
      </w:r>
      <w:r>
        <w:noBreakHyphen/>
        <w:t>term residential caravan bay</w:t>
      </w:r>
      <w:r>
        <w:tab/>
        <w:t>16(1)</w:t>
      </w:r>
    </w:p>
    <w:p>
      <w:pPr>
        <w:pStyle w:val="DefinedTerms"/>
      </w:pPr>
      <w:r>
        <w:t>lot</w:t>
      </w:r>
      <w:r>
        <w:tab/>
        <w:t>6, 11, 16(1)</w:t>
      </w:r>
    </w:p>
    <w:p>
      <w:pPr>
        <w:pStyle w:val="DefinedTerms"/>
      </w:pPr>
      <w:r>
        <w:t>major fixture</w:t>
      </w:r>
      <w:r>
        <w:tab/>
        <w:t>16(1)</w:t>
      </w:r>
    </w:p>
    <w:p>
      <w:pPr>
        <w:pStyle w:val="DefinedTerms"/>
      </w:pPr>
      <w:r>
        <w:t>metropolitan area</w:t>
      </w:r>
      <w:r>
        <w:tab/>
        <w:t>16(1)</w:t>
      </w:r>
    </w:p>
    <w:p>
      <w:pPr>
        <w:pStyle w:val="DefinedTerms"/>
      </w:pPr>
      <w:r>
        <w:t>multi</w:t>
      </w:r>
      <w:r>
        <w:noBreakHyphen/>
        <w:t>unit development</w:t>
      </w:r>
      <w:r>
        <w:tab/>
        <w:t>3</w:t>
      </w:r>
    </w:p>
    <w:p>
      <w:pPr>
        <w:pStyle w:val="DefinedTerms"/>
      </w:pPr>
      <w:r>
        <w:t>non</w:t>
      </w:r>
      <w:r>
        <w:noBreakHyphen/>
        <w:t>commercial government property</w:t>
      </w:r>
      <w:r>
        <w:tab/>
        <w:t>16(1)</w:t>
      </w:r>
    </w:p>
    <w:p>
      <w:pPr>
        <w:pStyle w:val="DefinedTerms"/>
      </w:pPr>
      <w:r>
        <w:t>non</w:t>
      </w:r>
      <w:r>
        <w:noBreakHyphen/>
        <w:t>profit private organisation</w:t>
      </w:r>
      <w:r>
        <w:tab/>
        <w:t>16(1)</w:t>
      </w:r>
    </w:p>
    <w:p>
      <w:pPr>
        <w:pStyle w:val="DefinedTerms"/>
      </w:pPr>
      <w:r>
        <w:t>non</w:t>
      </w:r>
      <w:r>
        <w:noBreakHyphen/>
        <w:t>residential lot</w:t>
      </w:r>
      <w:r>
        <w:tab/>
        <w:t>6, 11</w:t>
      </w:r>
    </w:p>
    <w:p>
      <w:pPr>
        <w:pStyle w:val="DefinedTerms"/>
      </w:pPr>
      <w:r>
        <w:t>nursing home</w:t>
      </w:r>
      <w:r>
        <w:tab/>
        <w:t>16(1)</w:t>
      </w:r>
    </w:p>
    <w:p>
      <w:pPr>
        <w:pStyle w:val="DefinedTerms"/>
      </w:pPr>
      <w:r>
        <w:t>old provision</w:t>
      </w:r>
      <w:r>
        <w:tab/>
        <w:t>55(1)</w:t>
      </w:r>
    </w:p>
    <w:p>
      <w:pPr>
        <w:pStyle w:val="DefinedTerms"/>
      </w:pPr>
      <w:r>
        <w:t>product evaluation</w:t>
      </w:r>
      <w:r>
        <w:tab/>
        <w:t>Sch. 7 cl. 13</w:t>
      </w:r>
    </w:p>
    <w:p>
      <w:pPr>
        <w:pStyle w:val="DefinedTerms"/>
      </w:pPr>
      <w:r>
        <w:t>public land</w:t>
      </w:r>
      <w:r>
        <w:tab/>
        <w:t>16(1)</w:t>
      </w:r>
    </w:p>
    <w:p>
      <w:pPr>
        <w:pStyle w:val="DefinedTerms"/>
      </w:pPr>
      <w:r>
        <w:t>registered pensioner</w:t>
      </w:r>
      <w:r>
        <w:tab/>
        <w:t>3</w:t>
      </w:r>
    </w:p>
    <w:p>
      <w:pPr>
        <w:pStyle w:val="DefinedTerms"/>
      </w:pPr>
      <w:r>
        <w:t>registered senior</w:t>
      </w:r>
      <w:r>
        <w:tab/>
        <w:t>3</w:t>
      </w:r>
    </w:p>
    <w:p>
      <w:pPr>
        <w:pStyle w:val="DefinedTerms"/>
      </w:pPr>
      <w:r>
        <w:t>residential lot</w:t>
      </w:r>
      <w:r>
        <w:tab/>
        <w:t>6, 11</w:t>
      </w:r>
    </w:p>
    <w:p>
      <w:pPr>
        <w:pStyle w:val="DefinedTerms"/>
      </w:pPr>
      <w:r>
        <w:t>residential property</w:t>
      </w:r>
      <w:r>
        <w:tab/>
        <w:t>16(1)</w:t>
      </w:r>
    </w:p>
    <w:p>
      <w:pPr>
        <w:pStyle w:val="DefinedTerms"/>
      </w:pPr>
      <w:r>
        <w:t>residential rate</w:t>
      </w:r>
      <w:r>
        <w:tab/>
        <w:t>27(3)</w:t>
      </w:r>
    </w:p>
    <w:p>
      <w:pPr>
        <w:pStyle w:val="DefinedTerms"/>
      </w:pPr>
      <w:r>
        <w:t>retirement village</w:t>
      </w:r>
      <w:r>
        <w:tab/>
        <w:t>16(1)</w:t>
      </w:r>
    </w:p>
    <w:p>
      <w:pPr>
        <w:pStyle w:val="DefinedTerms"/>
      </w:pPr>
      <w:r>
        <w:t>rural land</w:t>
      </w:r>
      <w:r>
        <w:tab/>
        <w:t>47(4)</w:t>
      </w:r>
    </w:p>
    <w:p>
      <w:pPr>
        <w:pStyle w:val="DefinedTerms"/>
      </w:pPr>
      <w:r>
        <w:t>semi</w:t>
      </w:r>
      <w:r>
        <w:noBreakHyphen/>
        <w:t>rural residential property</w:t>
      </w:r>
      <w:r>
        <w:tab/>
        <w:t>16(1)</w:t>
      </w:r>
    </w:p>
    <w:p>
      <w:pPr>
        <w:pStyle w:val="DefinedTerms"/>
      </w:pPr>
      <w:r>
        <w:t>sewer junction</w:t>
      </w:r>
      <w:r>
        <w:tab/>
        <w:t>16(1)</w:t>
      </w:r>
    </w:p>
    <w:p>
      <w:pPr>
        <w:pStyle w:val="DefinedTerms"/>
      </w:pPr>
      <w:r>
        <w:t>sewerage area</w:t>
      </w:r>
      <w:r>
        <w:tab/>
        <w:t>16(1)</w:t>
      </w:r>
    </w:p>
    <w:p>
      <w:pPr>
        <w:pStyle w:val="DefinedTerms"/>
      </w:pPr>
      <w:r>
        <w:t>sewerage charge</w:t>
      </w:r>
      <w:r>
        <w:tab/>
        <w:t>16(1)</w:t>
      </w:r>
    </w:p>
    <w:p>
      <w:pPr>
        <w:pStyle w:val="DefinedTerms"/>
      </w:pPr>
      <w:r>
        <w:t>shared grease arrestor</w:t>
      </w:r>
      <w:r>
        <w:tab/>
        <w:t>Sch. 4 cl. 8</w:t>
      </w:r>
    </w:p>
    <w:p>
      <w:pPr>
        <w:pStyle w:val="DefinedTerms"/>
      </w:pPr>
      <w:r>
        <w:t>single capital infrastructure charge</w:t>
      </w:r>
      <w:r>
        <w:tab/>
        <w:t>16(1), Sch. 3 cl. 18</w:t>
      </w:r>
    </w:p>
    <w:p>
      <w:pPr>
        <w:pStyle w:val="DefinedTerms"/>
      </w:pPr>
      <w:r>
        <w:t>special meter reading</w:t>
      </w:r>
      <w:r>
        <w:tab/>
        <w:t>16(1)</w:t>
      </w:r>
    </w:p>
    <w:p>
      <w:pPr>
        <w:pStyle w:val="DefinedTerms"/>
      </w:pPr>
      <w:r>
        <w:t>strata</w:t>
      </w:r>
      <w:r>
        <w:noBreakHyphen/>
        <w:t>titled caravan bay</w:t>
      </w:r>
      <w:r>
        <w:tab/>
        <w:t>16(1)</w:t>
      </w:r>
    </w:p>
    <w:p>
      <w:pPr>
        <w:pStyle w:val="DefinedTerms"/>
      </w:pPr>
      <w:r>
        <w:t>trade waste charge</w:t>
      </w:r>
      <w:r>
        <w:tab/>
        <w:t>19(1)</w:t>
      </w:r>
    </w:p>
    <w:p>
      <w:pPr>
        <w:pStyle w:val="DefinedTerms"/>
      </w:pPr>
      <w:r>
        <w:t>vacant land</w:t>
      </w:r>
      <w:r>
        <w:tab/>
        <w:t>3</w:t>
      </w:r>
    </w:p>
    <w:p>
      <w:pPr>
        <w:pStyle w:val="DefinedTerms"/>
      </w:pPr>
      <w:r>
        <w:t>water supply charge</w:t>
      </w:r>
      <w:r>
        <w:tab/>
        <w:t>16(1)</w:t>
      </w:r>
    </w:p>
    <w:p>
      <w:pPr>
        <w:pStyle w:val="DefinedTerms"/>
      </w:pPr>
      <w:r>
        <w:t>water supply connection</w:t>
      </w:r>
      <w:r>
        <w:tab/>
        <w:t>3</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Sewerage charges for the Water Corporation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Discharge charges: trade waste and effluent</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Sewerage charges for the Water Corporation</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4</w:t>
          </w:r>
          <w:r>
            <w:rPr>
              <w:b/>
            </w:rPr>
            <w:fldChar w:fldCharType="end"/>
          </w:r>
        </w:p>
      </w:tc>
    </w:tr>
    <w:tr>
      <w:tc>
        <w:tcPr>
          <w:tcW w:w="5797" w:type="dxa"/>
        </w:tcPr>
        <w:p>
          <w:pPr>
            <w:pStyle w:val="Header"/>
            <w:spacing w:before="40"/>
            <w:jc w:val="right"/>
          </w:pPr>
          <w:r>
            <w:rPr>
              <w:noProof w:val="0"/>
            </w:rPr>
            <w:fldChar w:fldCharType="begin"/>
          </w:r>
          <w:r>
            <w:instrText xml:space="preserve"> styleref CharSDivText </w:instrText>
          </w:r>
          <w:r>
            <w:rPr>
              <w:noProof w:val="0"/>
            </w:rPr>
            <w:fldChar w:fldCharType="separate"/>
          </w:r>
          <w:r>
            <w:t>Discharge charges: trade waste and effluent</w: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31</w:t>
          </w:r>
          <w:r>
            <w:rPr>
              <w:b/>
            </w:rPr>
            <w:fldChar w:fldCharType="end"/>
          </w:r>
        </w:p>
      </w:tc>
    </w:tr>
  </w:tbl>
  <w:p>
    <w:pPr>
      <w:pStyle w:val="Header"/>
      <w:pBdr>
        <w:top w:val="single" w:sz="4" w:space="1" w:color="auto"/>
      </w:pBdr>
    </w:pPr>
    <w:bookmarkStart w:id="455" w:name="Schedule"/>
    <w:bookmarkEnd w:id="4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17</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3" w:name="Compilation"/>
    <w:bookmarkEnd w:id="553"/>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5" w:name="DefinedTerms"/>
    <w:bookmarkEnd w:id="555"/>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6" w:name="Coversheet"/>
    <w:bookmarkEnd w:id="5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01101409"/>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4.png"/><Relationship Id="rId42" Type="http://schemas.openxmlformats.org/officeDocument/2006/relationships/header" Target="header24.xm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1.xml"/><Relationship Id="rId36" Type="http://schemas.openxmlformats.org/officeDocument/2006/relationships/header" Target="header18.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2E915-BE8E-4EC5-A7C5-40C3427A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152</Pages>
  <Words>28420</Words>
  <Characters>135565</Characters>
  <Application>Microsoft Office Word</Application>
  <DocSecurity>0</DocSecurity>
  <Lines>5894</Lines>
  <Paragraphs>4823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2014 - 01-b0-01</dc:title>
  <dc:subject/>
  <dc:creator/>
  <cp:keywords/>
  <dc:description/>
  <cp:lastModifiedBy>svcMRProcess</cp:lastModifiedBy>
  <cp:revision>4</cp:revision>
  <cp:lastPrinted>2016-01-06T01:57:00Z</cp:lastPrinted>
  <dcterms:created xsi:type="dcterms:W3CDTF">2020-02-29T09:24:00Z</dcterms:created>
  <dcterms:modified xsi:type="dcterms:W3CDTF">2020-02-29T09:24:00Z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AsAtDate">
    <vt:lpwstr>01 Jul 2016</vt:lpwstr>
  </property>
  <property fmtid="{D5CDD505-2E9C-101B-9397-08002B2CF9AE}" pid="7" name="Suffix">
    <vt:lpwstr>01-b0-01</vt:lpwstr>
  </property>
  <property fmtid="{D5CDD505-2E9C-101B-9397-08002B2CF9AE}" pid="8" name="CommencementDate">
    <vt:lpwstr>20160701</vt:lpwstr>
  </property>
</Properties>
</file>