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Working with Children (Criminal Record Checking)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_Toc455410577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_Toc455410578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_Toc455410579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3A.</w:t>
      </w:r>
      <w:r>
        <w:tab/>
        <w:t>Education providers prescribed for Act s. 4</w:t>
      </w:r>
      <w:r>
        <w:tab/>
      </w:r>
      <w:r>
        <w:fldChar w:fldCharType="begin"/>
      </w:r>
      <w:r>
        <w:instrText xml:space="preserve"> PAGEREF _Toc455410581 \h </w:instrText>
      </w:r>
      <w:r>
        <w:fldChar w:fldCharType="separate"/>
      </w:r>
      <w:r>
        <w:t>3</w:t>
      </w:r>
      <w:r>
        <w:fldChar w:fldCharType="end"/>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_Toc455410582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_Toc455410583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_Toc455410584 \h </w:instrText>
      </w:r>
      <w:r>
        <w:fldChar w:fldCharType="separate"/>
      </w:r>
      <w:r>
        <w:t>3</w:t>
      </w:r>
      <w:r>
        <w:fldChar w:fldCharType="end"/>
      </w:r>
    </w:p>
    <w:p>
      <w:pPr>
        <w:pStyle w:val="TOC8"/>
        <w:rPr>
          <w:rFonts w:asciiTheme="minorHAnsi" w:eastAsiaTheme="minorEastAsia" w:hAnsiTheme="minorHAnsi" w:cstheme="minorBidi"/>
          <w:szCs w:val="22"/>
        </w:rPr>
      </w:pPr>
      <w:r>
        <w:t>6.</w:t>
      </w:r>
      <w:r>
        <w:tab/>
        <w:t>Australian Crime Commission prescribed as criminal records agency (Act s. 34(1))</w:t>
      </w:r>
      <w:r>
        <w:tab/>
      </w:r>
      <w:r>
        <w:fldChar w:fldCharType="begin"/>
      </w:r>
      <w:r>
        <w:instrText xml:space="preserve"> PAGEREF _Toc455410585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_Toc455410586 \h </w:instrText>
      </w:r>
      <w:r>
        <w:fldChar w:fldCharType="separate"/>
      </w:r>
      <w:r>
        <w:t>4</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_Toc455410587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_Toc455410590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_Toc455410591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_Toc455410592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_Toc455410594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_Toc455410595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_Toc455410596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_Toc455410598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_Toc455410599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_Toc455410600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_Toc455410601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_Toc455410602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_Toc455410603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_Toc455410604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_Toc455410605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77"/>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_Toc455410608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_Toc455410609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_Toc455410610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_Toc455410611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_Toc455410612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_Toc455410613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_Toc455410614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_Toc455410615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_Toc455410616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_Toc455410617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_Toc455410618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_Toc455410619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_Toc455410620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_Toc455410621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_Toc455410623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_Toc455410624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_Toc455410625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_Toc455410626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_Toc455410627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_Toc455410628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_Toc455410629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77"/>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_Toc455410634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3" w:name="_Toc416966717"/>
      <w:bookmarkStart w:id="4" w:name="_Toc416966776"/>
      <w:bookmarkStart w:id="5" w:name="_Toc417569145"/>
      <w:bookmarkStart w:id="6" w:name="_Toc417569523"/>
      <w:bookmarkStart w:id="7" w:name="_Toc423523625"/>
      <w:bookmarkStart w:id="8" w:name="_Toc4554105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55410577"/>
      <w:r>
        <w:rPr>
          <w:rStyle w:val="CharSectno"/>
        </w:rPr>
        <w:t>1</w:t>
      </w:r>
      <w:r>
        <w:t>.</w:t>
      </w:r>
      <w:r>
        <w:tab/>
        <w:t>Citation</w:t>
      </w:r>
      <w:bookmarkEnd w:id="9"/>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0" w:name="_Toc455410578"/>
      <w:r>
        <w:rPr>
          <w:rStyle w:val="CharSectno"/>
        </w:rPr>
        <w:t>2</w:t>
      </w:r>
      <w:r>
        <w:rPr>
          <w:spacing w:val="-2"/>
        </w:rPr>
        <w:t>.</w:t>
      </w:r>
      <w:r>
        <w:rPr>
          <w:spacing w:val="-2"/>
        </w:rPr>
        <w:tab/>
        <w:t>Commencement</w:t>
      </w:r>
      <w:bookmarkEnd w:id="10"/>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1" w:name="_Toc455410579"/>
      <w:r>
        <w:rPr>
          <w:rStyle w:val="CharSectno"/>
        </w:rPr>
        <w:t>3</w:t>
      </w:r>
      <w:r>
        <w:t>.</w:t>
      </w:r>
      <w:r>
        <w:tab/>
        <w:t>Terms used</w:t>
      </w:r>
      <w:bookmarkEnd w:id="11"/>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2" w:name="_Toc416966721"/>
      <w:bookmarkStart w:id="13" w:name="_Toc416966780"/>
      <w:bookmarkStart w:id="14" w:name="_Toc417569149"/>
      <w:bookmarkStart w:id="15" w:name="_Toc417569527"/>
      <w:bookmarkStart w:id="16" w:name="_Toc423523629"/>
      <w:bookmarkStart w:id="17" w:name="_Toc455410580"/>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bookmarkEnd w:id="16"/>
      <w:bookmarkEnd w:id="17"/>
    </w:p>
    <w:p>
      <w:pPr>
        <w:pStyle w:val="Heading5"/>
      </w:pPr>
      <w:bookmarkStart w:id="18" w:name="_Toc452461553"/>
      <w:bookmarkStart w:id="19" w:name="_Toc452461595"/>
      <w:bookmarkStart w:id="20" w:name="_Toc455410581"/>
      <w:r>
        <w:rPr>
          <w:rStyle w:val="CharSectno"/>
        </w:rPr>
        <w:t>3A</w:t>
      </w:r>
      <w:r>
        <w:t>.</w:t>
      </w:r>
      <w:r>
        <w:tab/>
        <w:t>Education providers prescribed for Act s. 4</w:t>
      </w:r>
      <w:bookmarkEnd w:id="18"/>
      <w:bookmarkEnd w:id="19"/>
      <w:bookmarkEnd w:id="20"/>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in Gazette 24 Jun 2016 p. 2294.]</w:t>
      </w:r>
    </w:p>
    <w:p>
      <w:pPr>
        <w:pStyle w:val="Heading5"/>
      </w:pPr>
      <w:bookmarkStart w:id="21" w:name="_Toc455410582"/>
      <w:r>
        <w:rPr>
          <w:rStyle w:val="CharSectno"/>
        </w:rPr>
        <w:t>4</w:t>
      </w:r>
      <w:r>
        <w:t>.</w:t>
      </w:r>
      <w:r>
        <w:tab/>
        <w:t>Exemptions to “child</w:t>
      </w:r>
      <w:r>
        <w:noBreakHyphen/>
        <w:t>related work” (Sch. 1)</w:t>
      </w:r>
      <w:bookmarkEnd w:id="21"/>
    </w:p>
    <w:p>
      <w:pPr>
        <w:pStyle w:val="Subsection"/>
      </w:pPr>
      <w:r>
        <w:tab/>
      </w:r>
      <w:r>
        <w:tab/>
        <w:t>The work described in Schedule 1 is prescribed under section 6(3)(b) as work to which section 6(1) does not apply.</w:t>
      </w:r>
    </w:p>
    <w:p>
      <w:pPr>
        <w:pStyle w:val="Heading5"/>
      </w:pPr>
      <w:bookmarkStart w:id="22" w:name="_Toc455410583"/>
      <w:r>
        <w:rPr>
          <w:rStyle w:val="CharSectno"/>
        </w:rPr>
        <w:t>5A</w:t>
      </w:r>
      <w:r>
        <w:t>.</w:t>
      </w:r>
      <w:r>
        <w:tab/>
        <w:t>Prescription of Class 1 offences (Sch. 2A)</w:t>
      </w:r>
      <w:bookmarkEnd w:id="22"/>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23" w:name="_Toc455410584"/>
      <w:r>
        <w:rPr>
          <w:rStyle w:val="CharSectno"/>
        </w:rPr>
        <w:t>5</w:t>
      </w:r>
      <w:r>
        <w:t>.</w:t>
      </w:r>
      <w:r>
        <w:tab/>
        <w:t>Prescription of Class 2 offences (Sch. 2)</w:t>
      </w:r>
      <w:bookmarkEnd w:id="23"/>
    </w:p>
    <w:p>
      <w:pPr>
        <w:pStyle w:val="Subsection"/>
      </w:pPr>
      <w:r>
        <w:tab/>
      </w:r>
      <w:r>
        <w:tab/>
        <w:t>An offence against a provision of another jurisdiction listed in Schedule 2 is prescribed under section 7(2)(c) to be a Class 2 offence.</w:t>
      </w:r>
    </w:p>
    <w:p>
      <w:pPr>
        <w:pStyle w:val="Heading5"/>
      </w:pPr>
      <w:bookmarkStart w:id="24" w:name="_Toc455410585"/>
      <w:r>
        <w:rPr>
          <w:rStyle w:val="CharSectno"/>
        </w:rPr>
        <w:t>6</w:t>
      </w:r>
      <w:r>
        <w:t>.</w:t>
      </w:r>
      <w:r>
        <w:tab/>
        <w:t>Australian Crime Commission prescribed as criminal records agency (Act s. 34(1))</w:t>
      </w:r>
      <w:bookmarkEnd w:id="24"/>
    </w:p>
    <w:p>
      <w:pPr>
        <w:pStyle w:val="Subsection"/>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in Gazette 24 Jun 2016 p. 2295.]</w:t>
      </w:r>
    </w:p>
    <w:p>
      <w:pPr>
        <w:pStyle w:val="Heading5"/>
      </w:pPr>
      <w:bookmarkStart w:id="25" w:name="_Toc455410586"/>
      <w:r>
        <w:rPr>
          <w:rStyle w:val="CharSectno"/>
        </w:rPr>
        <w:t>7</w:t>
      </w:r>
      <w:r>
        <w:t>.</w:t>
      </w:r>
      <w:r>
        <w:tab/>
        <w:t>Public authorities prescribed for Act s. 38(2)</w:t>
      </w:r>
      <w:bookmarkEnd w:id="25"/>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26" w:name="RuleErr_11"/>
    </w:p>
    <w:bookmarkEnd w:id="26"/>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7" w:name="_Toc455410587"/>
      <w:r>
        <w:rPr>
          <w:rStyle w:val="CharSectno"/>
        </w:rPr>
        <w:t>8</w:t>
      </w:r>
      <w:r>
        <w:t>.</w:t>
      </w:r>
      <w:r>
        <w:tab/>
        <w:t>Fees (Sch. 3)</w:t>
      </w:r>
      <w:bookmarkEnd w:id="27"/>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8" w:name="_Toc416966728"/>
      <w:bookmarkStart w:id="29" w:name="_Toc416966787"/>
      <w:bookmarkStart w:id="30" w:name="_Toc417569156"/>
      <w:bookmarkStart w:id="31" w:name="_Toc417569534"/>
      <w:bookmarkStart w:id="32" w:name="_Toc423523636"/>
      <w:bookmarkStart w:id="33" w:name="_Toc455410588"/>
      <w:r>
        <w:rPr>
          <w:rStyle w:val="CharPartNo"/>
        </w:rPr>
        <w:t>Part 3</w:t>
      </w:r>
      <w:r>
        <w:t> — </w:t>
      </w:r>
      <w:r>
        <w:rPr>
          <w:rStyle w:val="CharPartText"/>
        </w:rPr>
        <w:t>Transitional arrangements</w:t>
      </w:r>
      <w:bookmarkEnd w:id="28"/>
      <w:bookmarkEnd w:id="29"/>
      <w:bookmarkEnd w:id="30"/>
      <w:bookmarkEnd w:id="31"/>
      <w:bookmarkEnd w:id="32"/>
      <w:bookmarkEnd w:id="33"/>
    </w:p>
    <w:p>
      <w:pPr>
        <w:pStyle w:val="Heading3"/>
      </w:pPr>
      <w:bookmarkStart w:id="34" w:name="_Toc416966729"/>
      <w:bookmarkStart w:id="35" w:name="_Toc416966788"/>
      <w:bookmarkStart w:id="36" w:name="_Toc417569157"/>
      <w:bookmarkStart w:id="37" w:name="_Toc417569535"/>
      <w:bookmarkStart w:id="38" w:name="_Toc423523637"/>
      <w:bookmarkStart w:id="39" w:name="_Toc455410589"/>
      <w:r>
        <w:rPr>
          <w:rStyle w:val="CharDivNo"/>
        </w:rPr>
        <w:t>Division 1</w:t>
      </w:r>
      <w:r>
        <w:t> — </w:t>
      </w:r>
      <w:r>
        <w:rPr>
          <w:rStyle w:val="CharDivText"/>
        </w:rPr>
        <w:t>General</w:t>
      </w:r>
      <w:bookmarkEnd w:id="34"/>
      <w:bookmarkEnd w:id="35"/>
      <w:bookmarkEnd w:id="36"/>
      <w:bookmarkEnd w:id="37"/>
      <w:bookmarkEnd w:id="38"/>
      <w:bookmarkEnd w:id="39"/>
    </w:p>
    <w:p>
      <w:pPr>
        <w:pStyle w:val="Heading5"/>
      </w:pPr>
      <w:bookmarkStart w:id="40" w:name="_Toc455410590"/>
      <w:r>
        <w:rPr>
          <w:rStyle w:val="CharSectno"/>
        </w:rPr>
        <w:t>9</w:t>
      </w:r>
      <w:r>
        <w:t>.</w:t>
      </w:r>
      <w:r>
        <w:tab/>
        <w:t>Terms used</w:t>
      </w:r>
      <w:bookmarkEnd w:id="40"/>
    </w:p>
    <w:p>
      <w:pPr>
        <w:pStyle w:val="Subsection"/>
      </w:pPr>
      <w:r>
        <w:tab/>
      </w:r>
      <w:r>
        <w:tab/>
        <w:t>A term defined in a provision of Part 6 of the Act has the same meaning in this Part as it does in that provision, unless the contrary intention appears.</w:t>
      </w:r>
    </w:p>
    <w:p>
      <w:pPr>
        <w:pStyle w:val="Heading5"/>
      </w:pPr>
      <w:bookmarkStart w:id="41" w:name="_Toc455410591"/>
      <w:r>
        <w:rPr>
          <w:rStyle w:val="CharSectno"/>
        </w:rPr>
        <w:t>10</w:t>
      </w:r>
      <w:r>
        <w:t>.</w:t>
      </w:r>
      <w:r>
        <w:tab/>
        <w:t>Day from which person to be screened if 2 or more days apply</w:t>
      </w:r>
      <w:bookmarkEnd w:id="41"/>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42" w:name="_Toc455410592"/>
      <w:r>
        <w:rPr>
          <w:rStyle w:val="CharSectno"/>
        </w:rPr>
        <w:t>11A</w:t>
      </w:r>
      <w:r>
        <w:t>.</w:t>
      </w:r>
      <w:r>
        <w:tab/>
        <w:t>Effect of withdrawal of certain applications</w:t>
      </w:r>
      <w:bookmarkEnd w:id="42"/>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43" w:name="_Toc416966733"/>
      <w:bookmarkStart w:id="44" w:name="_Toc416966792"/>
      <w:bookmarkStart w:id="45" w:name="_Toc417569161"/>
      <w:bookmarkStart w:id="46" w:name="_Toc417569539"/>
      <w:bookmarkStart w:id="47" w:name="_Toc423523641"/>
      <w:bookmarkStart w:id="48" w:name="_Toc45541059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3"/>
      <w:bookmarkEnd w:id="44"/>
      <w:bookmarkEnd w:id="45"/>
      <w:bookmarkEnd w:id="46"/>
      <w:bookmarkEnd w:id="47"/>
      <w:bookmarkEnd w:id="48"/>
    </w:p>
    <w:p>
      <w:pPr>
        <w:pStyle w:val="Heading5"/>
      </w:pPr>
      <w:bookmarkStart w:id="49" w:name="_Toc455410594"/>
      <w:r>
        <w:rPr>
          <w:rStyle w:val="CharSectno"/>
        </w:rPr>
        <w:t>12</w:t>
      </w:r>
      <w:r>
        <w:t>.</w:t>
      </w:r>
      <w:r>
        <w:tab/>
        <w:t>When Act s. 24(b) applies to persons carrying on child</w:t>
      </w:r>
      <w:r>
        <w:noBreakHyphen/>
        <w:t>related businesses (Act s. 57(1))</w:t>
      </w:r>
      <w:bookmarkEnd w:id="49"/>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50" w:name="_Toc455410595"/>
      <w:r>
        <w:rPr>
          <w:rStyle w:val="CharSectno"/>
        </w:rPr>
        <w:t>13</w:t>
      </w:r>
      <w:r>
        <w:t>.</w:t>
      </w:r>
      <w:r>
        <w:tab/>
        <w:t>When Act s. 22(6) and 24(a) apply to child-related employment listed in Act s. 6(1)(a) (Act s. 60(2))</w:t>
      </w:r>
      <w:bookmarkEnd w:id="50"/>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51" w:name="_Toc455410596"/>
      <w:r>
        <w:rPr>
          <w:rStyle w:val="CharSectno"/>
        </w:rPr>
        <w:t>14</w:t>
      </w:r>
      <w:r>
        <w:t>.</w:t>
      </w:r>
      <w:r>
        <w:tab/>
        <w:t>When Act s. 22(6) and 24(a) apply to child-related employment listed in Act s. 6(1)(b) (Act s. 60(2))</w:t>
      </w:r>
      <w:bookmarkEnd w:id="5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2" w:name="_Toc416966737"/>
      <w:bookmarkStart w:id="53" w:name="_Toc416966796"/>
      <w:bookmarkStart w:id="54" w:name="_Toc417569165"/>
      <w:bookmarkStart w:id="55" w:name="_Toc417569543"/>
      <w:bookmarkStart w:id="56" w:name="_Toc423523645"/>
      <w:bookmarkStart w:id="57" w:name="_Toc455410597"/>
      <w:r>
        <w:rPr>
          <w:rStyle w:val="CharDivNo"/>
        </w:rPr>
        <w:t>Division 3</w:t>
      </w:r>
      <w:r>
        <w:t> — </w:t>
      </w:r>
      <w:r>
        <w:rPr>
          <w:rStyle w:val="CharDivText"/>
        </w:rPr>
        <w:t>Exceptions to Division 2</w:t>
      </w:r>
      <w:bookmarkEnd w:id="52"/>
      <w:bookmarkEnd w:id="53"/>
      <w:bookmarkEnd w:id="54"/>
      <w:bookmarkEnd w:id="55"/>
      <w:bookmarkEnd w:id="56"/>
      <w:bookmarkEnd w:id="57"/>
    </w:p>
    <w:p>
      <w:pPr>
        <w:pStyle w:val="Heading5"/>
      </w:pPr>
      <w:bookmarkStart w:id="58" w:name="_Toc455410598"/>
      <w:r>
        <w:rPr>
          <w:rStyle w:val="CharSectno"/>
        </w:rPr>
        <w:t>15</w:t>
      </w:r>
      <w:r>
        <w:t>.</w:t>
      </w:r>
      <w:r>
        <w:tab/>
        <w:t>When Act s. 22(6) and 24 apply to people involved in certain coaching or tuition services (Act s. 57(1) and 60(2))</w:t>
      </w:r>
      <w:bookmarkEnd w:id="58"/>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9" w:name="_Toc455410599"/>
      <w:r>
        <w:rPr>
          <w:rStyle w:val="CharSectno"/>
        </w:rPr>
        <w:t>16</w:t>
      </w:r>
      <w:r>
        <w:t>.</w:t>
      </w:r>
      <w:r>
        <w:tab/>
        <w:t>When Act s. 22(6) and 24(a) apply to volunteers in child</w:t>
      </w:r>
      <w:r>
        <w:noBreakHyphen/>
        <w:t>related employment (Act s. 58(2) and 60(2))</w:t>
      </w:r>
      <w:bookmarkEnd w:id="59"/>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60" w:name="_Toc455410600"/>
      <w:r>
        <w:rPr>
          <w:rStyle w:val="CharSectno"/>
        </w:rPr>
        <w:t>17</w:t>
      </w:r>
      <w:r>
        <w:t>.</w:t>
      </w:r>
      <w:r>
        <w:tab/>
        <w:t>When Act s. 22(6) and 24(a) apply to ministers of religion in child</w:t>
      </w:r>
      <w:r>
        <w:noBreakHyphen/>
        <w:t>related employment (Act s. 59(2))</w:t>
      </w:r>
      <w:bookmarkEnd w:id="60"/>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61" w:name="_Toc455410601"/>
      <w:r>
        <w:rPr>
          <w:rStyle w:val="CharSectno"/>
        </w:rPr>
        <w:t>18</w:t>
      </w:r>
      <w:r>
        <w:t>.</w:t>
      </w:r>
      <w:r>
        <w:tab/>
        <w:t>When Act s. 22(6) and 24 apply to holders of class F or T driver’s licences in child-related businesses or employment (Act s. 57(1) and 60(2))</w:t>
      </w:r>
      <w:bookmarkEnd w:id="61"/>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62" w:name="_Toc455410602"/>
      <w:r>
        <w:rPr>
          <w:rStyle w:val="CharSectno"/>
        </w:rPr>
        <w:t>19</w:t>
      </w:r>
      <w:r>
        <w:t>.</w:t>
      </w:r>
      <w:r>
        <w:tab/>
        <w:t>When Act s. 22(6) and 24(a) apply to people in child</w:t>
      </w:r>
      <w:r>
        <w:noBreakHyphen/>
        <w:t>related employment in various institutions etc. (Act s. 60(2))</w:t>
      </w:r>
      <w:bookmarkEnd w:id="62"/>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63" w:name="_Toc455410603"/>
      <w:r>
        <w:rPr>
          <w:rStyle w:val="CharSectno"/>
        </w:rPr>
        <w:t>20</w:t>
      </w:r>
      <w:r>
        <w:t>.</w:t>
      </w:r>
      <w:r>
        <w:tab/>
        <w:t>When Act s. 22(6) and 24(a) apply to people, appointed under various Acts, involved in child-related employment (Act s. 60(2))</w:t>
      </w:r>
      <w:bookmarkEnd w:id="63"/>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64" w:name="_Toc455410604"/>
      <w:r>
        <w:rPr>
          <w:rStyle w:val="CharSectno"/>
        </w:rPr>
        <w:t>21</w:t>
      </w:r>
      <w:r>
        <w:t>.</w:t>
      </w:r>
      <w:r>
        <w:tab/>
        <w:t>When Act s. 22(4) and 24 apply to people involved in child care services (Act s. 57(1), 60(2) and 61)</w:t>
      </w:r>
      <w:bookmarkEnd w:id="6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5" w:name="_Toc45541060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6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6" w:name="_Toc416966746"/>
      <w:bookmarkStart w:id="67" w:name="_Toc416966805"/>
      <w:bookmarkStart w:id="68" w:name="_Toc417569174"/>
      <w:bookmarkStart w:id="69" w:name="_Toc417569552"/>
      <w:bookmarkStart w:id="70" w:name="_Toc423523654"/>
      <w:bookmarkStart w:id="71" w:name="_Toc455410606"/>
      <w:r>
        <w:rPr>
          <w:rStyle w:val="CharSchNo"/>
        </w:rPr>
        <w:t>Schedule 1</w:t>
      </w:r>
      <w:r>
        <w:t> — </w:t>
      </w:r>
      <w:r>
        <w:rPr>
          <w:rStyle w:val="CharSchText"/>
        </w:rPr>
        <w:t>Work which is not “child</w:t>
      </w:r>
      <w:r>
        <w:rPr>
          <w:rStyle w:val="CharSchText"/>
        </w:rPr>
        <w:noBreakHyphen/>
        <w:t>related work”</w:t>
      </w:r>
      <w:bookmarkEnd w:id="66"/>
      <w:bookmarkEnd w:id="67"/>
      <w:bookmarkEnd w:id="68"/>
      <w:bookmarkEnd w:id="69"/>
      <w:bookmarkEnd w:id="70"/>
      <w:bookmarkEnd w:id="71"/>
    </w:p>
    <w:p>
      <w:pPr>
        <w:pStyle w:val="yShoulderClause"/>
      </w:pPr>
      <w:r>
        <w:t>[r. 4]</w:t>
      </w:r>
    </w:p>
    <w:p>
      <w:pPr>
        <w:pStyle w:val="yHeading3"/>
      </w:pPr>
      <w:bookmarkStart w:id="72" w:name="_Toc416966747"/>
      <w:bookmarkStart w:id="73" w:name="_Toc416966806"/>
      <w:bookmarkStart w:id="74" w:name="_Toc417569175"/>
      <w:bookmarkStart w:id="75" w:name="_Toc417569553"/>
      <w:bookmarkStart w:id="76" w:name="_Toc423523655"/>
      <w:bookmarkStart w:id="77" w:name="_Toc455410607"/>
      <w:r>
        <w:rPr>
          <w:rStyle w:val="CharSDivNo"/>
        </w:rPr>
        <w:t>Division 1</w:t>
      </w:r>
      <w:r>
        <w:t> — </w:t>
      </w:r>
      <w:r>
        <w:rPr>
          <w:rStyle w:val="CharSDivText"/>
        </w:rPr>
        <w:t>Voluntary work carried out by parents</w:t>
      </w:r>
      <w:bookmarkEnd w:id="72"/>
      <w:bookmarkEnd w:id="73"/>
      <w:bookmarkEnd w:id="74"/>
      <w:bookmarkEnd w:id="75"/>
      <w:bookmarkEnd w:id="76"/>
      <w:bookmarkEnd w:id="77"/>
    </w:p>
    <w:p>
      <w:pPr>
        <w:pStyle w:val="yHeading5"/>
      </w:pPr>
      <w:bookmarkStart w:id="78" w:name="_Toc455410608"/>
      <w:r>
        <w:rPr>
          <w:rStyle w:val="CharSClsNo"/>
        </w:rPr>
        <w:t>1a</w:t>
      </w:r>
      <w:r>
        <w:t>.</w:t>
      </w:r>
      <w:r>
        <w:rPr>
          <w:b w:val="0"/>
        </w:rPr>
        <w:tab/>
      </w:r>
      <w:r>
        <w:t>Child care services (Act s. 6(1)(a)(i))</w:t>
      </w:r>
      <w:bookmarkEnd w:id="78"/>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9" w:name="_Toc455410609"/>
      <w:r>
        <w:rPr>
          <w:rStyle w:val="CharSClsNo"/>
        </w:rPr>
        <w:t>1</w:t>
      </w:r>
      <w:r>
        <w:t>.</w:t>
      </w:r>
      <w:r>
        <w:tab/>
        <w:t>Community kindergartens and educational institutions (Act s. 6(1)(a)(ii) and (iii))</w:t>
      </w:r>
      <w:bookmarkEnd w:id="79"/>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80" w:name="_Toc455410610"/>
      <w:r>
        <w:rPr>
          <w:rStyle w:val="CharSClsNo"/>
        </w:rPr>
        <w:t>2</w:t>
      </w:r>
      <w:r>
        <w:t>.</w:t>
      </w:r>
      <w:r>
        <w:tab/>
        <w:t>Coaching or private tuition services (Act s. 6(1)(a)(iv))</w:t>
      </w:r>
      <w:bookmarkEnd w:id="80"/>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1" w:name="_Toc455410611"/>
      <w:r>
        <w:rPr>
          <w:rStyle w:val="CharSClsNo"/>
        </w:rPr>
        <w:t>2a</w:t>
      </w:r>
      <w:r>
        <w:t>.</w:t>
      </w:r>
      <w:r>
        <w:tab/>
        <w:t>Coaching or private tuition services in connection with clubs, associations or movements (Act s. 6(1)(a)(iv))</w:t>
      </w:r>
      <w:bookmarkEnd w:id="8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82" w:name="_Toc455410612"/>
      <w:r>
        <w:rPr>
          <w:rStyle w:val="CharSClsNo"/>
        </w:rPr>
        <w:t>3</w:t>
      </w:r>
      <w:r>
        <w:t>.</w:t>
      </w:r>
      <w:r>
        <w:tab/>
        <w:t>Accommodation or care of children (Act s. 6(1)(a)(v))</w:t>
      </w:r>
      <w:bookmarkEnd w:id="82"/>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83" w:name="_Toc455410613"/>
      <w:r>
        <w:rPr>
          <w:rStyle w:val="CharSClsNo"/>
        </w:rPr>
        <w:t>4</w:t>
      </w:r>
      <w:r>
        <w:t>.</w:t>
      </w:r>
      <w:r>
        <w:tab/>
        <w:t>Community child health services (Act s. 6(1)(a)(ix))</w:t>
      </w:r>
      <w:bookmarkEnd w:id="83"/>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4" w:name="_Toc455410614"/>
      <w:r>
        <w:rPr>
          <w:rStyle w:val="CharSClsNo"/>
        </w:rPr>
        <w:t>5</w:t>
      </w:r>
      <w:r>
        <w:t>.</w:t>
      </w:r>
      <w:r>
        <w:tab/>
        <w:t>Counselling or other support services (Act s. 6(1)(a)(x))</w:t>
      </w:r>
      <w:bookmarkEnd w:id="84"/>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5" w:name="_Toc455410615"/>
      <w:r>
        <w:rPr>
          <w:rStyle w:val="CharSClsNo"/>
        </w:rPr>
        <w:t>6</w:t>
      </w:r>
      <w:r>
        <w:t>.</w:t>
      </w:r>
      <w:r>
        <w:tab/>
        <w:t>Religious organisations (Act s. 6(1)(a)(xi))</w:t>
      </w:r>
      <w:bookmarkEnd w:id="85"/>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6" w:name="_Toc455410616"/>
      <w:r>
        <w:rPr>
          <w:rStyle w:val="CharSClsNo"/>
        </w:rPr>
        <w:t>7</w:t>
      </w:r>
      <w:r>
        <w:t>.</w:t>
      </w:r>
      <w:r>
        <w:tab/>
        <w:t>Clubs, associations or movements (Act s. 6(1)(a)(xii))</w:t>
      </w:r>
      <w:bookmarkEnd w:id="86"/>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87" w:name="_Toc455410617"/>
      <w:r>
        <w:rPr>
          <w:rStyle w:val="CharSClsNo"/>
        </w:rPr>
        <w:t>8</w:t>
      </w:r>
      <w:r>
        <w:t>.</w:t>
      </w:r>
      <w:r>
        <w:tab/>
        <w:t>Children in hospital (Act s. 6(1)(a)(xiii))</w:t>
      </w:r>
      <w:bookmarkEnd w:id="87"/>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8" w:name="_Toc455410618"/>
      <w:r>
        <w:rPr>
          <w:rStyle w:val="CharSClsNo"/>
        </w:rPr>
        <w:t>8a</w:t>
      </w:r>
      <w:r>
        <w:t>.</w:t>
      </w:r>
      <w:r>
        <w:rPr>
          <w:b w:val="0"/>
        </w:rPr>
        <w:tab/>
      </w:r>
      <w:r>
        <w:t>Baby sitting or child minding service (Act s. 6(1)(a)(xiv))</w:t>
      </w:r>
      <w:bookmarkEnd w:id="88"/>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89" w:name="_Toc455410619"/>
      <w:r>
        <w:rPr>
          <w:rStyle w:val="CharSClsNo"/>
        </w:rPr>
        <w:t>9</w:t>
      </w:r>
      <w:r>
        <w:t>.</w:t>
      </w:r>
      <w:r>
        <w:tab/>
        <w:t>Transport services for children (Act s. 6(1)(a)(xvi))</w:t>
      </w:r>
      <w:bookmarkEnd w:id="89"/>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90" w:name="_Toc455410620"/>
      <w:r>
        <w:rPr>
          <w:rStyle w:val="CharSClsNo"/>
        </w:rPr>
        <w:t>10</w:t>
      </w:r>
      <w:r>
        <w:t>.</w:t>
      </w:r>
      <w:r>
        <w:tab/>
        <w:t>School crossing services (Act s. 6(1)(a)(xvii))</w:t>
      </w:r>
      <w:bookmarkEnd w:id="90"/>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91" w:name="_Toc455410621"/>
      <w:r>
        <w:rPr>
          <w:rStyle w:val="CharSClsNo"/>
        </w:rPr>
        <w:t>11</w:t>
      </w:r>
      <w:r>
        <w:t>.</w:t>
      </w:r>
      <w:r>
        <w:tab/>
        <w:t>Children’s entertainment or party services (Act s. 6(1)(a)(xviii))</w:t>
      </w:r>
      <w:bookmarkEnd w:id="91"/>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92" w:name="_Toc416966762"/>
      <w:bookmarkStart w:id="93" w:name="_Toc416966821"/>
      <w:bookmarkStart w:id="94" w:name="_Toc417569190"/>
      <w:bookmarkStart w:id="95" w:name="_Toc417569568"/>
      <w:bookmarkStart w:id="96" w:name="_Toc423523670"/>
      <w:bookmarkStart w:id="97" w:name="_Toc455410622"/>
      <w:r>
        <w:rPr>
          <w:rStyle w:val="CharSDivNo"/>
        </w:rPr>
        <w:t>Division 2</w:t>
      </w:r>
      <w:r>
        <w:t> — </w:t>
      </w:r>
      <w:r>
        <w:rPr>
          <w:rStyle w:val="CharSDivText"/>
        </w:rPr>
        <w:t>Other exempt work</w:t>
      </w:r>
      <w:bookmarkEnd w:id="92"/>
      <w:bookmarkEnd w:id="93"/>
      <w:bookmarkEnd w:id="94"/>
      <w:bookmarkEnd w:id="95"/>
      <w:bookmarkEnd w:id="96"/>
      <w:bookmarkEnd w:id="97"/>
    </w:p>
    <w:p>
      <w:pPr>
        <w:pStyle w:val="yHeading5"/>
      </w:pPr>
      <w:bookmarkStart w:id="98" w:name="_Toc455410623"/>
      <w:r>
        <w:rPr>
          <w:rStyle w:val="CharSClsNo"/>
        </w:rPr>
        <w:t>12</w:t>
      </w:r>
      <w:r>
        <w:t>.</w:t>
      </w:r>
      <w:r>
        <w:tab/>
        <w:t>Child</w:t>
      </w:r>
      <w:r>
        <w:noBreakHyphen/>
        <w:t>related work carried out by visitors to the State (Act s. 6(1)(a))</w:t>
      </w:r>
      <w:bookmarkEnd w:id="98"/>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99" w:name="_Toc45541062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9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00" w:name="_Toc455410625"/>
      <w:r>
        <w:rPr>
          <w:rStyle w:val="CharSClsNo"/>
        </w:rPr>
        <w:t>13</w:t>
      </w:r>
      <w:r>
        <w:t>.</w:t>
      </w:r>
      <w:r>
        <w:rPr>
          <w:b w:val="0"/>
        </w:rPr>
        <w:tab/>
      </w:r>
      <w:r>
        <w:t>Child</w:t>
      </w:r>
      <w:r>
        <w:noBreakHyphen/>
        <w:t>related work carried out by student as part of educational or vocational course of study</w:t>
      </w:r>
      <w:bookmarkEnd w:id="100"/>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01" w:name="_Toc455410626"/>
      <w:r>
        <w:rPr>
          <w:rStyle w:val="CharSClsNo"/>
        </w:rPr>
        <w:t>14</w:t>
      </w:r>
      <w:r>
        <w:t>.</w:t>
      </w:r>
      <w:r>
        <w:tab/>
        <w:t>Coaching or private tuition services provided to certain groups (Act s. 6(1)(a)(iv))</w:t>
      </w:r>
      <w:bookmarkEnd w:id="101"/>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02" w:name="_Toc455410627"/>
      <w:r>
        <w:rPr>
          <w:rStyle w:val="CharSClsNo"/>
        </w:rPr>
        <w:t>15</w:t>
      </w:r>
      <w:r>
        <w:t>.</w:t>
      </w:r>
      <w:r>
        <w:tab/>
        <w:t>Accommodation or care of children in residence for tertiary education (Act s. 6(1)(a)(v))</w:t>
      </w:r>
      <w:bookmarkEnd w:id="10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03" w:name="_Toc455410628"/>
      <w:r>
        <w:rPr>
          <w:rStyle w:val="CharSClsNo"/>
        </w:rPr>
        <w:t>16</w:t>
      </w:r>
      <w:r>
        <w:t>.</w:t>
      </w:r>
      <w:r>
        <w:tab/>
        <w:t>Children’s entertainment or party services (Act s. 6(1)(a)(xviii))</w:t>
      </w:r>
      <w:bookmarkEnd w:id="103"/>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04" w:name="_Toc455410629"/>
      <w:r>
        <w:rPr>
          <w:rStyle w:val="CharSClsNo"/>
        </w:rPr>
        <w:t>17</w:t>
      </w:r>
      <w:r>
        <w:t>.</w:t>
      </w:r>
      <w:r>
        <w:tab/>
        <w:t>National events and national tours (Act s. 6(1)(a)(iii), (iv), (v), (x), (xi), (xii), (xiv), (xv), (xvi), (xvii) or (xviii))</w:t>
      </w:r>
      <w:bookmarkEnd w:id="104"/>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6" w:name="_Toc416966770"/>
      <w:bookmarkStart w:id="107" w:name="_Toc416966829"/>
      <w:bookmarkStart w:id="108" w:name="_Toc417569198"/>
      <w:bookmarkStart w:id="109" w:name="_Toc417569576"/>
      <w:bookmarkStart w:id="110" w:name="_Toc423523678"/>
      <w:bookmarkStart w:id="111" w:name="_Toc45541063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06"/>
      <w:bookmarkEnd w:id="107"/>
      <w:bookmarkEnd w:id="108"/>
      <w:bookmarkEnd w:id="109"/>
      <w:bookmarkEnd w:id="110"/>
      <w:bookmarkEnd w:id="111"/>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12" w:name="_Toc416966771"/>
      <w:bookmarkStart w:id="113" w:name="_Toc416966830"/>
      <w:bookmarkStart w:id="114" w:name="_Toc417569199"/>
      <w:bookmarkStart w:id="115" w:name="_Toc417569577"/>
      <w:bookmarkStart w:id="116" w:name="_Toc423523679"/>
      <w:bookmarkStart w:id="117" w:name="_Toc455410631"/>
      <w:r>
        <w:rPr>
          <w:rStyle w:val="CharSchNo"/>
        </w:rPr>
        <w:t>Schedule 2</w:t>
      </w:r>
      <w:r>
        <w:t> — </w:t>
      </w:r>
      <w:r>
        <w:rPr>
          <w:rStyle w:val="CharSchText"/>
        </w:rPr>
        <w:t>Offences under laws of other jurisdictions prescribed as Class 2 offences</w:t>
      </w:r>
      <w:bookmarkEnd w:id="112"/>
      <w:bookmarkEnd w:id="113"/>
      <w:bookmarkEnd w:id="114"/>
      <w:bookmarkEnd w:id="115"/>
      <w:bookmarkEnd w:id="116"/>
      <w:bookmarkEnd w:id="117"/>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18" w:name="_Toc416966772"/>
      <w:bookmarkStart w:id="119" w:name="_Toc416966831"/>
      <w:bookmarkStart w:id="120" w:name="_Toc417569200"/>
      <w:bookmarkStart w:id="121" w:name="_Toc417569578"/>
      <w:bookmarkStart w:id="122" w:name="_Toc423523680"/>
      <w:bookmarkStart w:id="123" w:name="_Toc455410632"/>
      <w:r>
        <w:rPr>
          <w:rStyle w:val="CharSchNo"/>
        </w:rPr>
        <w:t>Schedule 3</w:t>
      </w:r>
      <w:r>
        <w:rPr>
          <w:rStyle w:val="CharSDivNo"/>
        </w:rPr>
        <w:t> </w:t>
      </w:r>
      <w:r>
        <w:t>—</w:t>
      </w:r>
      <w:r>
        <w:rPr>
          <w:rStyle w:val="CharSDivText"/>
        </w:rPr>
        <w:t> </w:t>
      </w:r>
      <w:r>
        <w:rPr>
          <w:rStyle w:val="CharSchText"/>
        </w:rPr>
        <w:t>Fees</w:t>
      </w:r>
      <w:bookmarkEnd w:id="118"/>
      <w:bookmarkEnd w:id="119"/>
      <w:bookmarkEnd w:id="120"/>
      <w:bookmarkEnd w:id="121"/>
      <w:bookmarkEnd w:id="122"/>
      <w:bookmarkEnd w:id="123"/>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t>$83.00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t>$83.00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t>$83.00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in Gazette 1 Jul 2011 p. 2714; 29 Jun 2012 p. 2930; 28 Jun 2013 p. 2748; 27 Jun 2014 p. 2312; 26 Jun 2015 p. 2237</w:t>
      </w:r>
      <w:r>
        <w:noBreakHyphen/>
        <w:t>8; 24 Jun 2016 p. 2294.]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24" w:name="_Toc416966773"/>
      <w:bookmarkStart w:id="125" w:name="_Toc416966832"/>
      <w:bookmarkStart w:id="126" w:name="_Toc417569201"/>
      <w:bookmarkStart w:id="127" w:name="_Toc417569579"/>
      <w:bookmarkStart w:id="128" w:name="_Toc423523681"/>
      <w:bookmarkStart w:id="129" w:name="_Toc455410633"/>
      <w:r>
        <w:t>Notes</w:t>
      </w:r>
      <w:bookmarkEnd w:id="124"/>
      <w:bookmarkEnd w:id="125"/>
      <w:bookmarkEnd w:id="126"/>
      <w:bookmarkEnd w:id="127"/>
      <w:bookmarkEnd w:id="128"/>
      <w:bookmarkEnd w:id="129"/>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30" w:name="_Toc455410634"/>
      <w: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Borders>
              <w:bottom w:val="single" w:sz="4" w:space="0" w:color="auto"/>
            </w:tcBorders>
          </w:tcPr>
          <w:p>
            <w:pPr>
              <w:pStyle w:val="nTable"/>
              <w:spacing w:after="40"/>
              <w:rPr>
                <w:i/>
              </w:rPr>
            </w:pPr>
            <w:r>
              <w:rPr>
                <w:i/>
              </w:rPr>
              <w:t>Working with Children (Criminal Record Checking) Amendment Regulations 2016</w:t>
            </w:r>
          </w:p>
        </w:tc>
        <w:tc>
          <w:tcPr>
            <w:tcW w:w="1276" w:type="dxa"/>
            <w:tcBorders>
              <w:bottom w:val="single" w:sz="4" w:space="0" w:color="auto"/>
            </w:tcBorders>
          </w:tcPr>
          <w:p>
            <w:pPr>
              <w:pStyle w:val="nTable"/>
              <w:spacing w:after="40"/>
            </w:pPr>
            <w:r>
              <w:t>24 Jun 2016 p. 2294</w:t>
            </w:r>
            <w:r>
              <w:noBreakHyphen/>
              <w:t>5</w:t>
            </w:r>
          </w:p>
        </w:tc>
        <w:tc>
          <w:tcPr>
            <w:tcW w:w="2693" w:type="dxa"/>
            <w:tcBorders>
              <w:bottom w:val="single" w:sz="4" w:space="0" w:color="auto"/>
            </w:tcBorders>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2" w:name="_Toc416966835"/>
      <w:bookmarkStart w:id="133" w:name="_Toc417569203"/>
      <w:bookmarkStart w:id="134" w:name="_Toc417569581"/>
      <w:bookmarkStart w:id="135" w:name="_Toc423523683"/>
      <w:bookmarkStart w:id="136" w:name="_Toc455410635"/>
      <w:r>
        <w:rPr>
          <w:sz w:val="28"/>
        </w:rPr>
        <w:t>Defined terms</w:t>
      </w:r>
      <w:bookmarkEnd w:id="132"/>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2"/>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9767</Words>
  <Characters>48055</Characters>
  <Application>Microsoft Office Word</Application>
  <DocSecurity>0</DocSecurity>
  <Lines>1456</Lines>
  <Paragraphs>792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2005 - 03-f0-01</dc:title>
  <dc:subject/>
  <dc:creator/>
  <cp:keywords/>
  <dc:description/>
  <cp:lastModifiedBy>svcMRProcess</cp:lastModifiedBy>
  <cp:revision>4</cp:revision>
  <cp:lastPrinted>2014-03-26T07:26:00Z</cp:lastPrinted>
  <dcterms:created xsi:type="dcterms:W3CDTF">2018-09-17T03:54:00Z</dcterms:created>
  <dcterms:modified xsi:type="dcterms:W3CDTF">2018-09-17T03:54:00Z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AsAtDate">
    <vt:lpwstr>01 Jul 2016</vt:lpwstr>
  </property>
  <property fmtid="{D5CDD505-2E9C-101B-9397-08002B2CF9AE}" pid="6" name="Suffix">
    <vt:lpwstr>03-f0-01</vt:lpwstr>
  </property>
  <property fmtid="{D5CDD505-2E9C-101B-9397-08002B2CF9AE}" pid="7" name="OWLSUId">
    <vt:i4>9277</vt:i4>
  </property>
  <property fmtid="{D5CDD505-2E9C-101B-9397-08002B2CF9AE}" pid="8" name="DocumentType">
    <vt:lpwstr>Reg</vt:lpwstr>
  </property>
  <property fmtid="{D5CDD505-2E9C-101B-9397-08002B2CF9AE}" pid="9" name="CommencementDate">
    <vt:lpwstr>20160701</vt:lpwstr>
  </property>
</Properties>
</file>