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and Disability Services (Complaints)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and Disability Services (Complaints)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_Toc455412924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_Toc455412925 \h </w:instrText>
      </w:r>
      <w:r>
        <w:fldChar w:fldCharType="separate"/>
      </w:r>
      <w:r>
        <w:t>2</w:t>
      </w:r>
      <w:r>
        <w:fldChar w:fldCharType="end"/>
      </w:r>
    </w:p>
    <w:p>
      <w:pPr>
        <w:pStyle w:val="TOC8"/>
        <w:rPr>
          <w:rFonts w:asciiTheme="minorHAnsi" w:eastAsiaTheme="minorEastAsia" w:hAnsiTheme="minorHAnsi" w:cstheme="minorBidi"/>
          <w:szCs w:val="22"/>
        </w:rPr>
      </w:pPr>
      <w:r>
        <w:t>3A.</w:t>
      </w:r>
      <w:r>
        <w:tab/>
        <w:t>Act to be read with other legislation about health and disability complaints</w:t>
      </w:r>
      <w:r>
        <w:tab/>
      </w:r>
      <w:r>
        <w:fldChar w:fldCharType="begin"/>
      </w:r>
      <w:r>
        <w:instrText xml:space="preserve"> PAGEREF _Toc455412926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_Toc455412927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Guiding principles for the provision of health services</w:t>
      </w:r>
      <w:r>
        <w:tab/>
      </w:r>
      <w:r>
        <w:fldChar w:fldCharType="begin"/>
      </w:r>
      <w:r>
        <w:instrText xml:space="preserve"> PAGEREF _Toc455412928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_Toc455412929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arrangements</w:t>
      </w:r>
    </w:p>
    <w:p>
      <w:pPr>
        <w:pStyle w:val="TOC8"/>
        <w:rPr>
          <w:rFonts w:asciiTheme="minorHAnsi" w:eastAsiaTheme="minorEastAsia" w:hAnsiTheme="minorHAnsi" w:cstheme="minorBidi"/>
          <w:szCs w:val="22"/>
        </w:rPr>
      </w:pPr>
      <w:r>
        <w:t>6</w:t>
      </w:r>
      <w:r>
        <w:rPr>
          <w:snapToGrid w:val="0"/>
        </w:rPr>
        <w:t>.</w:t>
      </w:r>
      <w:r>
        <w:rPr>
          <w:snapToGrid w:val="0"/>
        </w:rPr>
        <w:tab/>
        <w:t>Health and Disability Services Complaints Office</w:t>
      </w:r>
      <w:r>
        <w:tab/>
      </w:r>
      <w:r>
        <w:fldChar w:fldCharType="begin"/>
      </w:r>
      <w:r>
        <w:instrText xml:space="preserve"> PAGEREF _Toc455412931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Director of Office</w:t>
      </w:r>
      <w:r>
        <w:tab/>
      </w:r>
      <w:r>
        <w:fldChar w:fldCharType="begin"/>
      </w:r>
      <w:r>
        <w:instrText xml:space="preserve"> PAGEREF _Toc455412932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salary etc. of Director</w:t>
      </w:r>
      <w:r>
        <w:tab/>
      </w:r>
      <w:r>
        <w:fldChar w:fldCharType="begin"/>
      </w:r>
      <w:r>
        <w:instrText xml:space="preserve"> PAGEREF _Toc455412933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Judicial notice of Director’s appointment and signature</w:t>
      </w:r>
      <w:r>
        <w:tab/>
      </w:r>
      <w:r>
        <w:fldChar w:fldCharType="begin"/>
      </w:r>
      <w:r>
        <w:instrText xml:space="preserve"> PAGEREF _Toc455412934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Director’s functions</w:t>
      </w:r>
      <w:r>
        <w:tab/>
      </w:r>
      <w:r>
        <w:fldChar w:fldCharType="begin"/>
      </w:r>
      <w:r>
        <w:instrText xml:space="preserve"> PAGEREF _Toc455412935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give Director directions</w:t>
      </w:r>
      <w:r>
        <w:tab/>
      </w:r>
      <w:r>
        <w:fldChar w:fldCharType="begin"/>
      </w:r>
      <w:r>
        <w:instrText xml:space="preserve"> PAGEREF _Toc455412936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to have access to information</w:t>
      </w:r>
      <w:r>
        <w:tab/>
      </w:r>
      <w:r>
        <w:fldChar w:fldCharType="begin"/>
      </w:r>
      <w:r>
        <w:instrText xml:space="preserve"> PAGEREF _Toc455412937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Financial provisions</w:t>
      </w:r>
      <w:r>
        <w:tab/>
      </w:r>
      <w:r>
        <w:fldChar w:fldCharType="begin"/>
      </w:r>
      <w:r>
        <w:instrText xml:space="preserve"> PAGEREF _Toc455412938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Staff</w:t>
      </w:r>
      <w:r>
        <w:tab/>
      </w:r>
      <w:r>
        <w:fldChar w:fldCharType="begin"/>
      </w:r>
      <w:r>
        <w:instrText xml:space="preserve"> PAGEREF _Toc455412939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Consultants</w:t>
      </w:r>
      <w:r>
        <w:tab/>
      </w:r>
      <w:r>
        <w:fldChar w:fldCharType="begin"/>
      </w:r>
      <w:r>
        <w:instrText xml:space="preserve"> PAGEREF _Toc455412940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Use of other government staff etc.</w:t>
      </w:r>
      <w:r>
        <w:tab/>
      </w:r>
      <w:r>
        <w:fldChar w:fldCharType="begin"/>
      </w:r>
      <w:r>
        <w:instrText xml:space="preserve"> PAGEREF _Toc455412941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Oath of office by Director and staff</w:t>
      </w:r>
      <w:r>
        <w:tab/>
      </w:r>
      <w:r>
        <w:fldChar w:fldCharType="begin"/>
      </w:r>
      <w:r>
        <w:instrText xml:space="preserve"> PAGEREF _Toc455412942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Director</w:t>
      </w:r>
      <w:r>
        <w:tab/>
      </w:r>
      <w:r>
        <w:fldChar w:fldCharType="begin"/>
      </w:r>
      <w:r>
        <w:instrText xml:space="preserve"> PAGEREF _Toc455412943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Complaints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Right to complain conferred</w:t>
      </w:r>
    </w:p>
    <w:p>
      <w:pPr>
        <w:pStyle w:val="TOC8"/>
        <w:rPr>
          <w:rFonts w:asciiTheme="minorHAnsi" w:eastAsiaTheme="minorEastAsia" w:hAnsiTheme="minorHAnsi" w:cstheme="minorBidi"/>
          <w:szCs w:val="22"/>
        </w:rPr>
      </w:pPr>
      <w:r>
        <w:t>19</w:t>
      </w:r>
      <w:r>
        <w:rPr>
          <w:snapToGrid w:val="0"/>
        </w:rPr>
        <w:t>.</w:t>
      </w:r>
      <w:r>
        <w:rPr>
          <w:snapToGrid w:val="0"/>
        </w:rPr>
        <w:tab/>
        <w:t>Who may complain</w:t>
      </w:r>
      <w:r>
        <w:tab/>
      </w:r>
      <w:r>
        <w:fldChar w:fldCharType="begin"/>
      </w:r>
      <w:r>
        <w:instrText xml:space="preserve"> PAGEREF _Toc455412946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Representatives of users</w:t>
      </w:r>
      <w:r>
        <w:tab/>
      </w:r>
      <w:r>
        <w:fldChar w:fldCharType="begin"/>
      </w:r>
      <w:r>
        <w:instrText xml:space="preserve"> PAGEREF _Toc455412947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Representative not to be paid</w:t>
      </w:r>
      <w:r>
        <w:tab/>
      </w:r>
      <w:r>
        <w:fldChar w:fldCharType="begin"/>
      </w:r>
      <w:r>
        <w:instrText xml:space="preserve"> PAGEREF _Toc455412948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Provider may complain for user</w:t>
      </w:r>
      <w:r>
        <w:tab/>
      </w:r>
      <w:r>
        <w:fldChar w:fldCharType="begin"/>
      </w:r>
      <w:r>
        <w:instrText xml:space="preserve"> PAGEREF _Toc455412949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Complaints to public providers, referral under administrative instructions</w:t>
      </w:r>
      <w:r>
        <w:tab/>
      </w:r>
      <w:r>
        <w:fldChar w:fldCharType="begin"/>
      </w:r>
      <w:r>
        <w:instrText xml:space="preserve"> PAGEREF _Toc455412950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Time limit for complaints</w:t>
      </w:r>
      <w:r>
        <w:tab/>
      </w:r>
      <w:r>
        <w:fldChar w:fldCharType="begin"/>
      </w:r>
      <w:r>
        <w:instrText xml:space="preserve"> PAGEREF _Toc455412951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What complaints can be about</w:t>
      </w:r>
      <w:r>
        <w:tab/>
      </w:r>
      <w:r>
        <w:fldChar w:fldCharType="begin"/>
      </w:r>
      <w:r>
        <w:instrText xml:space="preserve"> PAGEREF _Toc455412952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Complaints that must be rejected</w:t>
      </w:r>
      <w:r>
        <w:tab/>
      </w:r>
      <w:r>
        <w:fldChar w:fldCharType="begin"/>
      </w:r>
      <w:r>
        <w:instrText xml:space="preserve"> PAGEREF _Toc455412953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Initial procedures</w:t>
      </w:r>
    </w:p>
    <w:p>
      <w:pPr>
        <w:pStyle w:val="TOC8"/>
        <w:rPr>
          <w:rFonts w:asciiTheme="minorHAnsi" w:eastAsiaTheme="minorEastAsia" w:hAnsiTheme="minorHAnsi" w:cstheme="minorBidi"/>
          <w:szCs w:val="22"/>
        </w:rPr>
      </w:pPr>
      <w:r>
        <w:t>27</w:t>
      </w:r>
      <w:r>
        <w:rPr>
          <w:snapToGrid w:val="0"/>
        </w:rPr>
        <w:t>.</w:t>
      </w:r>
      <w:r>
        <w:rPr>
          <w:snapToGrid w:val="0"/>
        </w:rPr>
        <w:tab/>
        <w:t>How to complain</w:t>
      </w:r>
      <w:r>
        <w:tab/>
      </w:r>
      <w:r>
        <w:fldChar w:fldCharType="begin"/>
      </w:r>
      <w:r>
        <w:instrText xml:space="preserve"> PAGEREF _Toc455412955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Referral of complaint where Act inapplicable</w:t>
      </w:r>
      <w:r>
        <w:tab/>
      </w:r>
      <w:r>
        <w:fldChar w:fldCharType="begin"/>
      </w:r>
      <w:r>
        <w:instrText xml:space="preserve"> PAGEREF _Toc455412956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Withdrawal of complaint</w:t>
      </w:r>
      <w:r>
        <w:tab/>
      </w:r>
      <w:r>
        <w:fldChar w:fldCharType="begin"/>
      </w:r>
      <w:r>
        <w:instrText xml:space="preserve"> PAGEREF _Toc455412957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User or carer must try to resolve matter</w:t>
      </w:r>
      <w:r>
        <w:tab/>
      </w:r>
      <w:r>
        <w:fldChar w:fldCharType="begin"/>
      </w:r>
      <w:r>
        <w:instrText xml:space="preserve"> PAGEREF _Toc455412958 \h </w:instrText>
      </w:r>
      <w:r>
        <w:fldChar w:fldCharType="separate"/>
      </w:r>
      <w:r>
        <w:t>19</w:t>
      </w:r>
      <w:r>
        <w:fldChar w:fldCharType="end"/>
      </w:r>
    </w:p>
    <w:p>
      <w:pPr>
        <w:pStyle w:val="TOC8"/>
        <w:rPr>
          <w:rFonts w:asciiTheme="minorHAnsi" w:eastAsiaTheme="minorEastAsia" w:hAnsiTheme="minorHAnsi" w:cstheme="minorBidi"/>
          <w:szCs w:val="22"/>
        </w:rPr>
      </w:pPr>
      <w:r>
        <w:t>31.</w:t>
      </w:r>
      <w:r>
        <w:tab/>
        <w:t xml:space="preserve">Complaints not dealt with by National Board under </w:t>
      </w:r>
      <w:r>
        <w:rPr>
          <w:i/>
          <w:iCs/>
        </w:rPr>
        <w:t>Health Practitioner Regulation National Law (Western Australia)</w:t>
      </w:r>
      <w:r>
        <w:tab/>
      </w:r>
      <w:r>
        <w:fldChar w:fldCharType="begin"/>
      </w:r>
      <w:r>
        <w:instrText xml:space="preserve"> PAGEREF _Toc455412959 \h </w:instrText>
      </w:r>
      <w:r>
        <w:fldChar w:fldCharType="separate"/>
      </w:r>
      <w:r>
        <w:t>20</w:t>
      </w:r>
      <w:r>
        <w:fldChar w:fldCharType="end"/>
      </w:r>
    </w:p>
    <w:p>
      <w:pPr>
        <w:pStyle w:val="TOC8"/>
        <w:rPr>
          <w:rFonts w:asciiTheme="minorHAnsi" w:eastAsiaTheme="minorEastAsia" w:hAnsiTheme="minorHAnsi" w:cstheme="minorBidi"/>
          <w:szCs w:val="22"/>
        </w:rPr>
      </w:pPr>
      <w:r>
        <w:t>32A.</w:t>
      </w:r>
      <w:r>
        <w:tab/>
        <w:t>Notice that complaint being dealt with by National Board</w:t>
      </w:r>
      <w:r>
        <w:tab/>
      </w:r>
      <w:r>
        <w:fldChar w:fldCharType="begin"/>
      </w:r>
      <w:r>
        <w:instrText xml:space="preserve"> PAGEREF _Toc455412960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Referral to other bodies</w:t>
      </w:r>
      <w:r>
        <w:tab/>
      </w:r>
      <w:r>
        <w:fldChar w:fldCharType="begin"/>
      </w:r>
      <w:r>
        <w:instrText xml:space="preserve"> PAGEREF _Toc455412961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Director’s duties if complaint referred under s. 32</w:t>
      </w:r>
      <w:r>
        <w:tab/>
      </w:r>
      <w:r>
        <w:fldChar w:fldCharType="begin"/>
      </w:r>
      <w:r>
        <w:instrText xml:space="preserve"> PAGEREF _Toc455412962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Preliminary assessment by Director</w:t>
      </w:r>
      <w:r>
        <w:tab/>
      </w:r>
      <w:r>
        <w:fldChar w:fldCharType="begin"/>
      </w:r>
      <w:r>
        <w:instrText xml:space="preserve"> PAGEREF _Toc455412963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to provider and others</w:t>
      </w:r>
      <w:r>
        <w:tab/>
      </w:r>
      <w:r>
        <w:fldChar w:fldCharType="begin"/>
      </w:r>
      <w:r>
        <w:instrText xml:space="preserve"> PAGEREF _Toc455412964 \h </w:instrText>
      </w:r>
      <w:r>
        <w:fldChar w:fldCharType="separate"/>
      </w:r>
      <w:r>
        <w:t>22</w:t>
      </w:r>
      <w:r>
        <w:fldChar w:fldCharType="end"/>
      </w:r>
    </w:p>
    <w:p>
      <w:pPr>
        <w:pStyle w:val="TOC8"/>
        <w:rPr>
          <w:rFonts w:asciiTheme="minorHAnsi" w:eastAsiaTheme="minorEastAsia" w:hAnsiTheme="minorHAnsi" w:cstheme="minorBidi"/>
          <w:szCs w:val="22"/>
        </w:rPr>
      </w:pPr>
      <w:r>
        <w:t>36A.</w:t>
      </w:r>
      <w:r>
        <w:tab/>
        <w:t>Response by provider</w:t>
      </w:r>
      <w:r>
        <w:tab/>
      </w:r>
      <w:r>
        <w:fldChar w:fldCharType="begin"/>
      </w:r>
      <w:r>
        <w:instrText xml:space="preserve"> PAGEREF _Toc455412965 \h </w:instrText>
      </w:r>
      <w:r>
        <w:fldChar w:fldCharType="separate"/>
      </w:r>
      <w:r>
        <w:t>23</w:t>
      </w:r>
      <w:r>
        <w:fldChar w:fldCharType="end"/>
      </w:r>
    </w:p>
    <w:p>
      <w:pPr>
        <w:pStyle w:val="TOC8"/>
        <w:rPr>
          <w:rFonts w:asciiTheme="minorHAnsi" w:eastAsiaTheme="minorEastAsia" w:hAnsiTheme="minorHAnsi" w:cstheme="minorBidi"/>
          <w:szCs w:val="22"/>
        </w:rPr>
      </w:pPr>
      <w:r>
        <w:t>36BA.</w:t>
      </w:r>
      <w:r>
        <w:tab/>
        <w:t>Protection of provider’s statements</w:t>
      </w:r>
      <w:r>
        <w:tab/>
      </w:r>
      <w:r>
        <w:fldChar w:fldCharType="begin"/>
      </w:r>
      <w:r>
        <w:instrText xml:space="preserve"> PAGEREF _Toc455412966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3A — Negotiated settlement</w:t>
      </w:r>
    </w:p>
    <w:p>
      <w:pPr>
        <w:pStyle w:val="TOC8"/>
        <w:rPr>
          <w:rFonts w:asciiTheme="minorHAnsi" w:eastAsiaTheme="minorEastAsia" w:hAnsiTheme="minorHAnsi" w:cstheme="minorBidi"/>
          <w:szCs w:val="22"/>
        </w:rPr>
      </w:pPr>
      <w:r>
        <w:t>36B.</w:t>
      </w:r>
      <w:r>
        <w:tab/>
        <w:t>Resolving complaints by negotiation</w:t>
      </w:r>
      <w:r>
        <w:tab/>
      </w:r>
      <w:r>
        <w:fldChar w:fldCharType="begin"/>
      </w:r>
      <w:r>
        <w:instrText xml:space="preserve"> PAGEREF _Toc455412968 \h </w:instrText>
      </w:r>
      <w:r>
        <w:fldChar w:fldCharType="separate"/>
      </w:r>
      <w:r>
        <w:t>24</w:t>
      </w:r>
      <w:r>
        <w:fldChar w:fldCharType="end"/>
      </w:r>
    </w:p>
    <w:p>
      <w:pPr>
        <w:pStyle w:val="TOC8"/>
        <w:rPr>
          <w:rFonts w:asciiTheme="minorHAnsi" w:eastAsiaTheme="minorEastAsia" w:hAnsiTheme="minorHAnsi" w:cstheme="minorBidi"/>
          <w:szCs w:val="22"/>
        </w:rPr>
      </w:pPr>
      <w:r>
        <w:t>36C.</w:t>
      </w:r>
      <w:r>
        <w:tab/>
        <w:t>Protection of statements made</w:t>
      </w:r>
      <w:r>
        <w:tab/>
      </w:r>
      <w:r>
        <w:fldChar w:fldCharType="begin"/>
      </w:r>
      <w:r>
        <w:instrText xml:space="preserve"> PAGEREF _Toc455412969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Conciliation</w:t>
      </w:r>
    </w:p>
    <w:p>
      <w:pPr>
        <w:pStyle w:val="TOC8"/>
        <w:rPr>
          <w:rFonts w:asciiTheme="minorHAnsi" w:eastAsiaTheme="minorEastAsia" w:hAnsiTheme="minorHAnsi" w:cstheme="minorBidi"/>
          <w:szCs w:val="22"/>
        </w:rPr>
      </w:pPr>
      <w:r>
        <w:t>36</w:t>
      </w:r>
      <w:r>
        <w:rPr>
          <w:snapToGrid w:val="0"/>
        </w:rPr>
        <w:t>.</w:t>
      </w:r>
      <w:r>
        <w:rPr>
          <w:snapToGrid w:val="0"/>
        </w:rPr>
        <w:tab/>
        <w:t>Assignment of conciliator</w:t>
      </w:r>
      <w:r>
        <w:tab/>
      </w:r>
      <w:r>
        <w:fldChar w:fldCharType="begin"/>
      </w:r>
      <w:r>
        <w:instrText xml:space="preserve"> PAGEREF _Toc455412971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Notice of referral for conciliation</w:t>
      </w:r>
      <w:r>
        <w:tab/>
      </w:r>
      <w:r>
        <w:fldChar w:fldCharType="begin"/>
      </w:r>
      <w:r>
        <w:instrText xml:space="preserve"> PAGEREF _Toc455412972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Role of conciliator</w:t>
      </w:r>
      <w:r>
        <w:tab/>
      </w:r>
      <w:r>
        <w:fldChar w:fldCharType="begin"/>
      </w:r>
      <w:r>
        <w:instrText xml:space="preserve"> PAGEREF _Toc455412973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Representation in conciliation process</w:t>
      </w:r>
      <w:r>
        <w:tab/>
      </w:r>
      <w:r>
        <w:fldChar w:fldCharType="begin"/>
      </w:r>
      <w:r>
        <w:instrText xml:space="preserve"> PAGEREF _Toc455412974 \h </w:instrText>
      </w:r>
      <w:r>
        <w:fldChar w:fldCharType="separate"/>
      </w:r>
      <w:r>
        <w:t>26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Reports by conciliator</w:t>
      </w:r>
      <w:r>
        <w:tab/>
      </w:r>
      <w:r>
        <w:fldChar w:fldCharType="begin"/>
      </w:r>
      <w:r>
        <w:instrText xml:space="preserve"> PAGEREF _Toc455412975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Parties may resolve complaint</w:t>
      </w:r>
      <w:r>
        <w:tab/>
      </w:r>
      <w:r>
        <w:fldChar w:fldCharType="begin"/>
      </w:r>
      <w:r>
        <w:instrText xml:space="preserve"> PAGEREF _Toc455412976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Protection of statements made</w:t>
      </w:r>
      <w:r>
        <w:tab/>
      </w:r>
      <w:r>
        <w:fldChar w:fldCharType="begin"/>
      </w:r>
      <w:r>
        <w:instrText xml:space="preserve"> PAGEREF _Toc455412977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Subsequent action</w:t>
      </w:r>
    </w:p>
    <w:p>
      <w:pPr>
        <w:pStyle w:val="TOC8"/>
        <w:rPr>
          <w:rFonts w:asciiTheme="minorHAnsi" w:eastAsiaTheme="minorEastAsia" w:hAnsiTheme="minorHAnsi" w:cstheme="minorBidi"/>
          <w:szCs w:val="22"/>
        </w:rPr>
      </w:pPr>
      <w:r>
        <w:t>43</w:t>
      </w:r>
      <w:r>
        <w:rPr>
          <w:snapToGrid w:val="0"/>
        </w:rPr>
        <w:t>.</w:t>
      </w:r>
      <w:r>
        <w:rPr>
          <w:snapToGrid w:val="0"/>
        </w:rPr>
        <w:tab/>
        <w:t>Director’s duties after conciliator’s recommendation</w:t>
      </w:r>
      <w:r>
        <w:tab/>
      </w:r>
      <w:r>
        <w:fldChar w:fldCharType="begin"/>
      </w:r>
      <w:r>
        <w:instrText xml:space="preserve"> PAGEREF _Toc455412979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Notice of investigation by Director</w:t>
      </w:r>
      <w:r>
        <w:tab/>
      </w:r>
      <w:r>
        <w:fldChar w:fldCharType="begin"/>
      </w:r>
      <w:r>
        <w:instrText xml:space="preserve"> PAGEREF _Toc455412980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Further power to investigate</w:t>
      </w:r>
      <w:r>
        <w:tab/>
      </w:r>
      <w:r>
        <w:fldChar w:fldCharType="begin"/>
      </w:r>
      <w:r>
        <w:instrText xml:space="preserve"> PAGEREF _Toc455412981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Conciliator must not investigate</w:t>
      </w:r>
      <w:r>
        <w:tab/>
      </w:r>
      <w:r>
        <w:fldChar w:fldCharType="begin"/>
      </w:r>
      <w:r>
        <w:instrText xml:space="preserve"> PAGEREF _Toc455412982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Purpose of investigation, and procedure</w:t>
      </w:r>
      <w:r>
        <w:tab/>
      </w:r>
      <w:r>
        <w:fldChar w:fldCharType="begin"/>
      </w:r>
      <w:r>
        <w:instrText xml:space="preserve"> PAGEREF _Toc455412983 \h </w:instrText>
      </w:r>
      <w:r>
        <w:fldChar w:fldCharType="separate"/>
      </w:r>
      <w:r>
        <w:t>30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Remedial action where complaint justified</w:t>
      </w:r>
      <w:r>
        <w:tab/>
      </w:r>
      <w:r>
        <w:fldChar w:fldCharType="begin"/>
      </w:r>
      <w:r>
        <w:instrText xml:space="preserve"> PAGEREF _Toc455412984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Provider must report on remedial action</w:t>
      </w:r>
      <w:r>
        <w:tab/>
      </w:r>
      <w:r>
        <w:fldChar w:fldCharType="begin"/>
      </w:r>
      <w:r>
        <w:instrText xml:space="preserve"> PAGEREF _Toc455412985 \h </w:instrText>
      </w:r>
      <w:r>
        <w:fldChar w:fldCharType="separate"/>
      </w:r>
      <w:r>
        <w:t>31</w:t>
      </w:r>
      <w:r>
        <w:fldChar w:fldCharType="end"/>
      </w:r>
    </w:p>
    <w:p>
      <w:pPr>
        <w:pStyle w:val="TOC8"/>
        <w:rPr>
          <w:rFonts w:asciiTheme="minorHAnsi" w:eastAsiaTheme="minorEastAsia" w:hAnsiTheme="minorHAnsi" w:cstheme="minorBidi"/>
          <w:szCs w:val="22"/>
        </w:rPr>
      </w:pPr>
      <w:r>
        <w:t>52A.</w:t>
      </w:r>
      <w:r>
        <w:tab/>
        <w:t>Report to Parliament if report not made under s. 51 or remedial action not taken</w:t>
      </w:r>
      <w:r>
        <w:tab/>
      </w:r>
      <w:r>
        <w:fldChar w:fldCharType="begin"/>
      </w:r>
      <w:r>
        <w:instrText xml:space="preserve"> PAGEREF _Toc455412986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52</w:t>
      </w:r>
      <w:r>
        <w:rPr>
          <w:snapToGrid w:val="0"/>
        </w:rPr>
        <w:t>.</w:t>
      </w:r>
      <w:r>
        <w:rPr>
          <w:snapToGrid w:val="0"/>
        </w:rPr>
        <w:tab/>
        <w:t>Director to stop proceedings in some cases</w:t>
      </w:r>
      <w:r>
        <w:tab/>
      </w:r>
      <w:r>
        <w:fldChar w:fldCharType="begin"/>
      </w:r>
      <w:r>
        <w:instrText xml:space="preserve"> PAGEREF _Toc455412988 \h </w:instrText>
      </w:r>
      <w:r>
        <w:fldChar w:fldCharType="separate"/>
      </w:r>
      <w:r>
        <w:t>32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Reports to, and at request of, Parliament</w:t>
      </w:r>
      <w:r>
        <w:tab/>
      </w:r>
      <w:r>
        <w:fldChar w:fldCharType="begin"/>
      </w:r>
      <w:r>
        <w:instrText xml:space="preserve"> PAGEREF _Toc455412989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Action if a House not sitting</w:t>
      </w:r>
      <w:r>
        <w:tab/>
      </w:r>
      <w:r>
        <w:fldChar w:fldCharType="begin"/>
      </w:r>
      <w:r>
        <w:instrText xml:space="preserve"> PAGEREF _Toc455412990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Saving</w:t>
      </w:r>
      <w:r>
        <w:tab/>
      </w:r>
      <w:r>
        <w:fldChar w:fldCharType="begin"/>
      </w:r>
      <w:r>
        <w:instrText xml:space="preserve"> PAGEREF _Toc455412991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 — Director’s powers to obtain information and entry to premises</w:t>
      </w:r>
    </w:p>
    <w:p>
      <w:pPr>
        <w:pStyle w:val="TOC8"/>
        <w:rPr>
          <w:rFonts w:asciiTheme="minorHAnsi" w:eastAsiaTheme="minorEastAsia" w:hAnsiTheme="minorHAnsi" w:cstheme="minorBidi"/>
          <w:szCs w:val="22"/>
        </w:rPr>
      </w:pPr>
      <w:r>
        <w:t>59</w:t>
      </w:r>
      <w:r>
        <w:rPr>
          <w:snapToGrid w:val="0"/>
        </w:rPr>
        <w:t>.</w:t>
      </w:r>
      <w:r>
        <w:rPr>
          <w:snapToGrid w:val="0"/>
        </w:rPr>
        <w:tab/>
        <w:t>Restriction on powers</w:t>
      </w:r>
      <w:r>
        <w:tab/>
      </w:r>
      <w:r>
        <w:fldChar w:fldCharType="begin"/>
      </w:r>
      <w:r>
        <w:instrText xml:space="preserve"> PAGEREF _Toc455412993 \h </w:instrText>
      </w:r>
      <w:r>
        <w:fldChar w:fldCharType="separate"/>
      </w:r>
      <w:r>
        <w:t>36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Power to summons etc.</w:t>
      </w:r>
      <w:r>
        <w:tab/>
      </w:r>
      <w:r>
        <w:fldChar w:fldCharType="begin"/>
      </w:r>
      <w:r>
        <w:instrText xml:space="preserve"> PAGEREF _Toc455412994 \h </w:instrText>
      </w:r>
      <w:r>
        <w:fldChar w:fldCharType="separate"/>
      </w:r>
      <w:r>
        <w:t>36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False statements</w:t>
      </w:r>
      <w:r>
        <w:tab/>
      </w:r>
      <w:r>
        <w:fldChar w:fldCharType="begin"/>
      </w:r>
      <w:r>
        <w:instrText xml:space="preserve"> PAGEREF _Toc455412995 \h </w:instrText>
      </w:r>
      <w:r>
        <w:fldChar w:fldCharType="separate"/>
      </w:r>
      <w:r>
        <w:t>36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Failure to attend, take oath etc.</w:t>
      </w:r>
      <w:r>
        <w:tab/>
      </w:r>
      <w:r>
        <w:fldChar w:fldCharType="begin"/>
      </w:r>
      <w:r>
        <w:instrText xml:space="preserve"> PAGEREF _Toc455412996 \h </w:instrText>
      </w:r>
      <w:r>
        <w:fldChar w:fldCharType="separate"/>
      </w:r>
      <w:r>
        <w:t>37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Application for warrant to enter premises etc.</w:t>
      </w:r>
      <w:r>
        <w:tab/>
      </w:r>
      <w:r>
        <w:fldChar w:fldCharType="begin"/>
      </w:r>
      <w:r>
        <w:instrText xml:space="preserve"> PAGEREF _Toc455412997 \h </w:instrText>
      </w:r>
      <w:r>
        <w:fldChar w:fldCharType="separate"/>
      </w:r>
      <w:r>
        <w:t>37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Issue of warrant</w:t>
      </w:r>
      <w:r>
        <w:tab/>
      </w:r>
      <w:r>
        <w:fldChar w:fldCharType="begin"/>
      </w:r>
      <w:r>
        <w:instrText xml:space="preserve"> PAGEREF _Toc455412998 \h </w:instrText>
      </w:r>
      <w:r>
        <w:fldChar w:fldCharType="separate"/>
      </w:r>
      <w:r>
        <w:t>38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Execution of warrant</w:t>
      </w:r>
      <w:r>
        <w:tab/>
      </w:r>
      <w:r>
        <w:fldChar w:fldCharType="begin"/>
      </w:r>
      <w:r>
        <w:instrText xml:space="preserve"> PAGEREF _Toc455412999 \h </w:instrText>
      </w:r>
      <w:r>
        <w:fldChar w:fldCharType="separate"/>
      </w:r>
      <w:r>
        <w:t>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Offences relating to warrants</w:t>
      </w:r>
      <w:r>
        <w:tab/>
      </w:r>
      <w:r>
        <w:fldChar w:fldCharType="begin"/>
      </w:r>
      <w:r>
        <w:instrText xml:space="preserve"> PAGEREF _Toc455413000 \h </w:instrText>
      </w:r>
      <w:r>
        <w:fldChar w:fldCharType="separate"/>
      </w:r>
      <w:r>
        <w:t>39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Information etc. that may be withheld</w:t>
      </w:r>
      <w:r>
        <w:tab/>
      </w:r>
      <w:r>
        <w:fldChar w:fldCharType="begin"/>
      </w:r>
      <w:r>
        <w:instrText xml:space="preserve"> PAGEREF _Toc455413001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68</w:t>
      </w:r>
      <w:r>
        <w:rPr>
          <w:snapToGrid w:val="0"/>
        </w:rPr>
        <w:t>.</w:t>
      </w:r>
      <w:r>
        <w:rPr>
          <w:snapToGrid w:val="0"/>
        </w:rPr>
        <w:tab/>
        <w:t>Register of complaints</w:t>
      </w:r>
      <w:r>
        <w:tab/>
      </w:r>
      <w:r>
        <w:fldChar w:fldCharType="begin"/>
      </w:r>
      <w:r>
        <w:instrText xml:space="preserve"> PAGEREF _Toc455413003 \h </w:instrText>
      </w:r>
      <w:r>
        <w:fldChar w:fldCharType="separate"/>
      </w:r>
      <w:r>
        <w:t>42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Protection of Director etc. from personal liability</w:t>
      </w:r>
      <w:r>
        <w:tab/>
      </w:r>
      <w:r>
        <w:fldChar w:fldCharType="begin"/>
      </w:r>
      <w:r>
        <w:instrText xml:space="preserve"> PAGEREF _Toc455413004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Protection of other persons</w:t>
      </w:r>
      <w:r>
        <w:tab/>
      </w:r>
      <w:r>
        <w:fldChar w:fldCharType="begin"/>
      </w:r>
      <w:r>
        <w:instrText xml:space="preserve"> PAGEREF _Toc455413005 \h </w:instrText>
      </w:r>
      <w:r>
        <w:fldChar w:fldCharType="separate"/>
      </w:r>
      <w:r>
        <w:t>43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Confidentiality</w:t>
      </w:r>
      <w:r>
        <w:tab/>
      </w:r>
      <w:r>
        <w:fldChar w:fldCharType="begin"/>
      </w:r>
      <w:r>
        <w:instrText xml:space="preserve"> PAGEREF _Toc455413006 \h </w:instrText>
      </w:r>
      <w:r>
        <w:fldChar w:fldCharType="separate"/>
      </w:r>
      <w:r>
        <w:t>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False statements</w:t>
      </w:r>
      <w:r>
        <w:tab/>
      </w:r>
      <w:r>
        <w:fldChar w:fldCharType="begin"/>
      </w:r>
      <w:r>
        <w:instrText xml:space="preserve"> PAGEREF _Toc455413007 \h </w:instrText>
      </w:r>
      <w:r>
        <w:fldChar w:fldCharType="separate"/>
      </w:r>
      <w:r>
        <w:t>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Person not to be threatened etc. because of complaining to Director</w:t>
      </w:r>
      <w:r>
        <w:tab/>
      </w:r>
      <w:r>
        <w:fldChar w:fldCharType="begin"/>
      </w:r>
      <w:r>
        <w:instrText xml:space="preserve"> PAGEREF _Toc455413008 \h </w:instrText>
      </w:r>
      <w:r>
        <w:fldChar w:fldCharType="separate"/>
      </w:r>
      <w:r>
        <w:t>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 xml:space="preserve">Application of </w:t>
      </w:r>
      <w:r>
        <w:rPr>
          <w:i/>
          <w:iCs/>
          <w:snapToGrid w:val="0"/>
        </w:rPr>
        <w:t>Parliamentary Commissioner Act 1971</w:t>
      </w:r>
      <w:r>
        <w:tab/>
      </w:r>
      <w:r>
        <w:fldChar w:fldCharType="begin"/>
      </w:r>
      <w:r>
        <w:instrText xml:space="preserve"> PAGEREF _Toc455413009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Prescribed provider must give certain information</w:t>
      </w:r>
      <w:r>
        <w:tab/>
      </w:r>
      <w:r>
        <w:fldChar w:fldCharType="begin"/>
      </w:r>
      <w:r>
        <w:instrText xml:space="preserve"> PAGEREF _Toc455413010 \h </w:instrText>
      </w:r>
      <w:r>
        <w:fldChar w:fldCharType="separate"/>
      </w:r>
      <w:r>
        <w:t>45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Prosecutions</w:t>
      </w:r>
      <w:r>
        <w:tab/>
      </w:r>
      <w:r>
        <w:fldChar w:fldCharType="begin"/>
      </w:r>
      <w:r>
        <w:instrText xml:space="preserve"> PAGEREF _Toc455413011 \h </w:instrText>
      </w:r>
      <w:r>
        <w:fldChar w:fldCharType="separate"/>
      </w:r>
      <w:r>
        <w:t>45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Regulations</w:t>
      </w:r>
      <w:r>
        <w:tab/>
      </w:r>
      <w:r>
        <w:fldChar w:fldCharType="begin"/>
      </w:r>
      <w:r>
        <w:instrText xml:space="preserve"> PAGEREF _Toc455413012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Transitional provision</w:t>
      </w:r>
      <w:r>
        <w:tab/>
      </w:r>
      <w:r>
        <w:fldChar w:fldCharType="begin"/>
      </w:r>
      <w:r>
        <w:instrText xml:space="preserve"> PAGEREF _Toc455413013 \h </w:instrText>
      </w:r>
      <w:r>
        <w:fldChar w:fldCharType="separate"/>
      </w:r>
      <w:r>
        <w:t>46</w:t>
      </w:r>
      <w:r>
        <w:fldChar w:fldCharType="end"/>
      </w:r>
    </w:p>
    <w:p>
      <w:pPr>
        <w:pStyle w:val="TOC8"/>
        <w:rPr>
          <w:rFonts w:asciiTheme="minorHAnsi" w:eastAsiaTheme="minorEastAsia" w:hAnsiTheme="minorHAnsi" w:cstheme="minorBidi"/>
          <w:szCs w:val="22"/>
        </w:rPr>
      </w:pPr>
      <w:r>
        <w:t>79.</w:t>
      </w:r>
      <w:r>
        <w:tab/>
        <w:t>Review of Act</w:t>
      </w:r>
      <w:r>
        <w:tab/>
      </w:r>
      <w:r>
        <w:fldChar w:fldCharType="begin"/>
      </w:r>
      <w:r>
        <w:instrText xml:space="preserve"> PAGEREF _Toc455413014 \h </w:instrText>
      </w:r>
      <w:r>
        <w:fldChar w:fldCharType="separate"/>
      </w:r>
      <w:r>
        <w:t>46</w:t>
      </w:r>
      <w:r>
        <w:fldChar w:fldCharType="end"/>
      </w:r>
    </w:p>
    <w:p>
      <w:pPr>
        <w:pStyle w:val="TOC8"/>
        <w:rPr>
          <w:rFonts w:asciiTheme="minorHAnsi" w:eastAsiaTheme="minorEastAsia" w:hAnsiTheme="minorHAnsi" w:cstheme="minorBidi"/>
          <w:szCs w:val="22"/>
        </w:rPr>
      </w:pPr>
      <w:r>
        <w:t>80.</w:t>
      </w:r>
      <w:r>
        <w:tab/>
        <w:t>Transitional provisions</w:t>
      </w:r>
      <w:r>
        <w:tab/>
      </w:r>
      <w:r>
        <w:fldChar w:fldCharType="begin"/>
      </w:r>
      <w:r>
        <w:instrText xml:space="preserve"> PAGEREF _Toc455413015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 — Registration Boards</w:t>
      </w:r>
    </w:p>
    <w:p>
      <w:pPr>
        <w:pStyle w:val="TOC2"/>
        <w:tabs>
          <w:tab w:val="right" w:leader="dot" w:pos="7077"/>
        </w:tabs>
        <w:rPr>
          <w:rFonts w:asciiTheme="minorHAnsi" w:eastAsiaTheme="minorEastAsia" w:hAnsiTheme="minorHAnsi" w:cstheme="minorBidi"/>
          <w:b w:val="0"/>
          <w:sz w:val="22"/>
          <w:szCs w:val="22"/>
        </w:rPr>
      </w:pPr>
      <w:r>
        <w:t>Schedule 2 — Tenure, salary, conditions of service, etc., of Director</w:t>
      </w:r>
    </w:p>
    <w:p>
      <w:pPr>
        <w:pStyle w:val="TOC8"/>
        <w:rPr>
          <w:rFonts w:asciiTheme="minorHAnsi" w:eastAsiaTheme="minorEastAsia" w:hAnsiTheme="minorHAnsi" w:cstheme="minorBidi"/>
          <w:szCs w:val="22"/>
        </w:rPr>
      </w:pPr>
      <w:r>
        <w:t>1</w:t>
      </w:r>
      <w:r>
        <w:rPr>
          <w:snapToGrid w:val="0"/>
        </w:rPr>
        <w:t>.</w:t>
      </w:r>
      <w:r>
        <w:rPr>
          <w:snapToGrid w:val="0"/>
        </w:rPr>
        <w:tab/>
        <w:t>Tenure of office</w:t>
      </w:r>
      <w:r>
        <w:tab/>
      </w:r>
      <w:r>
        <w:fldChar w:fldCharType="begin"/>
      </w:r>
      <w:r>
        <w:instrText xml:space="preserve"> PAGEREF _Toc455413018 \h </w:instrText>
      </w:r>
      <w:r>
        <w:fldChar w:fldCharType="separate"/>
      </w:r>
      <w:r>
        <w:t>50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Salary and entitlements</w:t>
      </w:r>
      <w:r>
        <w:tab/>
      </w:r>
      <w:r>
        <w:fldChar w:fldCharType="begin"/>
      </w:r>
      <w:r>
        <w:instrText xml:space="preserve"> PAGEREF _Toc455413019 \h </w:instrText>
      </w:r>
      <w:r>
        <w:fldChar w:fldCharType="separate"/>
      </w:r>
      <w:r>
        <w:t>50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Superannuation</w:t>
      </w:r>
      <w:r>
        <w:tab/>
      </w:r>
      <w:r>
        <w:fldChar w:fldCharType="begin"/>
      </w:r>
      <w:r>
        <w:instrText xml:space="preserve"> PAGEREF _Toc455413020 \h </w:instrText>
      </w:r>
      <w:r>
        <w:fldChar w:fldCharType="separate"/>
      </w:r>
      <w:r>
        <w:t>50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public service officer</w:t>
      </w:r>
      <w:r>
        <w:tab/>
      </w:r>
      <w:r>
        <w:fldChar w:fldCharType="begin"/>
      </w:r>
      <w:r>
        <w:instrText xml:space="preserve"> PAGEREF _Toc455413021 \h </w:instrText>
      </w:r>
      <w:r>
        <w:fldChar w:fldCharType="separate"/>
      </w:r>
      <w:r>
        <w:t>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Removal from office</w:t>
      </w:r>
      <w:r>
        <w:tab/>
      </w:r>
      <w:r>
        <w:fldChar w:fldCharType="begin"/>
      </w:r>
      <w:r>
        <w:instrText xml:space="preserve"> PAGEREF _Toc455413022 \h </w:instrText>
      </w:r>
      <w:r>
        <w:fldChar w:fldCharType="separate"/>
      </w:r>
      <w:r>
        <w:t>51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Other conditions of service</w:t>
      </w:r>
      <w:r>
        <w:tab/>
      </w:r>
      <w:r>
        <w:fldChar w:fldCharType="begin"/>
      </w:r>
      <w:r>
        <w:instrText xml:space="preserve"> PAGEREF _Toc455413023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_Toc455413025 \h </w:instrText>
      </w:r>
      <w:r>
        <w:fldChar w:fldCharType="separate"/>
      </w:r>
      <w:r>
        <w:t>53</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_Toc455413026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80" w:after="1000"/>
        <w:ind w:left="539" w:right="607"/>
      </w:pPr>
      <w:r>
        <w:t>Health and Disability Services (Complaints) Act 1995</w:t>
      </w:r>
    </w:p>
    <w:p>
      <w:pPr>
        <w:pStyle w:val="LongTitle"/>
        <w:rPr>
          <w:snapToGrid w:val="0"/>
        </w:rPr>
      </w:pPr>
      <w:r>
        <w:rPr>
          <w:snapToGrid w:val="0"/>
        </w:rPr>
        <w:t>An Act to establish a readily accessible agency to which complaints may be made about the provision of health and disability services, to establish a means of having such complaints dealt with in confidence, and for related purposes.</w:t>
      </w:r>
    </w:p>
    <w:p>
      <w:pPr>
        <w:pStyle w:val="Footnotelongtitle"/>
        <w:rPr>
          <w:snapToGrid/>
        </w:rPr>
      </w:pPr>
      <w:r>
        <w:rPr>
          <w:snapToGrid/>
        </w:rPr>
        <w:tab/>
        <w:t>[Long title inserted by No. 33 of 2010 s. 4.]</w:t>
      </w:r>
    </w:p>
    <w:p>
      <w:pPr>
        <w:pStyle w:val="Heading2"/>
      </w:pPr>
      <w:bookmarkStart w:id="3" w:name="_Toc419461271"/>
      <w:bookmarkStart w:id="4" w:name="_Toc435776407"/>
      <w:bookmarkStart w:id="5" w:name="_Toc435776512"/>
      <w:bookmarkStart w:id="6" w:name="_Toc435776777"/>
      <w:bookmarkStart w:id="7" w:name="_Toc436059344"/>
      <w:bookmarkStart w:id="8" w:name="_Toc452545271"/>
      <w:bookmarkStart w:id="9" w:name="_Toc45541292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rPr>
          <w:snapToGrid w:val="0"/>
        </w:rPr>
      </w:pPr>
      <w:bookmarkStart w:id="10" w:name="_Toc455412924"/>
      <w:r>
        <w:rPr>
          <w:rStyle w:val="CharSectno"/>
        </w:rPr>
        <w:t>1</w:t>
      </w:r>
      <w:r>
        <w:rPr>
          <w:snapToGrid w:val="0"/>
        </w:rPr>
        <w:t>.</w:t>
      </w:r>
      <w:r>
        <w:rPr>
          <w:snapToGrid w:val="0"/>
        </w:rPr>
        <w:tab/>
        <w:t>Short title</w:t>
      </w:r>
      <w:bookmarkEnd w:id="10"/>
    </w:p>
    <w:p>
      <w:pPr>
        <w:pStyle w:val="Subsection"/>
        <w:rPr>
          <w:iCs/>
          <w:snapToGrid w:val="0"/>
        </w:rPr>
      </w:pPr>
      <w:r>
        <w:rPr>
          <w:snapToGrid w:val="0"/>
        </w:rPr>
        <w:tab/>
      </w:r>
      <w:r>
        <w:rPr>
          <w:snapToGrid w:val="0"/>
        </w:rPr>
        <w:tab/>
        <w:t>This Act may be cited as the</w:t>
      </w:r>
      <w:r>
        <w:rPr>
          <w:i/>
          <w:iCs/>
        </w:rPr>
        <w:t xml:space="preserve"> Health and Disability Services (Complaints) Act 1995</w:t>
      </w:r>
      <w:r>
        <w:rPr>
          <w:iCs/>
          <w:snapToGrid w:val="0"/>
        </w:rPr>
        <w:t> </w:t>
      </w:r>
      <w:r>
        <w:rPr>
          <w:iCs/>
          <w:snapToGrid w:val="0"/>
          <w:vertAlign w:val="superscript"/>
        </w:rPr>
        <w:t>1</w:t>
      </w:r>
      <w:r>
        <w:rPr>
          <w:iCs/>
          <w:snapToGrid w:val="0"/>
        </w:rPr>
        <w:t>.</w:t>
      </w:r>
    </w:p>
    <w:p>
      <w:pPr>
        <w:pStyle w:val="Footnotesection"/>
        <w:spacing w:before="100"/>
        <w:ind w:left="890" w:hanging="890"/>
      </w:pPr>
      <w:r>
        <w:tab/>
        <w:t>[Section 1 amended by No. 33 of 2010 s. 5.]</w:t>
      </w:r>
    </w:p>
    <w:p>
      <w:pPr>
        <w:pStyle w:val="Heading5"/>
        <w:rPr>
          <w:snapToGrid w:val="0"/>
        </w:rPr>
      </w:pPr>
      <w:bookmarkStart w:id="11" w:name="_Toc455412925"/>
      <w:r>
        <w:rPr>
          <w:rStyle w:val="CharSectno"/>
        </w:rPr>
        <w:t>2</w:t>
      </w:r>
      <w:r>
        <w:rPr>
          <w:snapToGrid w:val="0"/>
        </w:rPr>
        <w:t>.</w:t>
      </w:r>
      <w:r>
        <w:rPr>
          <w:snapToGrid w:val="0"/>
        </w:rPr>
        <w:tab/>
        <w:t>Commencement</w:t>
      </w:r>
      <w:bookmarkEnd w:id="11"/>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pPr>
      <w:bookmarkStart w:id="12" w:name="_Toc455412926"/>
      <w:r>
        <w:rPr>
          <w:rStyle w:val="CharSectno"/>
        </w:rPr>
        <w:t>3A</w:t>
      </w:r>
      <w:r>
        <w:t>.</w:t>
      </w:r>
      <w:r>
        <w:tab/>
        <w:t>Act to be read with other legislation about health and disability complaints</w:t>
      </w:r>
      <w:bookmarkEnd w:id="12"/>
    </w:p>
    <w:p>
      <w:pPr>
        <w:pStyle w:val="Subsection"/>
      </w:pPr>
      <w:r>
        <w:tab/>
      </w:r>
      <w:r>
        <w:tab/>
        <w:t xml:space="preserve">This Act is to be read with the following — </w:t>
      </w:r>
    </w:p>
    <w:p>
      <w:pPr>
        <w:pStyle w:val="Indenta"/>
      </w:pPr>
      <w:r>
        <w:tab/>
        <w:t>(a)</w:t>
      </w:r>
      <w:r>
        <w:tab/>
        <w:t xml:space="preserve">the </w:t>
      </w:r>
      <w:r>
        <w:rPr>
          <w:i/>
        </w:rPr>
        <w:t>Disability Services Act 1993</w:t>
      </w:r>
      <w:r>
        <w:t xml:space="preserve"> Part 6;</w:t>
      </w:r>
    </w:p>
    <w:p>
      <w:pPr>
        <w:pStyle w:val="Indenta"/>
      </w:pPr>
      <w:r>
        <w:tab/>
        <w:t>(b)</w:t>
      </w:r>
      <w:r>
        <w:tab/>
        <w:t xml:space="preserve">the </w:t>
      </w:r>
      <w:r>
        <w:rPr>
          <w:i/>
        </w:rPr>
        <w:t>Mental Health Act 2014</w:t>
      </w:r>
      <w:r>
        <w:t xml:space="preserve"> Part 19 Divisions 3 and 4.</w:t>
      </w:r>
    </w:p>
    <w:p>
      <w:pPr>
        <w:pStyle w:val="Footnotesection"/>
      </w:pPr>
      <w:r>
        <w:tab/>
        <w:t>[Section 3A inserted by No. 25 of 2014 s. 64.]</w:t>
      </w:r>
    </w:p>
    <w:p>
      <w:pPr>
        <w:pStyle w:val="Heading5"/>
        <w:rPr>
          <w:snapToGrid w:val="0"/>
        </w:rPr>
      </w:pPr>
      <w:bookmarkStart w:id="13" w:name="_Toc455412927"/>
      <w:r>
        <w:rPr>
          <w:rStyle w:val="CharSectno"/>
        </w:rPr>
        <w:t>3</w:t>
      </w:r>
      <w:r>
        <w:rPr>
          <w:snapToGrid w:val="0"/>
        </w:rPr>
        <w:t>.</w:t>
      </w:r>
      <w:r>
        <w:rPr>
          <w:snapToGrid w:val="0"/>
        </w:rPr>
        <w:tab/>
        <w:t>Terms used</w:t>
      </w:r>
      <w:bookmarkEnd w:id="13"/>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w:t>
      </w:r>
    </w:p>
    <w:p>
      <w:pPr>
        <w:pStyle w:val="Defpara"/>
      </w:pPr>
      <w:r>
        <w:tab/>
        <w:t>(a)</w:t>
      </w:r>
      <w:r>
        <w:tab/>
        <w:t>diagnosis or treatment of physical or mental disorder or suspected disorder; and</w:t>
      </w:r>
    </w:p>
    <w:p>
      <w:pPr>
        <w:pStyle w:val="Defpara"/>
      </w:pPr>
      <w:r>
        <w:tab/>
        <w:t>(b)</w:t>
      </w:r>
      <w:r>
        <w:tab/>
        <w:t>health care, including palliative health care; and</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w:t>
      </w:r>
    </w:p>
    <w:p>
      <w:pPr>
        <w:pStyle w:val="Defpara"/>
      </w:pPr>
      <w:r>
        <w:tab/>
        <w:t>(e)</w:t>
      </w:r>
      <w:r>
        <w:tab/>
        <w:t>ambulance service; and</w:t>
      </w:r>
    </w:p>
    <w:p>
      <w:pPr>
        <w:pStyle w:val="Defpara"/>
      </w:pPr>
      <w:r>
        <w:tab/>
        <w:t>(f)</w:t>
      </w:r>
      <w:r>
        <w:tab/>
        <w:t>welfare service that is complementary to a health service; and</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tab/>
      </w:r>
      <w:r>
        <w:rPr>
          <w:rStyle w:val="CharDefText"/>
        </w:rPr>
        <w:t>Office</w:t>
      </w:r>
      <w:r>
        <w:t xml:space="preserve"> means the Health and Disability Services Complaints Office continued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w:t>
      </w:r>
    </w:p>
    <w:p>
      <w:pPr>
        <w:pStyle w:val="Defpara"/>
      </w:pPr>
      <w:r>
        <w:tab/>
        <w:t>(a)</w:t>
      </w:r>
      <w:r>
        <w:tab/>
        <w:t>an individual or a group of individuals or a body that renders or provides any health service;</w:t>
      </w:r>
    </w:p>
    <w:p>
      <w:pPr>
        <w:pStyle w:val="Defpara"/>
        <w:keepNext/>
      </w:pPr>
      <w:r>
        <w:tab/>
        <w:t>(b)</w:t>
      </w:r>
      <w:r>
        <w:tab/>
        <w:t>a person who manages or is the chief executive of —</w:t>
      </w:r>
    </w:p>
    <w:p>
      <w:pPr>
        <w:pStyle w:val="Defsubpara"/>
      </w:pPr>
      <w:r>
        <w:tab/>
        <w:t>(i)</w:t>
      </w:r>
      <w:r>
        <w:tab/>
        <w:t>a body by which or an institution in which any health service is rendered or provided; or</w:t>
      </w:r>
    </w:p>
    <w:p>
      <w:pPr>
        <w:pStyle w:val="Defsubpara"/>
      </w:pPr>
      <w:r>
        <w:tab/>
        <w:t>(ii)</w:t>
      </w:r>
      <w: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as defined in the </w:t>
      </w:r>
      <w:r>
        <w:rPr>
          <w:i/>
        </w:rPr>
        <w:t>Health Services Act 2016</w:t>
      </w:r>
      <w:r>
        <w:t xml:space="preserve"> section 6;</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 xml:space="preserve">The fact that the definition of </w:t>
      </w:r>
      <w:r>
        <w:rPr>
          <w:b/>
          <w:bCs/>
          <w:i/>
          <w:iCs/>
          <w:snapToGrid w:val="0"/>
        </w:rPr>
        <w:t>provider</w:t>
      </w:r>
      <w:r>
        <w:rPr>
          <w:snapToGrid w:val="0"/>
        </w:rPr>
        <w:t xml:space="preserve"> in subsection (1)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 No. 33 of 2010 s. 7; No. 11 of 2016 s. 292.]</w:t>
      </w:r>
    </w:p>
    <w:p>
      <w:pPr>
        <w:pStyle w:val="Heading5"/>
        <w:rPr>
          <w:snapToGrid w:val="0"/>
        </w:rPr>
      </w:pPr>
      <w:bookmarkStart w:id="14" w:name="_Toc455412928"/>
      <w:r>
        <w:rPr>
          <w:rStyle w:val="CharSectno"/>
        </w:rPr>
        <w:t>4</w:t>
      </w:r>
      <w:r>
        <w:rPr>
          <w:snapToGrid w:val="0"/>
        </w:rPr>
        <w:t>.</w:t>
      </w:r>
      <w:r>
        <w:rPr>
          <w:snapToGrid w:val="0"/>
        </w:rPr>
        <w:tab/>
        <w:t>Guiding principles for the provision of health services</w:t>
      </w:r>
      <w:bookmarkEnd w:id="14"/>
    </w:p>
    <w:p>
      <w:pPr>
        <w:pStyle w:val="Subsection"/>
        <w:keepNext/>
        <w:rPr>
          <w:snapToGrid w:val="0"/>
        </w:rPr>
      </w:pPr>
      <w:r>
        <w:rPr>
          <w:snapToGrid w:val="0"/>
        </w:rPr>
        <w:tab/>
        <w:t>(1)</w:t>
      </w:r>
      <w:r>
        <w:rPr>
          <w:snapToGrid w:val="0"/>
        </w:rPr>
        <w:tab/>
        <w:t>For the guidance of providers it is declared that health services should be provided so as to promote —</w:t>
      </w:r>
    </w:p>
    <w:p>
      <w:pPr>
        <w:pStyle w:val="Indenta"/>
        <w:rPr>
          <w:snapToGrid w:val="0"/>
        </w:rPr>
      </w:pPr>
      <w:r>
        <w:rPr>
          <w:snapToGrid w:val="0"/>
        </w:rPr>
        <w:tab/>
        <w:t>(a)</w:t>
      </w:r>
      <w:r>
        <w:rPr>
          <w:snapToGrid w:val="0"/>
        </w:rPr>
        <w:tab/>
        <w:t>quality health care, given as promptly as circumstances permit; and</w:t>
      </w:r>
    </w:p>
    <w:p>
      <w:pPr>
        <w:pStyle w:val="Indenta"/>
        <w:rPr>
          <w:snapToGrid w:val="0"/>
        </w:rPr>
      </w:pPr>
      <w:r>
        <w:rPr>
          <w:snapToGrid w:val="0"/>
        </w:rPr>
        <w:tab/>
        <w:t>(b)</w:t>
      </w:r>
      <w:r>
        <w:rPr>
          <w:snapToGrid w:val="0"/>
        </w:rPr>
        <w:tab/>
        <w:t>respect for the privacy and dignity of persons receiving health care; and</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 and</w:t>
      </w:r>
    </w:p>
    <w:p>
      <w:pPr>
        <w:pStyle w:val="Indenta"/>
        <w:rPr>
          <w:snapToGrid w:val="0"/>
        </w:rPr>
      </w:pPr>
      <w:r>
        <w:rPr>
          <w:snapToGrid w:val="0"/>
        </w:rPr>
        <w:tab/>
        <w:t>(d)</w:t>
      </w:r>
      <w:r>
        <w:rPr>
          <w:snapToGrid w:val="0"/>
        </w:rPr>
        <w:tab/>
        <w:t>participation in decision</w:t>
      </w:r>
      <w:r>
        <w:rPr>
          <w:snapToGrid w:val="0"/>
        </w:rPr>
        <w:noBreakHyphen/>
        <w:t>making affecting individual health care; and</w:t>
      </w:r>
    </w:p>
    <w:p>
      <w:pPr>
        <w:pStyle w:val="Indenta"/>
        <w:rPr>
          <w:snapToGrid w:val="0"/>
        </w:rPr>
      </w:pPr>
      <w:r>
        <w:rPr>
          <w:snapToGrid w:val="0"/>
        </w:rPr>
        <w:tab/>
        <w:t>(e)</w:t>
      </w:r>
      <w:r>
        <w:rPr>
          <w:snapToGrid w:val="0"/>
        </w:rPr>
        <w:tab/>
        <w:t>informed choice in the acceptance or refusal of treatment or participation in education or research programmes; and</w:t>
      </w:r>
    </w:p>
    <w:p>
      <w:pPr>
        <w:pStyle w:val="Indenta"/>
        <w:rPr>
          <w:snapToGrid w:val="0"/>
        </w:rPr>
      </w:pPr>
      <w:r>
        <w:rPr>
          <w:snapToGrid w:val="0"/>
        </w:rPr>
        <w:tab/>
        <w:t>(f)</w:t>
      </w:r>
      <w:r>
        <w:rPr>
          <w:snapToGrid w:val="0"/>
        </w:rPr>
        <w:tab/>
        <w:t>reasonable access to information in records relating to personal use of the health care system, except information that is expressly prohibited by law from being disclosed or information contained in personal notes by a person giving health care; and</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15" w:name="_Toc455412929"/>
      <w:r>
        <w:rPr>
          <w:rStyle w:val="CharSectno"/>
        </w:rPr>
        <w:t>5</w:t>
      </w:r>
      <w:r>
        <w:rPr>
          <w:snapToGrid w:val="0"/>
        </w:rPr>
        <w:t>.</w:t>
      </w:r>
      <w:r>
        <w:rPr>
          <w:snapToGrid w:val="0"/>
        </w:rPr>
        <w:tab/>
        <w:t>Crown bound</w:t>
      </w:r>
      <w:bookmarkEnd w:id="15"/>
    </w:p>
    <w:p>
      <w:pPr>
        <w:pStyle w:val="Subsection"/>
        <w:rPr>
          <w:snapToGrid w:val="0"/>
        </w:rPr>
      </w:pPr>
      <w:r>
        <w:rPr>
          <w:snapToGrid w:val="0"/>
        </w:rPr>
        <w:tab/>
      </w:r>
      <w:r>
        <w:rPr>
          <w:snapToGrid w:val="0"/>
        </w:rPr>
        <w:tab/>
        <w:t>This Act binds the Crown.</w:t>
      </w:r>
    </w:p>
    <w:p>
      <w:pPr>
        <w:pStyle w:val="Heading2"/>
      </w:pPr>
      <w:bookmarkStart w:id="16" w:name="_Toc419461278"/>
      <w:bookmarkStart w:id="17" w:name="_Toc435776414"/>
      <w:bookmarkStart w:id="18" w:name="_Toc435776519"/>
      <w:bookmarkStart w:id="19" w:name="_Toc435776784"/>
      <w:bookmarkStart w:id="20" w:name="_Toc436059351"/>
      <w:bookmarkStart w:id="21" w:name="_Toc452545278"/>
      <w:bookmarkStart w:id="22" w:name="_Toc455412930"/>
      <w:r>
        <w:rPr>
          <w:rStyle w:val="CharPartNo"/>
        </w:rPr>
        <w:t>Part 2</w:t>
      </w:r>
      <w:r>
        <w:rPr>
          <w:rStyle w:val="CharDivNo"/>
        </w:rPr>
        <w:t> </w:t>
      </w:r>
      <w:r>
        <w:t>—</w:t>
      </w:r>
      <w:r>
        <w:rPr>
          <w:rStyle w:val="CharDivText"/>
        </w:rPr>
        <w:t> </w:t>
      </w:r>
      <w:r>
        <w:rPr>
          <w:rStyle w:val="CharPartText"/>
        </w:rPr>
        <w:t>Administrative arrangements</w:t>
      </w:r>
      <w:bookmarkEnd w:id="16"/>
      <w:bookmarkEnd w:id="17"/>
      <w:bookmarkEnd w:id="18"/>
      <w:bookmarkEnd w:id="19"/>
      <w:bookmarkEnd w:id="20"/>
      <w:bookmarkEnd w:id="21"/>
      <w:bookmarkEnd w:id="22"/>
    </w:p>
    <w:p>
      <w:pPr>
        <w:pStyle w:val="Heading5"/>
        <w:rPr>
          <w:snapToGrid w:val="0"/>
        </w:rPr>
      </w:pPr>
      <w:bookmarkStart w:id="23" w:name="_Toc455412931"/>
      <w:r>
        <w:rPr>
          <w:rStyle w:val="CharSectno"/>
        </w:rPr>
        <w:t>6</w:t>
      </w:r>
      <w:r>
        <w:rPr>
          <w:snapToGrid w:val="0"/>
        </w:rPr>
        <w:t>.</w:t>
      </w:r>
      <w:r>
        <w:rPr>
          <w:snapToGrid w:val="0"/>
        </w:rPr>
        <w:tab/>
        <w:t>Health and Disability Services Complaints Office</w:t>
      </w:r>
      <w:bookmarkEnd w:id="23"/>
    </w:p>
    <w:p>
      <w:pPr>
        <w:pStyle w:val="Subsection"/>
      </w:pPr>
      <w:r>
        <w:tab/>
        <w:t>(1)</w:t>
      </w:r>
      <w:r>
        <w:tab/>
        <w:t>The body called the “Office of Health Review”, established previously under this Act, continues under the name “Health and Disability Services Complaints Office”.</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Footnotesection"/>
      </w:pPr>
      <w:r>
        <w:tab/>
        <w:t>[Section 6 amended by No. 33 of 2010 s. 8.]</w:t>
      </w:r>
    </w:p>
    <w:p>
      <w:pPr>
        <w:pStyle w:val="Heading5"/>
        <w:rPr>
          <w:snapToGrid w:val="0"/>
        </w:rPr>
      </w:pPr>
      <w:bookmarkStart w:id="24" w:name="_Toc455412932"/>
      <w:r>
        <w:rPr>
          <w:rStyle w:val="CharSectno"/>
        </w:rPr>
        <w:t>7</w:t>
      </w:r>
      <w:r>
        <w:rPr>
          <w:snapToGrid w:val="0"/>
        </w:rPr>
        <w:t>.</w:t>
      </w:r>
      <w:r>
        <w:rPr>
          <w:snapToGrid w:val="0"/>
        </w:rPr>
        <w:tab/>
        <w:t>Director of Office</w:t>
      </w:r>
      <w:bookmarkEnd w:id="24"/>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25" w:name="_Toc455412933"/>
      <w:r>
        <w:rPr>
          <w:rStyle w:val="CharSectno"/>
        </w:rPr>
        <w:t>8</w:t>
      </w:r>
      <w:r>
        <w:rPr>
          <w:snapToGrid w:val="0"/>
        </w:rPr>
        <w:t>.</w:t>
      </w:r>
      <w:r>
        <w:rPr>
          <w:snapToGrid w:val="0"/>
        </w:rPr>
        <w:tab/>
        <w:t>Tenure, salary etc. of Director</w:t>
      </w:r>
      <w:bookmarkEnd w:id="25"/>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26" w:name="_Toc455412934"/>
      <w:r>
        <w:rPr>
          <w:rStyle w:val="CharSectno"/>
        </w:rPr>
        <w:t>9</w:t>
      </w:r>
      <w:r>
        <w:rPr>
          <w:snapToGrid w:val="0"/>
        </w:rPr>
        <w:t>.</w:t>
      </w:r>
      <w:r>
        <w:rPr>
          <w:snapToGrid w:val="0"/>
        </w:rPr>
        <w:tab/>
        <w:t>Judicial notice of Director’s appointment and signature</w:t>
      </w:r>
      <w:bookmarkEnd w:id="26"/>
    </w:p>
    <w:p>
      <w:pPr>
        <w:pStyle w:val="Subsection"/>
        <w:keepNext/>
        <w:rPr>
          <w:snapToGrid w:val="0"/>
        </w:rPr>
      </w:pPr>
      <w:r>
        <w:rPr>
          <w:snapToGrid w:val="0"/>
        </w:rPr>
        <w:tab/>
      </w:r>
      <w:r>
        <w:rPr>
          <w:snapToGrid w:val="0"/>
        </w:rPr>
        <w:tab/>
        <w:t>All courts and persons acting judicially are to take judicial notice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27" w:name="_Toc455412935"/>
      <w:r>
        <w:rPr>
          <w:rStyle w:val="CharSectno"/>
        </w:rPr>
        <w:t>10</w:t>
      </w:r>
      <w:r>
        <w:rPr>
          <w:snapToGrid w:val="0"/>
        </w:rPr>
        <w:t>.</w:t>
      </w:r>
      <w:r>
        <w:rPr>
          <w:snapToGrid w:val="0"/>
        </w:rPr>
        <w:tab/>
        <w:t>Director’s functions</w:t>
      </w:r>
      <w:bookmarkEnd w:id="27"/>
    </w:p>
    <w:p>
      <w:pPr>
        <w:pStyle w:val="Subsection"/>
        <w:keepNext/>
        <w:rPr>
          <w:snapToGrid w:val="0"/>
        </w:rPr>
      </w:pPr>
      <w:r>
        <w:rPr>
          <w:snapToGrid w:val="0"/>
        </w:rPr>
        <w:tab/>
        <w:t>(1)</w:t>
      </w:r>
      <w:r>
        <w:rPr>
          <w:snapToGrid w:val="0"/>
        </w:rPr>
        <w:tab/>
        <w:t xml:space="preserve">The functions of the </w:t>
      </w:r>
      <w:r>
        <w:t>Director are as follows —</w:t>
      </w:r>
    </w:p>
    <w:p>
      <w:pPr>
        <w:pStyle w:val="Indenta"/>
      </w:pPr>
      <w:r>
        <w:tab/>
        <w:t>(a)</w:t>
      </w:r>
      <w:r>
        <w:tab/>
        <w:t>to deal with complaints in accordance with Part 3;</w:t>
      </w:r>
    </w:p>
    <w:p>
      <w:pPr>
        <w:pStyle w:val="Indenta"/>
        <w:rPr>
          <w:snapToGrid w:val="0"/>
        </w:rPr>
      </w:pPr>
      <w:r>
        <w:rPr>
          <w:snapToGrid w:val="0"/>
        </w:rPr>
        <w:tab/>
        <w:t>(b)</w:t>
      </w:r>
      <w:r>
        <w:rPr>
          <w:snapToGrid w:val="0"/>
        </w:rPr>
        <w:tab/>
      </w:r>
      <w:r>
        <w:t xml:space="preserve">in collaboration with groups of providers or groups of users or both, </w:t>
      </w:r>
      <w:r>
        <w:rPr>
          <w:snapToGrid w:val="0"/>
        </w:rPr>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w:t>
      </w:r>
      <w:r>
        <w:t xml:space="preserve"> time;</w:t>
      </w:r>
    </w:p>
    <w:p>
      <w:pPr>
        <w:pStyle w:val="Indenta"/>
        <w:keepNext/>
        <w:rPr>
          <w:snapToGrid w:val="0"/>
        </w:rPr>
      </w:pPr>
      <w:r>
        <w:rPr>
          <w:snapToGrid w:val="0"/>
        </w:rPr>
        <w:tab/>
        <w:t>(g)</w:t>
      </w:r>
      <w:r>
        <w:rPr>
          <w:snapToGrid w:val="0"/>
        </w:rPr>
        <w:tab/>
        <w:t>to provide advice generally on any matter relating to complaints under this Act, and in particular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w:t>
      </w:r>
      <w:r>
        <w:t xml:space="preserve"> complaints; and</w:t>
      </w:r>
    </w:p>
    <w:p>
      <w:pPr>
        <w:pStyle w:val="Indenti"/>
      </w:pPr>
      <w:r>
        <w:tab/>
        <w:t>(iii)</w:t>
      </w:r>
      <w:r>
        <w:tab/>
        <w:t>advice about removing or minimising the causes of complaints;</w:t>
      </w:r>
    </w:p>
    <w:p>
      <w:pPr>
        <w:pStyle w:val="Indenta"/>
      </w:pPr>
      <w:r>
        <w:tab/>
        <w:t>(h)</w:t>
      </w:r>
      <w:r>
        <w:tab/>
        <w:t>any other function conferred on the Director by this Act or another written law.</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 No. 33 of 2010 s. 9.]</w:t>
      </w:r>
    </w:p>
    <w:p>
      <w:pPr>
        <w:pStyle w:val="Heading5"/>
        <w:rPr>
          <w:snapToGrid w:val="0"/>
        </w:rPr>
      </w:pPr>
      <w:bookmarkStart w:id="28" w:name="_Toc455412936"/>
      <w:r>
        <w:rPr>
          <w:rStyle w:val="CharSectno"/>
        </w:rPr>
        <w:t>11</w:t>
      </w:r>
      <w:r>
        <w:rPr>
          <w:snapToGrid w:val="0"/>
        </w:rPr>
        <w:t>.</w:t>
      </w:r>
      <w:r>
        <w:rPr>
          <w:snapToGrid w:val="0"/>
        </w:rPr>
        <w:tab/>
        <w:t>Minister may give Director directions</w:t>
      </w:r>
      <w:bookmarkEnd w:id="28"/>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a particular complaint; or</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r>
        <w:tab/>
        <w:t>(4)</w:t>
      </w:r>
      <w:r>
        <w:tab/>
        <w:t>In subsection (1)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Sch. 1 cl. 82(1); No. 35 of 2010 s. 80.]</w:t>
      </w:r>
    </w:p>
    <w:p>
      <w:pPr>
        <w:pStyle w:val="Heading5"/>
        <w:rPr>
          <w:snapToGrid w:val="0"/>
        </w:rPr>
      </w:pPr>
      <w:bookmarkStart w:id="29" w:name="_Toc455412937"/>
      <w:r>
        <w:rPr>
          <w:rStyle w:val="CharSectno"/>
        </w:rPr>
        <w:t>12</w:t>
      </w:r>
      <w:r>
        <w:rPr>
          <w:snapToGrid w:val="0"/>
        </w:rPr>
        <w:t>.</w:t>
      </w:r>
      <w:r>
        <w:rPr>
          <w:snapToGrid w:val="0"/>
        </w:rPr>
        <w:tab/>
        <w:t>Minister to have access to information</w:t>
      </w:r>
      <w:bookmarkEnd w:id="29"/>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Director to furnish information to the Minister; and</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30" w:name="_Toc455412938"/>
      <w:r>
        <w:rPr>
          <w:rStyle w:val="CharSectno"/>
        </w:rPr>
        <w:t>13</w:t>
      </w:r>
      <w:r>
        <w:rPr>
          <w:snapToGrid w:val="0"/>
        </w:rPr>
        <w:t>.</w:t>
      </w:r>
      <w:r>
        <w:rPr>
          <w:snapToGrid w:val="0"/>
        </w:rPr>
        <w:tab/>
        <w:t>Financial provisions</w:t>
      </w:r>
      <w:bookmarkEnd w:id="30"/>
    </w:p>
    <w:p>
      <w:pPr>
        <w:pStyle w:val="Subsection"/>
      </w:pPr>
      <w:r>
        <w:tab/>
        <w:t>(1)</w:t>
      </w:r>
      <w:r>
        <w:tab/>
        <w:t>An agency special purpose account called the Health and Disability Services Complaints Office Account</w:t>
      </w:r>
      <w:r>
        <w:rPr>
          <w:bCs/>
        </w:rPr>
        <w:t xml:space="preserve"> is established under section 16 </w:t>
      </w:r>
      <w:r>
        <w:t xml:space="preserve">of the </w:t>
      </w:r>
      <w:r>
        <w:rPr>
          <w:i/>
          <w:iCs/>
        </w:rPr>
        <w:t>Financial Management Act 2006</w:t>
      </w:r>
      <w:r>
        <w:t xml:space="preserve"> to which —</w:t>
      </w:r>
    </w:p>
    <w:p>
      <w:pPr>
        <w:pStyle w:val="Indenta"/>
      </w:pPr>
      <w:r>
        <w:tab/>
        <w:t>(a)</w:t>
      </w:r>
      <w:r>
        <w:tab/>
        <w:t>all funds of the Office are to be credited; and</w:t>
      </w:r>
    </w:p>
    <w:p>
      <w:pPr>
        <w:pStyle w:val="Indenta"/>
      </w:pPr>
      <w:r>
        <w:tab/>
        <w:t>(b)</w:t>
      </w:r>
      <w:r>
        <w:tab/>
        <w:t>all expenditure incurred by the Office is to be charged.</w:t>
      </w:r>
    </w:p>
    <w:p>
      <w:pPr>
        <w:pStyle w:val="Subsection"/>
      </w:pPr>
      <w:r>
        <w:tab/>
        <w:t>(2)</w:t>
      </w:r>
      <w:r>
        <w:tab/>
        <w:t>The Health and Disability Services Complaints Office Account is a continuation of the account formerly called the Office of Health Review Account.</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Sch. 1 cl. 82(2) and (3); No. 33 of 2010 s. 10.]</w:t>
      </w:r>
    </w:p>
    <w:p>
      <w:pPr>
        <w:pStyle w:val="Heading5"/>
        <w:rPr>
          <w:snapToGrid w:val="0"/>
        </w:rPr>
      </w:pPr>
      <w:bookmarkStart w:id="31" w:name="_Toc455412939"/>
      <w:r>
        <w:rPr>
          <w:rStyle w:val="CharSectno"/>
        </w:rPr>
        <w:t>14</w:t>
      </w:r>
      <w:r>
        <w:rPr>
          <w:snapToGrid w:val="0"/>
        </w:rPr>
        <w:t>.</w:t>
      </w:r>
      <w:r>
        <w:rPr>
          <w:snapToGrid w:val="0"/>
        </w:rPr>
        <w:tab/>
        <w:t>Staff</w:t>
      </w:r>
      <w:bookmarkEnd w:id="31"/>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32" w:name="_Toc455412940"/>
      <w:r>
        <w:rPr>
          <w:rStyle w:val="CharSectno"/>
        </w:rPr>
        <w:t>15</w:t>
      </w:r>
      <w:r>
        <w:rPr>
          <w:snapToGrid w:val="0"/>
        </w:rPr>
        <w:t>.</w:t>
      </w:r>
      <w:r>
        <w:rPr>
          <w:snapToGrid w:val="0"/>
        </w:rPr>
        <w:tab/>
        <w:t>Consultants</w:t>
      </w:r>
      <w:bookmarkEnd w:id="32"/>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33" w:name="_Toc455412941"/>
      <w:r>
        <w:rPr>
          <w:rStyle w:val="CharSectno"/>
        </w:rPr>
        <w:t>16</w:t>
      </w:r>
      <w:r>
        <w:rPr>
          <w:snapToGrid w:val="0"/>
        </w:rPr>
        <w:t>.</w:t>
      </w:r>
      <w:r>
        <w:rPr>
          <w:snapToGrid w:val="0"/>
        </w:rPr>
        <w:tab/>
        <w:t>Use of other government staff etc.</w:t>
      </w:r>
      <w:bookmarkEnd w:id="33"/>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34" w:name="_Toc455412942"/>
      <w:r>
        <w:rPr>
          <w:rStyle w:val="CharSectno"/>
        </w:rPr>
        <w:t>17</w:t>
      </w:r>
      <w:r>
        <w:rPr>
          <w:snapToGrid w:val="0"/>
        </w:rPr>
        <w:t>.</w:t>
      </w:r>
      <w:r>
        <w:rPr>
          <w:snapToGrid w:val="0"/>
        </w:rPr>
        <w:tab/>
        <w:t>Oath of office by Director and staff</w:t>
      </w:r>
      <w:bookmarkEnd w:id="34"/>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35" w:name="_Toc455412943"/>
      <w:r>
        <w:rPr>
          <w:rStyle w:val="CharSectno"/>
        </w:rPr>
        <w:t>18</w:t>
      </w:r>
      <w:r>
        <w:rPr>
          <w:snapToGrid w:val="0"/>
        </w:rPr>
        <w:t>.</w:t>
      </w:r>
      <w:r>
        <w:rPr>
          <w:snapToGrid w:val="0"/>
        </w:rPr>
        <w:tab/>
        <w:t>Delegation by Director</w:t>
      </w:r>
      <w:bookmarkEnd w:id="35"/>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36" w:name="_Toc419461292"/>
      <w:bookmarkStart w:id="37" w:name="_Toc435776428"/>
      <w:bookmarkStart w:id="38" w:name="_Toc435776533"/>
      <w:bookmarkStart w:id="39" w:name="_Toc435776798"/>
      <w:bookmarkStart w:id="40" w:name="_Toc436059365"/>
      <w:bookmarkStart w:id="41" w:name="_Toc452545292"/>
      <w:bookmarkStart w:id="42" w:name="_Toc455412944"/>
      <w:r>
        <w:rPr>
          <w:rStyle w:val="CharPartNo"/>
        </w:rPr>
        <w:t>Part 3</w:t>
      </w:r>
      <w:r>
        <w:t> — </w:t>
      </w:r>
      <w:r>
        <w:rPr>
          <w:rStyle w:val="CharPartText"/>
        </w:rPr>
        <w:t>Complaints</w:t>
      </w:r>
      <w:bookmarkEnd w:id="36"/>
      <w:bookmarkEnd w:id="37"/>
      <w:bookmarkEnd w:id="38"/>
      <w:bookmarkEnd w:id="39"/>
      <w:bookmarkEnd w:id="40"/>
      <w:bookmarkEnd w:id="41"/>
      <w:bookmarkEnd w:id="42"/>
    </w:p>
    <w:p>
      <w:pPr>
        <w:pStyle w:val="Heading3"/>
      </w:pPr>
      <w:bookmarkStart w:id="43" w:name="_Toc419461293"/>
      <w:bookmarkStart w:id="44" w:name="_Toc435776429"/>
      <w:bookmarkStart w:id="45" w:name="_Toc435776534"/>
      <w:bookmarkStart w:id="46" w:name="_Toc435776799"/>
      <w:bookmarkStart w:id="47" w:name="_Toc436059366"/>
      <w:bookmarkStart w:id="48" w:name="_Toc452545293"/>
      <w:bookmarkStart w:id="49" w:name="_Toc455412945"/>
      <w:r>
        <w:rPr>
          <w:rStyle w:val="CharDivNo"/>
        </w:rPr>
        <w:t>Division 1</w:t>
      </w:r>
      <w:r>
        <w:rPr>
          <w:snapToGrid w:val="0"/>
        </w:rPr>
        <w:t> — </w:t>
      </w:r>
      <w:r>
        <w:rPr>
          <w:rStyle w:val="CharDivText"/>
        </w:rPr>
        <w:t>Right to complain conferred</w:t>
      </w:r>
      <w:bookmarkEnd w:id="43"/>
      <w:bookmarkEnd w:id="44"/>
      <w:bookmarkEnd w:id="45"/>
      <w:bookmarkEnd w:id="46"/>
      <w:bookmarkEnd w:id="47"/>
      <w:bookmarkEnd w:id="48"/>
      <w:bookmarkEnd w:id="49"/>
    </w:p>
    <w:p>
      <w:pPr>
        <w:pStyle w:val="Heading5"/>
        <w:rPr>
          <w:snapToGrid w:val="0"/>
        </w:rPr>
      </w:pPr>
      <w:bookmarkStart w:id="50" w:name="_Toc455412946"/>
      <w:r>
        <w:rPr>
          <w:rStyle w:val="CharSectno"/>
        </w:rPr>
        <w:t>19</w:t>
      </w:r>
      <w:r>
        <w:rPr>
          <w:snapToGrid w:val="0"/>
        </w:rPr>
        <w:t>.</w:t>
      </w:r>
      <w:r>
        <w:rPr>
          <w:snapToGrid w:val="0"/>
        </w:rPr>
        <w:tab/>
        <w:t>Who may complain</w:t>
      </w:r>
      <w:bookmarkEnd w:id="50"/>
    </w:p>
    <w:p>
      <w:pPr>
        <w:pStyle w:val="Subsection"/>
        <w:keepNext/>
        <w:rPr>
          <w:snapToGrid w:val="0"/>
        </w:rPr>
      </w:pPr>
      <w:r>
        <w:rPr>
          <w:snapToGrid w:val="0"/>
        </w:rPr>
        <w:tab/>
        <w:t>(1)</w:t>
      </w:r>
      <w:r>
        <w:rPr>
          <w:snapToGrid w:val="0"/>
        </w:rPr>
        <w:tab/>
        <w:t>A complaint alleging one or more of the matters set out in section 25 may be made to the Director by —</w:t>
      </w:r>
    </w:p>
    <w:p>
      <w:pPr>
        <w:pStyle w:val="Indenta"/>
        <w:rPr>
          <w:snapToGrid w:val="0"/>
        </w:rPr>
      </w:pPr>
      <w:r>
        <w:rPr>
          <w:snapToGrid w:val="0"/>
        </w:rPr>
        <w:tab/>
        <w:t>(a)</w:t>
      </w:r>
      <w:r>
        <w:rPr>
          <w:snapToGrid w:val="0"/>
        </w:rPr>
        <w:tab/>
        <w:t>a user; or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51" w:name="_Toc455412947"/>
      <w:r>
        <w:rPr>
          <w:rStyle w:val="CharSectno"/>
        </w:rPr>
        <w:t>20</w:t>
      </w:r>
      <w:r>
        <w:rPr>
          <w:snapToGrid w:val="0"/>
        </w:rPr>
        <w:t>.</w:t>
      </w:r>
      <w:r>
        <w:rPr>
          <w:snapToGrid w:val="0"/>
        </w:rPr>
        <w:tab/>
        <w:t>Representatives of users</w:t>
      </w:r>
      <w:bookmarkEnd w:id="51"/>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 xml:space="preserve">The Director may recognize as a user’s representative a person who is not chosen by the user, and may allow that person to complain to the Director on the user’s behalf, </w:t>
      </w:r>
      <w:r>
        <w:t>if —</w:t>
      </w:r>
    </w:p>
    <w:p>
      <w:pPr>
        <w:pStyle w:val="Indenta"/>
      </w:pPr>
      <w:r>
        <w:tab/>
        <w:t>(a)</w:t>
      </w:r>
      <w:r>
        <w:tab/>
        <w:t>the user —</w:t>
      </w:r>
    </w:p>
    <w:p>
      <w:pPr>
        <w:pStyle w:val="Indenti"/>
      </w:pPr>
      <w:r>
        <w:tab/>
        <w:t>(i)</w:t>
      </w:r>
      <w:r>
        <w:tab/>
        <w:t>has died; or</w:t>
      </w:r>
    </w:p>
    <w:p>
      <w:pPr>
        <w:pStyle w:val="Indenti"/>
      </w:pPr>
      <w:r>
        <w:tab/>
        <w:t>(ii)</w:t>
      </w:r>
      <w:r>
        <w:tab/>
        <w:t>in the Director’s opinion, is unable to complain to the Director and unable to choose a person to complain on the user’s behalf;</w:t>
      </w:r>
    </w:p>
    <w:p>
      <w:pPr>
        <w:pStyle w:val="Indenta"/>
      </w:pPr>
      <w:r>
        <w:tab/>
      </w:r>
      <w:r>
        <w:tab/>
        <w:t>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w:t>
      </w:r>
    </w:p>
    <w:p>
      <w:pPr>
        <w:pStyle w:val="Indenta"/>
        <w:spacing w:before="60"/>
        <w:rPr>
          <w:snapToGrid w:val="0"/>
        </w:rPr>
      </w:pPr>
      <w:r>
        <w:rPr>
          <w:snapToGrid w:val="0"/>
        </w:rPr>
        <w:tab/>
        <w:t>(a)</w:t>
      </w:r>
      <w:r>
        <w:rPr>
          <w:snapToGrid w:val="0"/>
        </w:rPr>
        <w:tab/>
        <w:t>is acting without remuneration; and</w:t>
      </w:r>
    </w:p>
    <w:p>
      <w:pPr>
        <w:pStyle w:val="Indenta"/>
        <w:spacing w:before="60"/>
        <w:rPr>
          <w:snapToGrid w:val="0"/>
        </w:rPr>
      </w:pPr>
      <w:r>
        <w:rPr>
          <w:snapToGrid w:val="0"/>
        </w:rPr>
        <w:tab/>
        <w:t>(b)</w:t>
      </w:r>
      <w:r>
        <w:rPr>
          <w:snapToGrid w:val="0"/>
        </w:rPr>
        <w:tab/>
        <w:t>except in the case of a relative of the user, has no financial interest in the outcome of the complaint.</w:t>
      </w:r>
    </w:p>
    <w:p>
      <w:pPr>
        <w:pStyle w:val="Subsection"/>
        <w:spacing w:before="140"/>
      </w:pPr>
      <w:r>
        <w:tab/>
        <w:t>(4)</w:t>
      </w:r>
      <w:r>
        <w:tab/>
        <w:t>In subsection (3) —</w:t>
      </w:r>
    </w:p>
    <w:p>
      <w:pPr>
        <w:pStyle w:val="Defstart"/>
        <w:spacing w:before="60"/>
      </w:pPr>
      <w:r>
        <w:tab/>
      </w:r>
      <w:r>
        <w:rPr>
          <w:rStyle w:val="CharDefText"/>
        </w:rPr>
        <w:t>relative</w:t>
      </w:r>
      <w:r>
        <w:t>, in relation to a user, includes a de facto partner of the user.</w:t>
      </w:r>
    </w:p>
    <w:p>
      <w:pPr>
        <w:pStyle w:val="Footnotesection"/>
        <w:spacing w:before="100"/>
        <w:ind w:left="890" w:hanging="890"/>
      </w:pPr>
      <w:r>
        <w:tab/>
        <w:t>[Section 20 amended by No. 28 of 2003 s. 79; No. 33 of 2010 s. 11.]</w:t>
      </w:r>
    </w:p>
    <w:p>
      <w:pPr>
        <w:pStyle w:val="Heading5"/>
        <w:rPr>
          <w:snapToGrid w:val="0"/>
        </w:rPr>
      </w:pPr>
      <w:bookmarkStart w:id="52" w:name="_Toc455412948"/>
      <w:r>
        <w:rPr>
          <w:rStyle w:val="CharSectno"/>
        </w:rPr>
        <w:t>21</w:t>
      </w:r>
      <w:r>
        <w:rPr>
          <w:snapToGrid w:val="0"/>
        </w:rPr>
        <w:t>.</w:t>
      </w:r>
      <w:r>
        <w:rPr>
          <w:snapToGrid w:val="0"/>
        </w:rPr>
        <w:tab/>
        <w:t>Representative not to be paid</w:t>
      </w:r>
      <w:bookmarkEnd w:id="52"/>
    </w:p>
    <w:p>
      <w:pPr>
        <w:pStyle w:val="Subsection"/>
        <w:keepNext/>
        <w:keepLines/>
        <w:spacing w:before="140"/>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spacing w:before="40"/>
        <w:ind w:left="1797" w:hanging="1797"/>
        <w:rPr>
          <w:snapToGrid w:val="0"/>
        </w:rPr>
      </w:pPr>
      <w:r>
        <w:rPr>
          <w:snapToGrid w:val="0"/>
        </w:rPr>
        <w:tab/>
      </w:r>
      <w:r>
        <w:rPr>
          <w:snapToGrid w:val="0"/>
        </w:rPr>
        <w:tab/>
        <w:t>$10 000 for any subsequent offence.</w:t>
      </w:r>
    </w:p>
    <w:p>
      <w:pPr>
        <w:pStyle w:val="Heading5"/>
        <w:rPr>
          <w:snapToGrid w:val="0"/>
        </w:rPr>
      </w:pPr>
      <w:bookmarkStart w:id="53" w:name="_Toc455412949"/>
      <w:r>
        <w:rPr>
          <w:rStyle w:val="CharSectno"/>
        </w:rPr>
        <w:t>22</w:t>
      </w:r>
      <w:r>
        <w:rPr>
          <w:snapToGrid w:val="0"/>
        </w:rPr>
        <w:t>.</w:t>
      </w:r>
      <w:r>
        <w:rPr>
          <w:snapToGrid w:val="0"/>
        </w:rPr>
        <w:tab/>
        <w:t>Provider may complain for user</w:t>
      </w:r>
      <w:bookmarkEnd w:id="53"/>
    </w:p>
    <w:p>
      <w:pPr>
        <w:pStyle w:val="Subsection"/>
        <w:spacing w:before="140"/>
        <w:rPr>
          <w:snapToGrid w:val="0"/>
        </w:rPr>
      </w:pPr>
      <w:r>
        <w:rPr>
          <w:snapToGrid w:val="0"/>
        </w:rPr>
        <w:tab/>
      </w:r>
      <w:r>
        <w:rPr>
          <w:snapToGrid w:val="0"/>
        </w:rPr>
        <w:tab/>
        <w:t xml:space="preserve">A provider may complain to the Director on behalf of a user about a health service provided for the user by another provider if the provider satisfies the </w:t>
      </w:r>
      <w:r>
        <w:t xml:space="preserve">Director that the user has died or, </w:t>
      </w:r>
      <w:r>
        <w:rPr>
          <w:snapToGrid w:val="0"/>
        </w:rPr>
        <w:t>because of the user’s state of health or general situation, it would be difficult or impossible for the user to make a complaint.</w:t>
      </w:r>
    </w:p>
    <w:p>
      <w:pPr>
        <w:pStyle w:val="Footnotesection"/>
        <w:spacing w:before="100"/>
        <w:ind w:left="890" w:hanging="890"/>
      </w:pPr>
      <w:r>
        <w:tab/>
        <w:t>[Section 22 amended by No. 33 of 2010 s. 12.]</w:t>
      </w:r>
    </w:p>
    <w:p>
      <w:pPr>
        <w:pStyle w:val="Heading5"/>
        <w:spacing w:before="200"/>
        <w:rPr>
          <w:snapToGrid w:val="0"/>
        </w:rPr>
      </w:pPr>
      <w:bookmarkStart w:id="54" w:name="_Toc455412950"/>
      <w:r>
        <w:rPr>
          <w:rStyle w:val="CharSectno"/>
        </w:rPr>
        <w:t>23</w:t>
      </w:r>
      <w:r>
        <w:rPr>
          <w:snapToGrid w:val="0"/>
        </w:rPr>
        <w:t>.</w:t>
      </w:r>
      <w:r>
        <w:rPr>
          <w:snapToGrid w:val="0"/>
        </w:rPr>
        <w:tab/>
        <w:t>Complaints to public providers, referral under administrative instructions</w:t>
      </w:r>
      <w:bookmarkEnd w:id="54"/>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 complaint has been made to a public provider alleging one or more matters set out in section 25; and</w:t>
      </w:r>
    </w:p>
    <w:p>
      <w:pPr>
        <w:pStyle w:val="Indenta"/>
        <w:spacing w:before="60"/>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w:t>
      </w:r>
    </w:p>
    <w:p>
      <w:pPr>
        <w:pStyle w:val="Heading5"/>
        <w:rPr>
          <w:snapToGrid w:val="0"/>
        </w:rPr>
      </w:pPr>
      <w:bookmarkStart w:id="55" w:name="_Toc455412951"/>
      <w:r>
        <w:rPr>
          <w:rStyle w:val="CharSectno"/>
        </w:rPr>
        <w:t>24</w:t>
      </w:r>
      <w:r>
        <w:rPr>
          <w:snapToGrid w:val="0"/>
        </w:rPr>
        <w:t>.</w:t>
      </w:r>
      <w:r>
        <w:rPr>
          <w:snapToGrid w:val="0"/>
        </w:rPr>
        <w:tab/>
        <w:t>Time limit for complaints</w:t>
      </w:r>
      <w:bookmarkEnd w:id="55"/>
    </w:p>
    <w:p>
      <w:pPr>
        <w:pStyle w:val="Subsection"/>
        <w:rPr>
          <w:snapToGrid w:val="0"/>
        </w:rPr>
      </w:pPr>
      <w:r>
        <w:rPr>
          <w:snapToGrid w:val="0"/>
        </w:rPr>
        <w:tab/>
      </w:r>
      <w:r>
        <w:rPr>
          <w:snapToGrid w:val="0"/>
        </w:rPr>
        <w:tab/>
        <w:t xml:space="preserve">The Director must reject a complaint about an incident which occurred more than </w:t>
      </w:r>
      <w:r>
        <w:t>24 months</w:t>
      </w:r>
      <w:r>
        <w:rPr>
          <w:snapToGrid w:val="0"/>
        </w:rPr>
        <w:t xml:space="preserve"> before the complaint is made unless in the Director’s opinion the person who made the complaint has shown good reason for the delay.</w:t>
      </w:r>
    </w:p>
    <w:p>
      <w:pPr>
        <w:pStyle w:val="Footnotesection"/>
      </w:pPr>
      <w:r>
        <w:tab/>
        <w:t>[Section 24 amended by No. 33 of 2010 s. 13.]</w:t>
      </w:r>
    </w:p>
    <w:p>
      <w:pPr>
        <w:pStyle w:val="Heading5"/>
        <w:rPr>
          <w:snapToGrid w:val="0"/>
        </w:rPr>
      </w:pPr>
      <w:bookmarkStart w:id="56" w:name="_Toc455412952"/>
      <w:r>
        <w:rPr>
          <w:rStyle w:val="CharSectno"/>
        </w:rPr>
        <w:t>25</w:t>
      </w:r>
      <w:r>
        <w:rPr>
          <w:snapToGrid w:val="0"/>
        </w:rPr>
        <w:t>.</w:t>
      </w:r>
      <w:r>
        <w:rPr>
          <w:snapToGrid w:val="0"/>
        </w:rPr>
        <w:tab/>
        <w:t>What complaints can be about</w:t>
      </w:r>
      <w:bookmarkEnd w:id="56"/>
    </w:p>
    <w:p>
      <w:pPr>
        <w:pStyle w:val="Subsection"/>
        <w:keepNext/>
        <w:rPr>
          <w:snapToGrid w:val="0"/>
        </w:rPr>
      </w:pPr>
      <w:r>
        <w:rPr>
          <w:snapToGrid w:val="0"/>
        </w:rPr>
        <w:tab/>
        <w:t>(1)</w:t>
      </w:r>
      <w:r>
        <w:rPr>
          <w:snapToGrid w:val="0"/>
        </w:rPr>
        <w:tab/>
        <w:t>A complaint must allege that one or more of the following has occurred —</w:t>
      </w:r>
    </w:p>
    <w:p>
      <w:pPr>
        <w:pStyle w:val="Indenta"/>
        <w:rPr>
          <w:snapToGrid w:val="0"/>
        </w:rPr>
      </w:pPr>
      <w:r>
        <w:rPr>
          <w:snapToGrid w:val="0"/>
        </w:rPr>
        <w:tab/>
        <w:t>(a)</w:t>
      </w:r>
      <w:r>
        <w:rPr>
          <w:snapToGrid w:val="0"/>
        </w:rPr>
        <w:tab/>
        <w:t>a provider has acted unreasonably by not providing a health service for the user;</w:t>
      </w:r>
    </w:p>
    <w:p>
      <w:pPr>
        <w:pStyle w:val="Indenta"/>
        <w:rPr>
          <w:snapToGrid w:val="0"/>
        </w:rPr>
      </w:pPr>
      <w:r>
        <w:rPr>
          <w:snapToGrid w:val="0"/>
        </w:rPr>
        <w:tab/>
        <w:t>(b)</w:t>
      </w:r>
      <w:r>
        <w:rPr>
          <w:snapToGrid w:val="0"/>
        </w:rPr>
        <w:tab/>
        <w:t>a provider has acted unreasonably in the manner of providing a health service for the</w:t>
      </w:r>
      <w:r>
        <w:t xml:space="preserve"> user, whether the service was requested by the user or a third party;</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w:t>
      </w:r>
    </w:p>
    <w:p>
      <w:pPr>
        <w:pStyle w:val="Defstart"/>
      </w:pPr>
      <w:r>
        <w:rPr>
          <w:b/>
        </w:rPr>
        <w:tab/>
      </w:r>
      <w:r>
        <w:rPr>
          <w:rStyle w:val="CharDefText"/>
        </w:rPr>
        <w:t>manager</w:t>
      </w:r>
      <w:r>
        <w:t xml:space="preserve"> means a person who comes within paragraph (b) of the definition of </w:t>
      </w:r>
      <w:r>
        <w:rPr>
          <w:b/>
          <w:bCs/>
          <w:i/>
          <w:iCs/>
        </w:rPr>
        <w:t>provider</w:t>
      </w:r>
      <w:r>
        <w:t xml:space="preserve"> in section 3(1) or the chief executive officer of the Health Department as mentioned in paragraph (c) of that definition.</w:t>
      </w:r>
    </w:p>
    <w:p>
      <w:pPr>
        <w:pStyle w:val="Footnotesection"/>
      </w:pPr>
      <w:r>
        <w:tab/>
        <w:t>[Section 25 amended by No. 37 of 2004 s. 33; No. 28 of 2006 s. 259; No. 33 of 2010 s. 14.]</w:t>
      </w:r>
    </w:p>
    <w:p>
      <w:pPr>
        <w:pStyle w:val="Heading5"/>
        <w:rPr>
          <w:snapToGrid w:val="0"/>
        </w:rPr>
      </w:pPr>
      <w:bookmarkStart w:id="57" w:name="_Toc455412953"/>
      <w:r>
        <w:rPr>
          <w:rStyle w:val="CharSectno"/>
        </w:rPr>
        <w:t>26</w:t>
      </w:r>
      <w:r>
        <w:rPr>
          <w:snapToGrid w:val="0"/>
        </w:rPr>
        <w:t>.</w:t>
      </w:r>
      <w:r>
        <w:rPr>
          <w:snapToGrid w:val="0"/>
        </w:rPr>
        <w:tab/>
        <w:t>Complaints that must be rejected</w:t>
      </w:r>
      <w:bookmarkEnd w:id="57"/>
    </w:p>
    <w:p>
      <w:pPr>
        <w:pStyle w:val="Subsection"/>
        <w:keepNext/>
        <w:rPr>
          <w:snapToGrid w:val="0"/>
        </w:rPr>
      </w:pPr>
      <w:r>
        <w:rPr>
          <w:snapToGrid w:val="0"/>
        </w:rPr>
        <w:tab/>
        <w:t>(1)</w:t>
      </w:r>
      <w:r>
        <w:rPr>
          <w:snapToGrid w:val="0"/>
        </w:rPr>
        <w:tab/>
        <w:t>The Director must reject a complaint that in the Director’s opinion —</w:t>
      </w:r>
    </w:p>
    <w:p>
      <w:pPr>
        <w:pStyle w:val="Indenta"/>
        <w:rPr>
          <w:snapToGrid w:val="0"/>
        </w:rPr>
      </w:pPr>
      <w:r>
        <w:rPr>
          <w:snapToGrid w:val="0"/>
        </w:rPr>
        <w:tab/>
        <w:t>(a)</w:t>
      </w:r>
      <w:r>
        <w:rPr>
          <w:snapToGrid w:val="0"/>
        </w:rPr>
        <w:tab/>
        <w:t>is vexatious, trivial or without substance; or</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pPr>
      <w:bookmarkStart w:id="58" w:name="_Toc419461302"/>
      <w:bookmarkStart w:id="59" w:name="_Toc435776438"/>
      <w:bookmarkStart w:id="60" w:name="_Toc435776543"/>
      <w:bookmarkStart w:id="61" w:name="_Toc435776808"/>
      <w:bookmarkStart w:id="62" w:name="_Toc436059375"/>
      <w:bookmarkStart w:id="63" w:name="_Toc452545302"/>
      <w:bookmarkStart w:id="64" w:name="_Toc455412954"/>
      <w:r>
        <w:rPr>
          <w:rStyle w:val="CharDivNo"/>
        </w:rPr>
        <w:t>Division 2</w:t>
      </w:r>
      <w:r>
        <w:rPr>
          <w:snapToGrid w:val="0"/>
        </w:rPr>
        <w:t> — </w:t>
      </w:r>
      <w:r>
        <w:rPr>
          <w:rStyle w:val="CharDivText"/>
        </w:rPr>
        <w:t>Initial procedures</w:t>
      </w:r>
      <w:bookmarkEnd w:id="58"/>
      <w:bookmarkEnd w:id="59"/>
      <w:bookmarkEnd w:id="60"/>
      <w:bookmarkEnd w:id="61"/>
      <w:bookmarkEnd w:id="62"/>
      <w:bookmarkEnd w:id="63"/>
      <w:bookmarkEnd w:id="64"/>
    </w:p>
    <w:p>
      <w:pPr>
        <w:pStyle w:val="Heading5"/>
        <w:rPr>
          <w:snapToGrid w:val="0"/>
        </w:rPr>
      </w:pPr>
      <w:bookmarkStart w:id="65" w:name="_Toc455412955"/>
      <w:r>
        <w:rPr>
          <w:rStyle w:val="CharSectno"/>
        </w:rPr>
        <w:t>27</w:t>
      </w:r>
      <w:r>
        <w:rPr>
          <w:snapToGrid w:val="0"/>
        </w:rPr>
        <w:t>.</w:t>
      </w:r>
      <w:r>
        <w:rPr>
          <w:snapToGrid w:val="0"/>
        </w:rPr>
        <w:tab/>
        <w:t>How to complain</w:t>
      </w:r>
      <w:bookmarkEnd w:id="65"/>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66" w:name="_Toc455412956"/>
      <w:r>
        <w:rPr>
          <w:rStyle w:val="CharSectno"/>
        </w:rPr>
        <w:t>28</w:t>
      </w:r>
      <w:r>
        <w:rPr>
          <w:snapToGrid w:val="0"/>
        </w:rPr>
        <w:t>.</w:t>
      </w:r>
      <w:r>
        <w:rPr>
          <w:snapToGrid w:val="0"/>
        </w:rPr>
        <w:tab/>
        <w:t>Referral of complaint where Act inapplicable</w:t>
      </w:r>
      <w:bookmarkEnd w:id="66"/>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67" w:name="_Toc455412957"/>
      <w:r>
        <w:rPr>
          <w:rStyle w:val="CharSectno"/>
        </w:rPr>
        <w:t>29</w:t>
      </w:r>
      <w:r>
        <w:rPr>
          <w:snapToGrid w:val="0"/>
        </w:rPr>
        <w:t>.</w:t>
      </w:r>
      <w:r>
        <w:rPr>
          <w:snapToGrid w:val="0"/>
        </w:rPr>
        <w:tab/>
        <w:t>Withdrawal of complaint</w:t>
      </w:r>
      <w:bookmarkEnd w:id="67"/>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68" w:name="_Toc455412958"/>
      <w:r>
        <w:rPr>
          <w:rStyle w:val="CharSectno"/>
        </w:rPr>
        <w:t>30</w:t>
      </w:r>
      <w:r>
        <w:rPr>
          <w:snapToGrid w:val="0"/>
        </w:rPr>
        <w:t>.</w:t>
      </w:r>
      <w:r>
        <w:rPr>
          <w:snapToGrid w:val="0"/>
        </w:rPr>
        <w:tab/>
        <w:t>User or carer must try to resolve matter</w:t>
      </w:r>
      <w:bookmarkEnd w:id="68"/>
    </w:p>
    <w:p>
      <w:pPr>
        <w:pStyle w:val="Subsection"/>
      </w:pPr>
      <w:r>
        <w:tab/>
      </w:r>
      <w:r>
        <w:tab/>
        <w:t>The Director may reject a complaint if the Director is not satisfied that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r>
        <w:tab/>
        <w:t>[Section 30 amended by No. 37 of 2004 s. 34; No. 33 of 2010 s. 15.]</w:t>
      </w:r>
    </w:p>
    <w:p>
      <w:pPr>
        <w:pStyle w:val="Heading5"/>
      </w:pPr>
      <w:bookmarkStart w:id="69" w:name="_Toc455412959"/>
      <w:r>
        <w:rPr>
          <w:rStyle w:val="CharSectno"/>
        </w:rPr>
        <w:t>31</w:t>
      </w:r>
      <w:r>
        <w:t>.</w:t>
      </w:r>
      <w:r>
        <w:tab/>
        <w:t xml:space="preserve">Complaints not dealt with by National Board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bookmarkEnd w:id="69"/>
    </w:p>
    <w:p>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Footnotesection"/>
      </w:pPr>
      <w:r>
        <w:tab/>
        <w:t>[Section 31 inserted by No. 35 of 2010 s. 81.]</w:t>
      </w:r>
    </w:p>
    <w:p>
      <w:pPr>
        <w:pStyle w:val="Heading5"/>
      </w:pPr>
      <w:bookmarkStart w:id="70" w:name="_Toc455412960"/>
      <w:r>
        <w:rPr>
          <w:rStyle w:val="CharSectno"/>
        </w:rPr>
        <w:t>32A</w:t>
      </w:r>
      <w:r>
        <w:t>.</w:t>
      </w:r>
      <w:r>
        <w:tab/>
        <w:t>Notice that complaint being dealt with by National Board</w:t>
      </w:r>
      <w:bookmarkEnd w:id="70"/>
    </w:p>
    <w:p>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Footnotesection"/>
      </w:pPr>
      <w:r>
        <w:tab/>
        <w:t>[Section 32A inserted by No. 35 of 2010 s. 81.]</w:t>
      </w:r>
    </w:p>
    <w:p>
      <w:pPr>
        <w:pStyle w:val="Heading5"/>
        <w:rPr>
          <w:snapToGrid w:val="0"/>
        </w:rPr>
      </w:pPr>
      <w:bookmarkStart w:id="71" w:name="_Toc455412961"/>
      <w:r>
        <w:rPr>
          <w:rStyle w:val="CharSectno"/>
        </w:rPr>
        <w:t>32</w:t>
      </w:r>
      <w:r>
        <w:rPr>
          <w:snapToGrid w:val="0"/>
        </w:rPr>
        <w:t>.</w:t>
      </w:r>
      <w:r>
        <w:rPr>
          <w:snapToGrid w:val="0"/>
        </w:rPr>
        <w:tab/>
        <w:t>Referral to other bodies</w:t>
      </w:r>
      <w:bookmarkEnd w:id="71"/>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72" w:name="_Toc455412962"/>
      <w:r>
        <w:rPr>
          <w:rStyle w:val="CharSectno"/>
        </w:rPr>
        <w:t>33</w:t>
      </w:r>
      <w:r>
        <w:rPr>
          <w:snapToGrid w:val="0"/>
        </w:rPr>
        <w:t>.</w:t>
      </w:r>
      <w:r>
        <w:rPr>
          <w:snapToGrid w:val="0"/>
        </w:rPr>
        <w:tab/>
        <w:t>Director’s duties if complaint referred under s. 32</w:t>
      </w:r>
      <w:bookmarkEnd w:id="72"/>
    </w:p>
    <w:p>
      <w:pPr>
        <w:pStyle w:val="Subsection"/>
        <w:keepNext/>
        <w:rPr>
          <w:snapToGrid w:val="0"/>
        </w:rPr>
      </w:pPr>
      <w:r>
        <w:rPr>
          <w:snapToGrid w:val="0"/>
        </w:rPr>
        <w:tab/>
      </w:r>
      <w:r>
        <w:rPr>
          <w:snapToGrid w:val="0"/>
        </w:rPr>
        <w:tab/>
        <w:t>If the Director has referred a complaint under section 32, the Director must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person or body concerning the complaint, on the day on which that communication is given.</w:t>
      </w:r>
    </w:p>
    <w:p>
      <w:pPr>
        <w:pStyle w:val="Footnotesection"/>
      </w:pPr>
      <w:r>
        <w:tab/>
        <w:t>[Section 33 amended by No. 35 of 2010 s. 82.]</w:t>
      </w:r>
    </w:p>
    <w:p>
      <w:pPr>
        <w:pStyle w:val="Heading5"/>
        <w:rPr>
          <w:snapToGrid w:val="0"/>
        </w:rPr>
      </w:pPr>
      <w:bookmarkStart w:id="73" w:name="_Toc455412963"/>
      <w:r>
        <w:rPr>
          <w:rStyle w:val="CharSectno"/>
        </w:rPr>
        <w:t>34</w:t>
      </w:r>
      <w:r>
        <w:rPr>
          <w:snapToGrid w:val="0"/>
        </w:rPr>
        <w:t>.</w:t>
      </w:r>
      <w:r>
        <w:rPr>
          <w:snapToGrid w:val="0"/>
        </w:rPr>
        <w:tab/>
        <w:t>Preliminary assessment by Director</w:t>
      </w:r>
      <w:bookmarkEnd w:id="73"/>
    </w:p>
    <w:p>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w:t>
      </w:r>
    </w:p>
    <w:p>
      <w:pPr>
        <w:pStyle w:val="Indenta"/>
      </w:pPr>
      <w:r>
        <w:tab/>
        <w:t>(a)</w:t>
      </w:r>
      <w:r>
        <w:tab/>
        <w:t>to accept it; or</w:t>
      </w:r>
    </w:p>
    <w:p>
      <w:pPr>
        <w:pStyle w:val="Indenta"/>
      </w:pPr>
      <w:r>
        <w:tab/>
        <w:t>(b)</w:t>
      </w:r>
      <w:r>
        <w:tab/>
        <w:t>to reject it under section 24, 26 or 30; or</w:t>
      </w:r>
    </w:p>
    <w:p>
      <w:pPr>
        <w:pStyle w:val="Indenta"/>
      </w:pPr>
      <w:r>
        <w:tab/>
        <w:t>(c)</w:t>
      </w:r>
      <w:r>
        <w:tab/>
        <w:t>to refer it under section 28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pPr>
      <w:r>
        <w:tab/>
        <w:t>(4)</w:t>
      </w:r>
      <w:r>
        <w:tab/>
        <w:t>If the Director decides to accept a complaint in whole or in part, the Director must then —</w:t>
      </w:r>
    </w:p>
    <w:p>
      <w:pPr>
        <w:pStyle w:val="Indenta"/>
      </w:pPr>
      <w:r>
        <w:tab/>
        <w:t>(a)</w:t>
      </w:r>
      <w:r>
        <w:tab/>
        <w:t>attempt to settle it in accordance with Division 3A; or</w:t>
      </w:r>
    </w:p>
    <w:p>
      <w:pPr>
        <w:pStyle w:val="Indenta"/>
      </w:pPr>
      <w:r>
        <w:tab/>
        <w:t>(b)</w:t>
      </w:r>
      <w:r>
        <w:tab/>
        <w:t>refer it for conciliation under Division 3 if the Director is of the opinion it is suitable to be dealt with under that Division; or</w:t>
      </w:r>
    </w:p>
    <w:p>
      <w:pPr>
        <w:pStyle w:val="Indenta"/>
      </w:pPr>
      <w:r>
        <w:tab/>
        <w:t>(c)</w:t>
      </w:r>
      <w:r>
        <w:tab/>
        <w:t>investigate it if the Director is of the opinion that —</w:t>
      </w:r>
    </w:p>
    <w:p>
      <w:pPr>
        <w:pStyle w:val="Indenti"/>
      </w:pPr>
      <w:r>
        <w:tab/>
        <w:t>(i)</w:t>
      </w:r>
      <w:r>
        <w:tab/>
        <w:t>it is not suitable to be dealt with under either Division 3A or 3; and</w:t>
      </w:r>
    </w:p>
    <w:p>
      <w:pPr>
        <w:pStyle w:val="Indenti"/>
      </w:pPr>
      <w:r>
        <w:tab/>
        <w:t>(ii)</w:t>
      </w:r>
      <w:r>
        <w:tab/>
        <w:t>an investigation is warranted, taking into account the likely costs and benefits of the investigation.</w:t>
      </w:r>
    </w:p>
    <w:p>
      <w:pPr>
        <w:pStyle w:val="Ednotesubsection"/>
      </w:pPr>
      <w:r>
        <w:tab/>
        <w:t>[(5)</w:t>
      </w:r>
      <w:r>
        <w:tab/>
        <w:t>deleted]</w:t>
      </w:r>
    </w:p>
    <w:p>
      <w:pPr>
        <w:pStyle w:val="Subsection"/>
      </w:pPr>
      <w:r>
        <w:tab/>
        <w:t>(6)</w:t>
      </w:r>
      <w:r>
        <w:tab/>
        <w:t>If the Director decides —</w:t>
      </w:r>
    </w:p>
    <w:p>
      <w:pPr>
        <w:pStyle w:val="Indenta"/>
      </w:pPr>
      <w:r>
        <w:tab/>
        <w:t>(a)</w:t>
      </w:r>
      <w:r>
        <w:tab/>
        <w:t>to reject a complaint; or</w:t>
      </w:r>
    </w:p>
    <w:p>
      <w:pPr>
        <w:pStyle w:val="Indenta"/>
      </w:pPr>
      <w:r>
        <w:tab/>
        <w:t>(b)</w:t>
      </w:r>
      <w:r>
        <w:tab/>
        <w:t>that a complaint is not suitable to be dealt with under either Division 3A or 3 and does not warrant investigating,</w:t>
      </w:r>
    </w:p>
    <w:p>
      <w:pPr>
        <w:pStyle w:val="Subsection"/>
        <w:spacing w:before="120"/>
      </w:pPr>
      <w:r>
        <w:tab/>
      </w:r>
      <w:r>
        <w:tab/>
        <w:t>the Director must, in writing, advise the person who made the complaint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34 amended by No. 35 of 2010 s. 83(1) and (4); No. 33 of 2010 s. 16 (as amended by No. 35 of 2010 s. 83(3)).]</w:t>
      </w:r>
    </w:p>
    <w:p>
      <w:pPr>
        <w:pStyle w:val="Heading5"/>
        <w:rPr>
          <w:snapToGrid w:val="0"/>
        </w:rPr>
      </w:pPr>
      <w:bookmarkStart w:id="74" w:name="_Toc455412964"/>
      <w:r>
        <w:rPr>
          <w:rStyle w:val="CharSectno"/>
        </w:rPr>
        <w:t>35</w:t>
      </w:r>
      <w:r>
        <w:rPr>
          <w:snapToGrid w:val="0"/>
        </w:rPr>
        <w:t>.</w:t>
      </w:r>
      <w:r>
        <w:rPr>
          <w:snapToGrid w:val="0"/>
        </w:rPr>
        <w:tab/>
        <w:t>Notice to provider and others</w:t>
      </w:r>
      <w:bookmarkEnd w:id="74"/>
    </w:p>
    <w:p>
      <w:pPr>
        <w:pStyle w:val="Subsection"/>
        <w:keepNext/>
        <w:rPr>
          <w:snapToGrid w:val="0"/>
        </w:rPr>
      </w:pPr>
      <w:r>
        <w:rPr>
          <w:snapToGrid w:val="0"/>
        </w:rPr>
        <w:tab/>
        <w:t>(1)</w:t>
      </w:r>
      <w:r>
        <w:rPr>
          <w:snapToGrid w:val="0"/>
        </w:rPr>
        <w:tab/>
        <w:t>Subject to this section, within 14 days after deciding to accept a complaint the Director —</w:t>
      </w:r>
    </w:p>
    <w:p>
      <w:pPr>
        <w:pStyle w:val="Indenta"/>
        <w:rPr>
          <w:snapToGrid w:val="0"/>
        </w:rPr>
      </w:pPr>
      <w:r>
        <w:rPr>
          <w:snapToGrid w:val="0"/>
        </w:rPr>
        <w:tab/>
        <w:t>(a)</w:t>
      </w:r>
      <w:r>
        <w:rPr>
          <w:snapToGrid w:val="0"/>
        </w:rPr>
        <w:tab/>
        <w:t>must give written notice of the decision to the</w:t>
      </w:r>
      <w:r>
        <w:t xml:space="preserve"> provider; and</w:t>
      </w:r>
    </w:p>
    <w:p>
      <w:pPr>
        <w:pStyle w:val="Indenta"/>
      </w:pPr>
      <w:r>
        <w:tab/>
        <w:t>(ba)</w:t>
      </w:r>
      <w:r>
        <w:tab/>
        <w:t>may give the provider a written notice requiring the provider to give the Director a written response to the complaint in accordance with section 36A;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may give notice of the decision to any other person concerned.</w:t>
      </w:r>
    </w:p>
    <w:p>
      <w:pPr>
        <w:pStyle w:val="Subsection"/>
        <w:rPr>
          <w:snapToGrid w:val="0"/>
        </w:rPr>
      </w:pPr>
      <w:r>
        <w:rPr>
          <w:snapToGrid w:val="0"/>
        </w:rPr>
        <w:tab/>
        <w:t>(2)</w:t>
      </w:r>
      <w:r>
        <w:rPr>
          <w:snapToGrid w:val="0"/>
        </w:rPr>
        <w:tab/>
        <w:t>If the Director considers that on account of particular circumstances the disclosure of the complainant’s identity in a notice under paragraph (a) of subsection (1)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spacing w:before="120"/>
        <w:rPr>
          <w:snapToGrid w:val="0"/>
        </w:rPr>
      </w:pPr>
      <w:r>
        <w:rPr>
          <w:snapToGrid w:val="0"/>
        </w:rPr>
        <w:tab/>
      </w:r>
      <w:r>
        <w:rPr>
          <w:snapToGrid w:val="0"/>
        </w:rPr>
        <w:tab/>
        <w:t>the Director in giving the notice under that paragraph is not to disclose the identity of the complainant.</w:t>
      </w:r>
    </w:p>
    <w:p>
      <w:pPr>
        <w:pStyle w:val="Subsection"/>
        <w:spacing w:before="140"/>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Subsection"/>
        <w:spacing w:before="140"/>
      </w:pPr>
      <w:r>
        <w:tab/>
        <w:t>(4)</w:t>
      </w:r>
      <w:r>
        <w:tab/>
        <w:t>Subject to subsection (2), a notice given under this section must include a copy or the details of the complaint concerned.</w:t>
      </w:r>
    </w:p>
    <w:p>
      <w:pPr>
        <w:pStyle w:val="Footnotesection"/>
        <w:spacing w:before="100"/>
        <w:ind w:left="890" w:hanging="890"/>
      </w:pPr>
      <w:r>
        <w:tab/>
        <w:t>[Section 35 amended by No. 33 of 2010 s. 17(1)(b) and (2) (as amended by No. 35 of 2010 s. 84(2)); No. 35 of 2010 s. 84.]</w:t>
      </w:r>
    </w:p>
    <w:p>
      <w:pPr>
        <w:pStyle w:val="Heading5"/>
      </w:pPr>
      <w:bookmarkStart w:id="75" w:name="_Toc455412965"/>
      <w:r>
        <w:rPr>
          <w:rStyle w:val="CharSectno"/>
        </w:rPr>
        <w:t>36A</w:t>
      </w:r>
      <w:r>
        <w:t>.</w:t>
      </w:r>
      <w:r>
        <w:tab/>
        <w:t>Response by provider</w:t>
      </w:r>
      <w:bookmarkEnd w:id="75"/>
    </w:p>
    <w:p>
      <w:pPr>
        <w:pStyle w:val="Subsection"/>
        <w:spacing w:before="140"/>
      </w:pPr>
      <w:r>
        <w:tab/>
        <w:t>(1)</w:t>
      </w:r>
      <w:r>
        <w:tab/>
        <w:t>A provider who is given a notice under section 35(1)(a) may give the Director a written response to the complaint concerned.</w:t>
      </w:r>
    </w:p>
    <w:p>
      <w:pPr>
        <w:pStyle w:val="Subsection"/>
        <w:spacing w:before="140"/>
      </w:pPr>
      <w:r>
        <w:tab/>
        <w:t>(2)</w:t>
      </w:r>
      <w:r>
        <w:tab/>
        <w:t>A provider who is given a notice under section 35(1)(ba) must give the Director a written response to the complaint concerned.</w:t>
      </w:r>
    </w:p>
    <w:p>
      <w:pPr>
        <w:pStyle w:val="Subsection"/>
        <w:spacing w:before="140"/>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Subsection"/>
        <w:spacing w:before="140"/>
      </w:pPr>
      <w:r>
        <w:tab/>
        <w:t>(4)</w:t>
      </w:r>
      <w:r>
        <w:tab/>
        <w:t>The Director may extend that 28 day period for good reason.</w:t>
      </w:r>
    </w:p>
    <w:p>
      <w:pPr>
        <w:pStyle w:val="Subsection"/>
        <w:spacing w:before="140"/>
      </w:pPr>
      <w:r>
        <w:tab/>
        <w:t>(5)</w:t>
      </w:r>
      <w:r>
        <w:tab/>
        <w:t>If a provider does not comply with subsection (2), the Director may nevertheless deal with the complaint under this Part.</w:t>
      </w:r>
    </w:p>
    <w:p>
      <w:pPr>
        <w:pStyle w:val="Subsection"/>
        <w:spacing w:before="140"/>
      </w:pPr>
      <w:r>
        <w:tab/>
        <w:t>(6)</w:t>
      </w:r>
      <w:r>
        <w:tab/>
        <w:t>A provider who does not comply with subsection (2) does not commit an offence.</w:t>
      </w:r>
    </w:p>
    <w:p>
      <w:pPr>
        <w:pStyle w:val="Subsection"/>
        <w:spacing w:before="140"/>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Footnotesection"/>
        <w:spacing w:before="100"/>
        <w:ind w:left="890" w:hanging="890"/>
        <w:rPr>
          <w:snapToGrid/>
        </w:rPr>
      </w:pPr>
      <w:r>
        <w:rPr>
          <w:snapToGrid/>
        </w:rPr>
        <w:tab/>
        <w:t>[Section 36A inserted by No. 33 of 2010 s. 18.]</w:t>
      </w:r>
    </w:p>
    <w:p>
      <w:pPr>
        <w:pStyle w:val="Heading5"/>
      </w:pPr>
      <w:bookmarkStart w:id="76" w:name="_Toc455412966"/>
      <w:r>
        <w:rPr>
          <w:rStyle w:val="CharSectno"/>
        </w:rPr>
        <w:t>36BA</w:t>
      </w:r>
      <w:r>
        <w:t>.</w:t>
      </w:r>
      <w:r>
        <w:tab/>
        <w:t>Protection of provider’s statements</w:t>
      </w:r>
      <w:bookmarkEnd w:id="76"/>
    </w:p>
    <w:p>
      <w:pPr>
        <w:pStyle w:val="Subsection"/>
      </w:pPr>
      <w:r>
        <w:rPr>
          <w:szCs w:val="22"/>
        </w:rPr>
        <w:tab/>
        <w:t>(1)</w:t>
      </w:r>
      <w:r>
        <w:rPr>
          <w:szCs w:val="22"/>
        </w:rPr>
        <w:tab/>
        <w:t>Evidence of anything said in a response given by a provider under section 36A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spacing w:before="100"/>
        <w:ind w:left="890" w:hanging="890"/>
        <w:rPr>
          <w:snapToGrid/>
        </w:rPr>
      </w:pPr>
      <w:r>
        <w:rPr>
          <w:snapToGrid/>
        </w:rPr>
        <w:tab/>
        <w:t>[Section 36BA inserted by No. 33 of 2010 s. 18.]</w:t>
      </w:r>
    </w:p>
    <w:p>
      <w:pPr>
        <w:pStyle w:val="Heading3"/>
      </w:pPr>
      <w:bookmarkStart w:id="77" w:name="_Toc419461315"/>
      <w:bookmarkStart w:id="78" w:name="_Toc435776451"/>
      <w:bookmarkStart w:id="79" w:name="_Toc435776556"/>
      <w:bookmarkStart w:id="80" w:name="_Toc435776821"/>
      <w:bookmarkStart w:id="81" w:name="_Toc436059388"/>
      <w:bookmarkStart w:id="82" w:name="_Toc452545315"/>
      <w:bookmarkStart w:id="83" w:name="_Toc455412967"/>
      <w:r>
        <w:rPr>
          <w:rStyle w:val="CharDivNo"/>
        </w:rPr>
        <w:t>Division 3A</w:t>
      </w:r>
      <w:r>
        <w:t> — </w:t>
      </w:r>
      <w:r>
        <w:rPr>
          <w:rStyle w:val="CharDivText"/>
        </w:rPr>
        <w:t>Negotiated settlement</w:t>
      </w:r>
      <w:bookmarkEnd w:id="77"/>
      <w:bookmarkEnd w:id="78"/>
      <w:bookmarkEnd w:id="79"/>
      <w:bookmarkEnd w:id="80"/>
      <w:bookmarkEnd w:id="81"/>
      <w:bookmarkEnd w:id="82"/>
      <w:bookmarkEnd w:id="83"/>
    </w:p>
    <w:p>
      <w:pPr>
        <w:pStyle w:val="Footnoteheading"/>
        <w:spacing w:before="100"/>
      </w:pPr>
      <w:r>
        <w:tab/>
        <w:t>[Heading inserted by No. 33 of 2010 s. 19.]</w:t>
      </w:r>
    </w:p>
    <w:p>
      <w:pPr>
        <w:pStyle w:val="Heading5"/>
      </w:pPr>
      <w:bookmarkStart w:id="84" w:name="_Toc455412968"/>
      <w:r>
        <w:rPr>
          <w:rStyle w:val="CharSectno"/>
        </w:rPr>
        <w:t>36B</w:t>
      </w:r>
      <w:r>
        <w:t>.</w:t>
      </w:r>
      <w:r>
        <w:tab/>
        <w:t>Resolving complaints by negotiation</w:t>
      </w:r>
      <w:bookmarkEnd w:id="84"/>
    </w:p>
    <w:p>
      <w:pPr>
        <w:pStyle w:val="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35 the complaint has not been settled under subsection (1), the Director must —</w:t>
      </w:r>
    </w:p>
    <w:p>
      <w:pPr>
        <w:pStyle w:val="Indenta"/>
      </w:pPr>
      <w:r>
        <w:tab/>
        <w:t>(a)</w:t>
      </w:r>
      <w:r>
        <w:tab/>
        <w:t>refer it for conciliation under Division 3 if the Director is of the opinion it is suitable to be dealt with under that Division; or</w:t>
      </w:r>
    </w:p>
    <w:p>
      <w:pPr>
        <w:pStyle w:val="Indenta"/>
      </w:pPr>
      <w:r>
        <w:tab/>
        <w:t>(b)</w:t>
      </w:r>
      <w:r>
        <w:tab/>
        <w:t>investigate it if the Director is of the opinion that —</w:t>
      </w:r>
    </w:p>
    <w:p>
      <w:pPr>
        <w:pStyle w:val="Indenti"/>
      </w:pPr>
      <w:r>
        <w:tab/>
        <w:t>(i)</w:t>
      </w:r>
      <w:r>
        <w:tab/>
        <w:t>it is not suitable to be dealt with under Division 3;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person who made the complaint to do so.</w:t>
      </w:r>
    </w:p>
    <w:p>
      <w:pPr>
        <w:pStyle w:val="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Footnotesection"/>
        <w:rPr>
          <w:snapToGrid/>
        </w:rPr>
      </w:pPr>
      <w:r>
        <w:rPr>
          <w:snapToGrid/>
        </w:rPr>
        <w:tab/>
        <w:t>[Section 36B inserted by No. 33 of 2010 s. 19.]</w:t>
      </w:r>
    </w:p>
    <w:p>
      <w:pPr>
        <w:pStyle w:val="Heading5"/>
      </w:pPr>
      <w:bookmarkStart w:id="85" w:name="_Toc455412969"/>
      <w:r>
        <w:rPr>
          <w:rStyle w:val="CharSectno"/>
        </w:rPr>
        <w:t>36C</w:t>
      </w:r>
      <w:r>
        <w:t>.</w:t>
      </w:r>
      <w:r>
        <w:tab/>
        <w:t>Protection of statements made</w:t>
      </w:r>
      <w:bookmarkEnd w:id="85"/>
    </w:p>
    <w:p>
      <w:pPr>
        <w:pStyle w:val="Subsection"/>
      </w:pPr>
      <w:r>
        <w:tab/>
        <w:t>(1)</w:t>
      </w:r>
      <w:r>
        <w:tab/>
        <w:t>Evidence of anything said or admitted during any negotiation conducted under section 36B(1)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rPr>
          <w:snapToGrid/>
        </w:rPr>
      </w:pPr>
      <w:r>
        <w:rPr>
          <w:snapToGrid/>
        </w:rPr>
        <w:tab/>
        <w:t>[Section 36C inserted by No. 33 of 2010 s. 19.]</w:t>
      </w:r>
    </w:p>
    <w:p>
      <w:pPr>
        <w:pStyle w:val="Heading3"/>
      </w:pPr>
      <w:bookmarkStart w:id="86" w:name="_Toc419461318"/>
      <w:bookmarkStart w:id="87" w:name="_Toc435776454"/>
      <w:bookmarkStart w:id="88" w:name="_Toc435776559"/>
      <w:bookmarkStart w:id="89" w:name="_Toc435776824"/>
      <w:bookmarkStart w:id="90" w:name="_Toc436059391"/>
      <w:bookmarkStart w:id="91" w:name="_Toc452545318"/>
      <w:bookmarkStart w:id="92" w:name="_Toc455412970"/>
      <w:r>
        <w:rPr>
          <w:rStyle w:val="CharDivNo"/>
        </w:rPr>
        <w:t>Division 3</w:t>
      </w:r>
      <w:r>
        <w:rPr>
          <w:snapToGrid w:val="0"/>
        </w:rPr>
        <w:t> — </w:t>
      </w:r>
      <w:r>
        <w:rPr>
          <w:rStyle w:val="CharDivText"/>
        </w:rPr>
        <w:t>Conciliation</w:t>
      </w:r>
      <w:bookmarkEnd w:id="86"/>
      <w:bookmarkEnd w:id="87"/>
      <w:bookmarkEnd w:id="88"/>
      <w:bookmarkEnd w:id="89"/>
      <w:bookmarkEnd w:id="90"/>
      <w:bookmarkEnd w:id="91"/>
      <w:bookmarkEnd w:id="92"/>
    </w:p>
    <w:p>
      <w:pPr>
        <w:pStyle w:val="Heading5"/>
        <w:rPr>
          <w:snapToGrid w:val="0"/>
        </w:rPr>
      </w:pPr>
      <w:bookmarkStart w:id="93" w:name="_Toc455412971"/>
      <w:r>
        <w:rPr>
          <w:rStyle w:val="CharSectno"/>
        </w:rPr>
        <w:t>36</w:t>
      </w:r>
      <w:r>
        <w:rPr>
          <w:snapToGrid w:val="0"/>
        </w:rPr>
        <w:t>.</w:t>
      </w:r>
      <w:r>
        <w:rPr>
          <w:snapToGrid w:val="0"/>
        </w:rPr>
        <w:tab/>
        <w:t>Assignment of conciliator</w:t>
      </w:r>
      <w:bookmarkEnd w:id="93"/>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94" w:name="_Toc455412972"/>
      <w:r>
        <w:rPr>
          <w:rStyle w:val="CharSectno"/>
        </w:rPr>
        <w:t>37</w:t>
      </w:r>
      <w:r>
        <w:rPr>
          <w:snapToGrid w:val="0"/>
        </w:rPr>
        <w:t>.</w:t>
      </w:r>
      <w:r>
        <w:rPr>
          <w:snapToGrid w:val="0"/>
        </w:rPr>
        <w:tab/>
        <w:t>Notice of referral for conciliation</w:t>
      </w:r>
      <w:bookmarkEnd w:id="94"/>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95" w:name="_Toc455412973"/>
      <w:r>
        <w:rPr>
          <w:rStyle w:val="CharSectno"/>
        </w:rPr>
        <w:t>38</w:t>
      </w:r>
      <w:r>
        <w:rPr>
          <w:snapToGrid w:val="0"/>
        </w:rPr>
        <w:t>.</w:t>
      </w:r>
      <w:r>
        <w:rPr>
          <w:snapToGrid w:val="0"/>
        </w:rPr>
        <w:tab/>
        <w:t>Role of conciliator</w:t>
      </w:r>
      <w:bookmarkEnd w:id="95"/>
    </w:p>
    <w:p>
      <w:pPr>
        <w:pStyle w:val="Subsection"/>
        <w:keepNext/>
        <w:rPr>
          <w:snapToGrid w:val="0"/>
        </w:rPr>
      </w:pPr>
      <w:r>
        <w:rPr>
          <w:snapToGrid w:val="0"/>
        </w:rPr>
        <w:tab/>
      </w:r>
      <w:r>
        <w:rPr>
          <w:snapToGrid w:val="0"/>
        </w:rPr>
        <w:tab/>
        <w:t>A conciliator’s function is to encourage the settlement of the complaint by —</w:t>
      </w:r>
    </w:p>
    <w:p>
      <w:pPr>
        <w:pStyle w:val="Indenta"/>
        <w:rPr>
          <w:snapToGrid w:val="0"/>
        </w:rPr>
      </w:pPr>
      <w:r>
        <w:rPr>
          <w:snapToGrid w:val="0"/>
        </w:rPr>
        <w:tab/>
        <w:t>(a)</w:t>
      </w:r>
      <w:r>
        <w:rPr>
          <w:snapToGrid w:val="0"/>
        </w:rPr>
        <w:tab/>
        <w:t>arranging for the provider and the person who made the complaint to hold informal discussions about the complaint; and</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96" w:name="_Toc455412974"/>
      <w:r>
        <w:rPr>
          <w:rStyle w:val="CharSectno"/>
        </w:rPr>
        <w:t>39</w:t>
      </w:r>
      <w:r>
        <w:rPr>
          <w:snapToGrid w:val="0"/>
        </w:rPr>
        <w:t>.</w:t>
      </w:r>
      <w:r>
        <w:rPr>
          <w:snapToGrid w:val="0"/>
        </w:rPr>
        <w:tab/>
        <w:t>Representation in conciliation process</w:t>
      </w:r>
      <w:bookmarkEnd w:id="96"/>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97" w:name="_Toc455412975"/>
      <w:r>
        <w:rPr>
          <w:rStyle w:val="CharSectno"/>
        </w:rPr>
        <w:t>40</w:t>
      </w:r>
      <w:r>
        <w:rPr>
          <w:snapToGrid w:val="0"/>
        </w:rPr>
        <w:t>.</w:t>
      </w:r>
      <w:r>
        <w:rPr>
          <w:snapToGrid w:val="0"/>
        </w:rPr>
        <w:tab/>
        <w:t>Reports by conciliator</w:t>
      </w:r>
      <w:bookmarkEnd w:id="97"/>
    </w:p>
    <w:p>
      <w:pPr>
        <w:pStyle w:val="Subsection"/>
        <w:keepNext/>
        <w:rPr>
          <w:snapToGrid w:val="0"/>
        </w:rPr>
      </w:pPr>
      <w:r>
        <w:rPr>
          <w:snapToGrid w:val="0"/>
        </w:rPr>
        <w:tab/>
        <w:t>(1)</w:t>
      </w:r>
      <w:r>
        <w:rPr>
          <w:snapToGrid w:val="0"/>
        </w:rPr>
        <w:tab/>
        <w:t>The conciliator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w:t>
      </w:r>
    </w:p>
    <w:p>
      <w:pPr>
        <w:pStyle w:val="Indenta"/>
        <w:spacing w:before="70"/>
        <w:rPr>
          <w:snapToGrid w:val="0"/>
        </w:rPr>
      </w:pPr>
      <w:r>
        <w:rPr>
          <w:snapToGrid w:val="0"/>
        </w:rPr>
        <w:tab/>
        <w:t>(a)</w:t>
      </w:r>
      <w:r>
        <w:rPr>
          <w:snapToGrid w:val="0"/>
        </w:rPr>
        <w:tab/>
        <w:t>must include details of any agreement reached; and</w:t>
      </w:r>
    </w:p>
    <w:p>
      <w:pPr>
        <w:pStyle w:val="Indenta"/>
        <w:keepNext/>
        <w:spacing w:before="70"/>
        <w:rPr>
          <w:snapToGrid w:val="0"/>
        </w:rPr>
      </w:pPr>
      <w:r>
        <w:rPr>
          <w:snapToGrid w:val="0"/>
        </w:rPr>
        <w:tab/>
        <w:t>(b)</w:t>
      </w:r>
      <w:r>
        <w:rPr>
          <w:snapToGrid w:val="0"/>
        </w:rPr>
        <w:tab/>
        <w:t>if no agreement has been reached, may —</w:t>
      </w:r>
    </w:p>
    <w:p>
      <w:pPr>
        <w:pStyle w:val="Indenti"/>
        <w:spacing w:before="70"/>
        <w:rPr>
          <w:snapToGrid w:val="0"/>
        </w:rPr>
      </w:pPr>
      <w:r>
        <w:rPr>
          <w:snapToGrid w:val="0"/>
        </w:rPr>
        <w:tab/>
        <w:t>(i)</w:t>
      </w:r>
      <w:r>
        <w:rPr>
          <w:snapToGrid w:val="0"/>
        </w:rPr>
        <w:tab/>
        <w:t>recommend that the Director should investigate the matter; or</w:t>
      </w:r>
    </w:p>
    <w:p>
      <w:pPr>
        <w:pStyle w:val="Indenti"/>
        <w:spacing w:before="70"/>
        <w:rPr>
          <w:snapToGrid w:val="0"/>
        </w:rPr>
      </w:pPr>
      <w:r>
        <w:rPr>
          <w:snapToGrid w:val="0"/>
        </w:rPr>
        <w:tab/>
        <w:t>(ii)</w:t>
      </w:r>
      <w:r>
        <w:rPr>
          <w:snapToGrid w:val="0"/>
        </w:rPr>
        <w:tab/>
        <w:t>make no recommendation; or</w:t>
      </w:r>
    </w:p>
    <w:p>
      <w:pPr>
        <w:pStyle w:val="Indenti"/>
        <w:spacing w:before="70"/>
        <w:rPr>
          <w:snapToGrid w:val="0"/>
        </w:rPr>
      </w:pPr>
      <w:r>
        <w:rPr>
          <w:snapToGrid w:val="0"/>
        </w:rPr>
        <w:tab/>
        <w:t>(iii)</w:t>
      </w:r>
      <w:r>
        <w:rPr>
          <w:snapToGrid w:val="0"/>
        </w:rPr>
        <w:tab/>
        <w:t>recommend that the Director should not investigate the matter,</w:t>
      </w:r>
    </w:p>
    <w:p>
      <w:pPr>
        <w:pStyle w:val="Indenta"/>
        <w:spacing w:before="70"/>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98" w:name="_Toc455412976"/>
      <w:r>
        <w:rPr>
          <w:rStyle w:val="CharSectno"/>
        </w:rPr>
        <w:t>41</w:t>
      </w:r>
      <w:r>
        <w:rPr>
          <w:snapToGrid w:val="0"/>
        </w:rPr>
        <w:t>.</w:t>
      </w:r>
      <w:r>
        <w:rPr>
          <w:snapToGrid w:val="0"/>
        </w:rPr>
        <w:tab/>
        <w:t>Parties may resolve complaint</w:t>
      </w:r>
      <w:bookmarkEnd w:id="98"/>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w:t>
      </w:r>
      <w:r>
        <w:t xml:space="preserve"> or not with the help of the Office.</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Footnotesection"/>
      </w:pPr>
      <w:r>
        <w:tab/>
        <w:t>[Section 41 amended by No. 33 of 2010 s. 20.]</w:t>
      </w:r>
    </w:p>
    <w:p>
      <w:pPr>
        <w:pStyle w:val="Heading5"/>
        <w:rPr>
          <w:snapToGrid w:val="0"/>
        </w:rPr>
      </w:pPr>
      <w:bookmarkStart w:id="99" w:name="_Toc455412977"/>
      <w:r>
        <w:rPr>
          <w:rStyle w:val="CharSectno"/>
        </w:rPr>
        <w:t>42</w:t>
      </w:r>
      <w:r>
        <w:rPr>
          <w:snapToGrid w:val="0"/>
        </w:rPr>
        <w:t>.</w:t>
      </w:r>
      <w:r>
        <w:rPr>
          <w:snapToGrid w:val="0"/>
        </w:rPr>
        <w:tab/>
        <w:t>Protection of statements made</w:t>
      </w:r>
      <w:bookmarkEnd w:id="99"/>
    </w:p>
    <w:p>
      <w:pPr>
        <w:pStyle w:val="Subsection"/>
        <w:keepNext/>
        <w:rPr>
          <w:snapToGrid w:val="0"/>
        </w:rPr>
      </w:pPr>
      <w:r>
        <w:rPr>
          <w:snapToGrid w:val="0"/>
        </w:rPr>
        <w:tab/>
        <w:t>(1)</w:t>
      </w:r>
      <w:r>
        <w:rPr>
          <w:snapToGrid w:val="0"/>
        </w:rPr>
        <w:tab/>
        <w:t>Evidence of anything said or admitted during the conciliation process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pPr>
      <w:bookmarkStart w:id="100" w:name="_Toc419461326"/>
      <w:bookmarkStart w:id="101" w:name="_Toc435776462"/>
      <w:bookmarkStart w:id="102" w:name="_Toc435776567"/>
      <w:bookmarkStart w:id="103" w:name="_Toc435776832"/>
      <w:bookmarkStart w:id="104" w:name="_Toc436059399"/>
      <w:bookmarkStart w:id="105" w:name="_Toc452545326"/>
      <w:bookmarkStart w:id="106" w:name="_Toc455412978"/>
      <w:r>
        <w:rPr>
          <w:rStyle w:val="CharDivNo"/>
        </w:rPr>
        <w:t>Division 4</w:t>
      </w:r>
      <w:r>
        <w:rPr>
          <w:snapToGrid w:val="0"/>
        </w:rPr>
        <w:t> — </w:t>
      </w:r>
      <w:r>
        <w:rPr>
          <w:rStyle w:val="CharDivText"/>
        </w:rPr>
        <w:t>Subsequent action</w:t>
      </w:r>
      <w:bookmarkEnd w:id="100"/>
      <w:bookmarkEnd w:id="101"/>
      <w:bookmarkEnd w:id="102"/>
      <w:bookmarkEnd w:id="103"/>
      <w:bookmarkEnd w:id="104"/>
      <w:bookmarkEnd w:id="105"/>
      <w:bookmarkEnd w:id="106"/>
    </w:p>
    <w:p>
      <w:pPr>
        <w:pStyle w:val="Heading5"/>
        <w:rPr>
          <w:snapToGrid w:val="0"/>
        </w:rPr>
      </w:pPr>
      <w:bookmarkStart w:id="107" w:name="_Toc455412979"/>
      <w:r>
        <w:rPr>
          <w:rStyle w:val="CharSectno"/>
        </w:rPr>
        <w:t>43</w:t>
      </w:r>
      <w:r>
        <w:rPr>
          <w:snapToGrid w:val="0"/>
        </w:rPr>
        <w:t>.</w:t>
      </w:r>
      <w:r>
        <w:rPr>
          <w:snapToGrid w:val="0"/>
        </w:rPr>
        <w:tab/>
        <w:t>Director’s duties after conciliator’s recommendation</w:t>
      </w:r>
      <w:bookmarkEnd w:id="107"/>
    </w:p>
    <w:p>
      <w:pPr>
        <w:pStyle w:val="Subsection"/>
        <w:keepNext/>
        <w:rPr>
          <w:snapToGrid w:val="0"/>
        </w:rPr>
      </w:pPr>
      <w:r>
        <w:rPr>
          <w:snapToGrid w:val="0"/>
        </w:rPr>
        <w:tab/>
        <w:t>(1)</w:t>
      </w:r>
      <w:r>
        <w:rPr>
          <w:snapToGrid w:val="0"/>
        </w:rPr>
        <w:tab/>
        <w:t>If a conciliator recommends that the Director should not investigate a complaint, the Director must not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Footnotesection"/>
      </w:pPr>
      <w:r>
        <w:tab/>
        <w:t>[Section 43 amended by No. 35 of 2010 s. 85.]</w:t>
      </w:r>
    </w:p>
    <w:p>
      <w:pPr>
        <w:pStyle w:val="Heading5"/>
        <w:rPr>
          <w:snapToGrid w:val="0"/>
        </w:rPr>
      </w:pPr>
      <w:bookmarkStart w:id="108" w:name="_Toc455412980"/>
      <w:r>
        <w:rPr>
          <w:rStyle w:val="CharSectno"/>
        </w:rPr>
        <w:t>44</w:t>
      </w:r>
      <w:r>
        <w:rPr>
          <w:snapToGrid w:val="0"/>
        </w:rPr>
        <w:t>.</w:t>
      </w:r>
      <w:r>
        <w:rPr>
          <w:snapToGrid w:val="0"/>
        </w:rPr>
        <w:tab/>
        <w:t>Notice of investigation by Director</w:t>
      </w:r>
      <w:bookmarkEnd w:id="108"/>
    </w:p>
    <w:p>
      <w:pPr>
        <w:pStyle w:val="Ednotesubsection"/>
      </w:pPr>
      <w:r>
        <w:tab/>
        <w:t>[(1)</w:t>
      </w:r>
      <w:r>
        <w:tab/>
        <w:t>deleted]</w:t>
      </w:r>
    </w:p>
    <w:p>
      <w:pPr>
        <w:pStyle w:val="Subsection"/>
        <w:rPr>
          <w:snapToGrid w:val="0"/>
        </w:rPr>
      </w:pPr>
      <w:r>
        <w:rPr>
          <w:snapToGrid w:val="0"/>
        </w:rPr>
        <w:tab/>
        <w:t>(2)</w:t>
      </w:r>
      <w:r>
        <w:rPr>
          <w:snapToGrid w:val="0"/>
        </w:rPr>
        <w:tab/>
        <w:t xml:space="preserve">Within 14 days after commencing an investigation the Director must give to the provider written notice of the investigation, including, </w:t>
      </w:r>
      <w:r>
        <w:t xml:space="preserve">if it is of a complaint, </w:t>
      </w:r>
      <w:r>
        <w:rPr>
          <w:snapToGrid w:val="0"/>
        </w:rPr>
        <w:t>details of the complaint.</w:t>
      </w:r>
    </w:p>
    <w:p>
      <w:pPr>
        <w:pStyle w:val="Footnotesection"/>
      </w:pPr>
      <w:r>
        <w:tab/>
        <w:t>[Section 44 amended by No. 33 of 2010 s. 21; No. 35 of 2010 s. 86.]</w:t>
      </w:r>
    </w:p>
    <w:p>
      <w:pPr>
        <w:pStyle w:val="Heading5"/>
        <w:rPr>
          <w:snapToGrid w:val="0"/>
        </w:rPr>
      </w:pPr>
      <w:bookmarkStart w:id="109" w:name="_Toc455412981"/>
      <w:r>
        <w:rPr>
          <w:rStyle w:val="CharSectno"/>
        </w:rPr>
        <w:t>45</w:t>
      </w:r>
      <w:r>
        <w:rPr>
          <w:snapToGrid w:val="0"/>
        </w:rPr>
        <w:t>.</w:t>
      </w:r>
      <w:r>
        <w:rPr>
          <w:snapToGrid w:val="0"/>
        </w:rPr>
        <w:tab/>
        <w:t>Further power to investigate</w:t>
      </w:r>
      <w:bookmarkEnd w:id="109"/>
    </w:p>
    <w:p>
      <w:pPr>
        <w:pStyle w:val="Subsection"/>
        <w:keepNext/>
        <w:rPr>
          <w:snapToGrid w:val="0"/>
        </w:rPr>
      </w:pPr>
      <w:r>
        <w:rPr>
          <w:snapToGrid w:val="0"/>
        </w:rPr>
        <w:tab/>
      </w:r>
      <w:r>
        <w:rPr>
          <w:snapToGrid w:val="0"/>
        </w:rPr>
        <w:tab/>
        <w:t>Where the Minister is of the opinion that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the Minister may direct the Director to conduct an investigation under this Part with such terms of reference as the Minister may specify.</w:t>
      </w:r>
    </w:p>
    <w:p>
      <w:pPr>
        <w:pStyle w:val="Ednotesection"/>
      </w:pPr>
      <w:r>
        <w:t>[</w:t>
      </w:r>
      <w:r>
        <w:rPr>
          <w:b/>
          <w:bCs/>
        </w:rPr>
        <w:t>46.</w:t>
      </w:r>
      <w:r>
        <w:tab/>
        <w:t>Deleted by No. 35 of 2010 s. 87.]</w:t>
      </w:r>
    </w:p>
    <w:p>
      <w:pPr>
        <w:pStyle w:val="Heading5"/>
        <w:rPr>
          <w:snapToGrid w:val="0"/>
        </w:rPr>
      </w:pPr>
      <w:bookmarkStart w:id="110" w:name="_Toc455412982"/>
      <w:r>
        <w:rPr>
          <w:rStyle w:val="CharSectno"/>
        </w:rPr>
        <w:t>47</w:t>
      </w:r>
      <w:r>
        <w:rPr>
          <w:snapToGrid w:val="0"/>
        </w:rPr>
        <w:t>.</w:t>
      </w:r>
      <w:r>
        <w:rPr>
          <w:snapToGrid w:val="0"/>
        </w:rPr>
        <w:tab/>
        <w:t>Conciliator must not investigate</w:t>
      </w:r>
      <w:bookmarkEnd w:id="110"/>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111" w:name="_Toc455412983"/>
      <w:r>
        <w:rPr>
          <w:rStyle w:val="CharSectno"/>
        </w:rPr>
        <w:t>48</w:t>
      </w:r>
      <w:r>
        <w:rPr>
          <w:snapToGrid w:val="0"/>
        </w:rPr>
        <w:t>.</w:t>
      </w:r>
      <w:r>
        <w:rPr>
          <w:snapToGrid w:val="0"/>
        </w:rPr>
        <w:tab/>
        <w:t>Purpose of investigation, and procedure</w:t>
      </w:r>
      <w:bookmarkEnd w:id="111"/>
    </w:p>
    <w:p>
      <w:pPr>
        <w:pStyle w:val="Subsection"/>
        <w:spacing w:before="120"/>
        <w:rPr>
          <w:snapToGrid w:val="0"/>
        </w:rPr>
      </w:pPr>
      <w:r>
        <w:rPr>
          <w:snapToGrid w:val="0"/>
        </w:rPr>
        <w:tab/>
        <w:t>(1)</w:t>
      </w:r>
      <w:r>
        <w:rPr>
          <w:snapToGrid w:val="0"/>
        </w:rPr>
        <w:tab/>
        <w:t xml:space="preserve">The purpose of an investigation </w:t>
      </w:r>
      <w:r>
        <w:t>of a complaint or under section</w:t>
      </w:r>
      <w:r>
        <w:rPr>
          <w:snapToGrid w:val="0"/>
        </w:rPr>
        <w:t>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 xml:space="preserve">In conducting an investigation </w:t>
      </w:r>
      <w:r>
        <w:t>of a complaint or under section</w:t>
      </w:r>
      <w:r>
        <w:rPr>
          <w:snapToGrid w:val="0"/>
        </w:rPr>
        <w:t> 45 the Director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 and</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Footnotesection"/>
      </w:pPr>
      <w:r>
        <w:tab/>
        <w:t>[Section 48 amended by No. 33 of 2010 s. 22.]</w:t>
      </w:r>
    </w:p>
    <w:p>
      <w:pPr>
        <w:pStyle w:val="Ednotesection"/>
        <w:ind w:left="0" w:firstLine="0"/>
      </w:pPr>
      <w:r>
        <w:t>[</w:t>
      </w:r>
      <w:r>
        <w:rPr>
          <w:b/>
          <w:bCs/>
        </w:rPr>
        <w:t>49.</w:t>
      </w:r>
      <w:r>
        <w:tab/>
        <w:t>Deleted by No. 35 of 2010 s. 88.]</w:t>
      </w:r>
    </w:p>
    <w:p>
      <w:pPr>
        <w:pStyle w:val="Heading5"/>
        <w:rPr>
          <w:snapToGrid w:val="0"/>
        </w:rPr>
      </w:pPr>
      <w:bookmarkStart w:id="112" w:name="_Toc455412984"/>
      <w:r>
        <w:rPr>
          <w:rStyle w:val="CharSectno"/>
        </w:rPr>
        <w:t>50</w:t>
      </w:r>
      <w:r>
        <w:rPr>
          <w:snapToGrid w:val="0"/>
        </w:rPr>
        <w:t>.</w:t>
      </w:r>
      <w:r>
        <w:rPr>
          <w:snapToGrid w:val="0"/>
        </w:rPr>
        <w:tab/>
        <w:t>Remedial action where complaint justified</w:t>
      </w:r>
      <w:bookmarkEnd w:id="112"/>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pPr>
      <w:r>
        <w:tab/>
        <w:t>(2A)</w:t>
      </w:r>
      <w:r>
        <w:tab/>
        <w:t>Before making a decision under subsection (1), the Director must —</w:t>
      </w:r>
    </w:p>
    <w:p>
      <w:pPr>
        <w:pStyle w:val="Indenta"/>
      </w:pPr>
      <w:r>
        <w:tab/>
        <w:t>(a)</w:t>
      </w:r>
      <w:r>
        <w:tab/>
        <w:t>consult the provider; and</w:t>
      </w:r>
    </w:p>
    <w:p>
      <w:pPr>
        <w:pStyle w:val="Indenta"/>
      </w:pPr>
      <w:r>
        <w:tab/>
        <w:t>(b)</w:t>
      </w:r>
      <w:r>
        <w:tab/>
        <w:t>if any action that the Director considers ought to be taken to remedy the matter is likely to have an impact on other providers, consult a group of those providers.</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w:t>
      </w:r>
    </w:p>
    <w:p>
      <w:pPr>
        <w:pStyle w:val="Indenta"/>
        <w:rPr>
          <w:snapToGrid w:val="0"/>
        </w:rPr>
      </w:pPr>
      <w:r>
        <w:rPr>
          <w:snapToGrid w:val="0"/>
        </w:rPr>
        <w:tab/>
        <w:t>(a)</w:t>
      </w:r>
      <w:r>
        <w:rPr>
          <w:snapToGrid w:val="0"/>
        </w:rPr>
        <w:tab/>
        <w:t>the reasons for the decision; and</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spacing w:before="150"/>
        <w:rPr>
          <w:snapToGrid w:val="0"/>
        </w:rPr>
      </w:pPr>
      <w:r>
        <w:rPr>
          <w:snapToGrid w:val="0"/>
        </w:rPr>
        <w:tab/>
        <w:t>(4)</w:t>
      </w:r>
      <w:r>
        <w:rPr>
          <w:snapToGrid w:val="0"/>
        </w:rPr>
        <w:tab/>
        <w:t>If asked by the Minister, the Director must give a copy of a notice under subsection (2) to the Minister.</w:t>
      </w:r>
    </w:p>
    <w:p>
      <w:pPr>
        <w:pStyle w:val="Footnotesection"/>
      </w:pPr>
      <w:r>
        <w:tab/>
        <w:t>[Section 50 amended by No. 33 of 2010 s. 23.]</w:t>
      </w:r>
    </w:p>
    <w:p>
      <w:pPr>
        <w:pStyle w:val="Heading5"/>
        <w:rPr>
          <w:snapToGrid w:val="0"/>
        </w:rPr>
      </w:pPr>
      <w:bookmarkStart w:id="113" w:name="_Toc455412985"/>
      <w:r>
        <w:rPr>
          <w:rStyle w:val="CharSectno"/>
        </w:rPr>
        <w:t>51</w:t>
      </w:r>
      <w:r>
        <w:rPr>
          <w:snapToGrid w:val="0"/>
        </w:rPr>
        <w:t>.</w:t>
      </w:r>
      <w:r>
        <w:rPr>
          <w:snapToGrid w:val="0"/>
        </w:rPr>
        <w:tab/>
        <w:t>Provider must report on remedial action</w:t>
      </w:r>
      <w:bookmarkEnd w:id="113"/>
    </w:p>
    <w:p>
      <w:pPr>
        <w:pStyle w:val="Subsection"/>
        <w:spacing w:before="150"/>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spacing w:before="150"/>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spacing w:before="150"/>
        <w:rPr>
          <w:snapToGrid w:val="0"/>
        </w:rPr>
      </w:pPr>
      <w:r>
        <w:rPr>
          <w:snapToGrid w:val="0"/>
        </w:rPr>
        <w:tab/>
        <w:t>(3)</w:t>
      </w:r>
      <w:r>
        <w:rPr>
          <w:snapToGrid w:val="0"/>
        </w:rPr>
        <w:tab/>
        <w:t>If asked under subsection (2), the Director may extend the time within which the provider must report by no more than 15 days.</w:t>
      </w:r>
    </w:p>
    <w:p>
      <w:pPr>
        <w:pStyle w:val="Heading5"/>
      </w:pPr>
      <w:bookmarkStart w:id="114" w:name="_Toc455412986"/>
      <w:r>
        <w:rPr>
          <w:rStyle w:val="CharSectno"/>
        </w:rPr>
        <w:t>52A</w:t>
      </w:r>
      <w:r>
        <w:t>.</w:t>
      </w:r>
      <w:r>
        <w:tab/>
        <w:t>Report to Parliament if report not made under s. 51 or remedial action not taken</w:t>
      </w:r>
      <w:bookmarkEnd w:id="114"/>
    </w:p>
    <w:p>
      <w:pPr>
        <w:pStyle w:val="Subsection"/>
        <w:spacing w:before="150"/>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Subsection"/>
        <w:spacing w:before="150"/>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Subsection"/>
      </w:pPr>
      <w:r>
        <w:tab/>
        <w:t>(3)</w:t>
      </w:r>
      <w:r>
        <w:tab/>
        <w:t>After receiving the notice and a report under subsection (1) or (2) the Minister may lay both before each House of Parliament.</w:t>
      </w:r>
    </w:p>
    <w:p>
      <w:pPr>
        <w:pStyle w:val="Subsection"/>
      </w:pPr>
      <w:r>
        <w:tab/>
        <w:t>(4)</w:t>
      </w:r>
      <w:r>
        <w:tab/>
        <w:t>The Director is not to include the complainant’s name in the material given to the Minister under subsection (1) or (2) unless authorised to do so by the complainant.</w:t>
      </w:r>
    </w:p>
    <w:p>
      <w:pPr>
        <w:pStyle w:val="Footnotesection"/>
        <w:rPr>
          <w:snapToGrid/>
        </w:rPr>
      </w:pPr>
      <w:r>
        <w:rPr>
          <w:snapToGrid/>
        </w:rPr>
        <w:tab/>
        <w:t>[Section 52A inserted by No. 33 of 2010 s. 24.]</w:t>
      </w:r>
    </w:p>
    <w:p>
      <w:pPr>
        <w:pStyle w:val="Heading3"/>
      </w:pPr>
      <w:bookmarkStart w:id="115" w:name="_Toc419461335"/>
      <w:bookmarkStart w:id="116" w:name="_Toc435776471"/>
      <w:bookmarkStart w:id="117" w:name="_Toc435776576"/>
      <w:bookmarkStart w:id="118" w:name="_Toc435776841"/>
      <w:bookmarkStart w:id="119" w:name="_Toc436059408"/>
      <w:bookmarkStart w:id="120" w:name="_Toc452545335"/>
      <w:bookmarkStart w:id="121" w:name="_Toc455412987"/>
      <w:r>
        <w:rPr>
          <w:rStyle w:val="CharDivNo"/>
        </w:rPr>
        <w:t>Division 5</w:t>
      </w:r>
      <w:r>
        <w:rPr>
          <w:snapToGrid w:val="0"/>
        </w:rPr>
        <w:t> — </w:t>
      </w:r>
      <w:r>
        <w:rPr>
          <w:rStyle w:val="CharDivText"/>
        </w:rPr>
        <w:t>General</w:t>
      </w:r>
      <w:bookmarkEnd w:id="115"/>
      <w:bookmarkEnd w:id="116"/>
      <w:bookmarkEnd w:id="117"/>
      <w:bookmarkEnd w:id="118"/>
      <w:bookmarkEnd w:id="119"/>
      <w:bookmarkEnd w:id="120"/>
      <w:bookmarkEnd w:id="121"/>
    </w:p>
    <w:p>
      <w:pPr>
        <w:pStyle w:val="Heading5"/>
        <w:rPr>
          <w:snapToGrid w:val="0"/>
        </w:rPr>
      </w:pPr>
      <w:bookmarkStart w:id="122" w:name="_Toc455412988"/>
      <w:r>
        <w:rPr>
          <w:rStyle w:val="CharSectno"/>
        </w:rPr>
        <w:t>52</w:t>
      </w:r>
      <w:r>
        <w:rPr>
          <w:snapToGrid w:val="0"/>
        </w:rPr>
        <w:t>.</w:t>
      </w:r>
      <w:r>
        <w:rPr>
          <w:snapToGrid w:val="0"/>
        </w:rPr>
        <w:tab/>
        <w:t>Director to stop proceedings in some cases</w:t>
      </w:r>
      <w:bookmarkEnd w:id="122"/>
    </w:p>
    <w:p>
      <w:pPr>
        <w:pStyle w:val="Subsection"/>
        <w:keepNext/>
        <w:rPr>
          <w:snapToGrid w:val="0"/>
        </w:rPr>
      </w:pPr>
      <w:r>
        <w:rPr>
          <w:snapToGrid w:val="0"/>
        </w:rPr>
        <w:tab/>
        <w:t>(1)</w:t>
      </w:r>
      <w:r>
        <w:rPr>
          <w:snapToGrid w:val="0"/>
        </w:rPr>
        <w:tab/>
        <w:t>The Director must stop dealing with an issue that arises out of a complaint if the Director —</w:t>
      </w:r>
    </w:p>
    <w:p>
      <w:pPr>
        <w:pStyle w:val="Indenta"/>
        <w:rPr>
          <w:snapToGrid w:val="0"/>
        </w:rPr>
      </w:pPr>
      <w:r>
        <w:rPr>
          <w:snapToGrid w:val="0"/>
        </w:rPr>
        <w:tab/>
        <w:t>(a)</w:t>
      </w:r>
      <w:r>
        <w:rPr>
          <w:snapToGrid w:val="0"/>
        </w:rPr>
        <w:tab/>
        <w:t>becomes aware that the provider or user has begun legal proceedings which relate to that issue; or</w:t>
      </w:r>
    </w:p>
    <w:p>
      <w:pPr>
        <w:pStyle w:val="Indenta"/>
        <w:rPr>
          <w:snapToGrid w:val="0"/>
        </w:rPr>
      </w:pPr>
      <w:r>
        <w:tab/>
        <w:t>(aa)</w:t>
      </w:r>
      <w:r>
        <w:tab/>
      </w:r>
      <w:r>
        <w:rPr>
          <w:snapToGrid w:val="0"/>
        </w:rPr>
        <w:t>becomes aware that the issue has been determined by a registration board; or</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Ednotesection"/>
      </w:pPr>
      <w:r>
        <w:t>[</w:t>
      </w:r>
      <w:r>
        <w:rPr>
          <w:b/>
          <w:bCs/>
        </w:rPr>
        <w:t>53-55.</w:t>
      </w:r>
      <w:r>
        <w:tab/>
        <w:t>Deleted by No. 35 of 2010 s. 89.]</w:t>
      </w:r>
    </w:p>
    <w:p>
      <w:pPr>
        <w:pStyle w:val="Heading5"/>
        <w:rPr>
          <w:snapToGrid w:val="0"/>
        </w:rPr>
      </w:pPr>
      <w:bookmarkStart w:id="123" w:name="_Toc455412989"/>
      <w:r>
        <w:rPr>
          <w:rStyle w:val="CharSectno"/>
        </w:rPr>
        <w:t>56</w:t>
      </w:r>
      <w:r>
        <w:rPr>
          <w:snapToGrid w:val="0"/>
        </w:rPr>
        <w:t>.</w:t>
      </w:r>
      <w:r>
        <w:rPr>
          <w:snapToGrid w:val="0"/>
        </w:rPr>
        <w:tab/>
        <w:t>Reports to, and at request of, Parliament</w:t>
      </w:r>
      <w:bookmarkEnd w:id="123"/>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w:t>
      </w:r>
    </w:p>
    <w:p>
      <w:pPr>
        <w:pStyle w:val="Indenta"/>
        <w:rPr>
          <w:snapToGrid w:val="0"/>
        </w:rPr>
      </w:pPr>
      <w:r>
        <w:rPr>
          <w:snapToGrid w:val="0"/>
        </w:rPr>
        <w:tab/>
        <w:t>(a)</w:t>
      </w:r>
      <w:r>
        <w:rPr>
          <w:snapToGrid w:val="0"/>
        </w:rPr>
        <w:tab/>
        <w:t>arising from an individual complaint or investigation; or</w:t>
      </w:r>
    </w:p>
    <w:p>
      <w:pPr>
        <w:pStyle w:val="Indenta"/>
        <w:rPr>
          <w:snapToGrid w:val="0"/>
        </w:rPr>
      </w:pPr>
      <w:r>
        <w:rPr>
          <w:snapToGrid w:val="0"/>
        </w:rPr>
        <w:tab/>
        <w:t>(b)</w:t>
      </w:r>
      <w:r>
        <w:rPr>
          <w:snapToGrid w:val="0"/>
        </w:rPr>
        <w:tab/>
        <w:t>in relation to the performance of the Director’s</w:t>
      </w:r>
      <w:r>
        <w:rPr>
          <w:szCs w:val="22"/>
        </w:rPr>
        <w:t xml:space="preserve"> functions; or</w:t>
      </w:r>
    </w:p>
    <w:p>
      <w:pPr>
        <w:pStyle w:val="Indenta"/>
      </w:pPr>
      <w:r>
        <w:tab/>
        <w:t>(c)</w:t>
      </w:r>
      <w:r>
        <w:tab/>
        <w:t>arising from information given to the Director under section 75.</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Sch. 1 cl. 82(4); No. 33 of 2010 s. 25.]</w:t>
      </w:r>
    </w:p>
    <w:p>
      <w:pPr>
        <w:pStyle w:val="Heading5"/>
        <w:rPr>
          <w:snapToGrid w:val="0"/>
        </w:rPr>
      </w:pPr>
      <w:bookmarkStart w:id="124" w:name="_Toc455412990"/>
      <w:r>
        <w:rPr>
          <w:rStyle w:val="CharSectno"/>
        </w:rPr>
        <w:t>57</w:t>
      </w:r>
      <w:r>
        <w:rPr>
          <w:snapToGrid w:val="0"/>
        </w:rPr>
        <w:t>.</w:t>
      </w:r>
      <w:r>
        <w:rPr>
          <w:snapToGrid w:val="0"/>
        </w:rPr>
        <w:tab/>
        <w:t>Action if a House not sitting</w:t>
      </w:r>
      <w:bookmarkEnd w:id="124"/>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125" w:name="_Toc455412991"/>
      <w:r>
        <w:rPr>
          <w:rStyle w:val="CharSectno"/>
        </w:rPr>
        <w:t>58</w:t>
      </w:r>
      <w:r>
        <w:rPr>
          <w:snapToGrid w:val="0"/>
        </w:rPr>
        <w:t>.</w:t>
      </w:r>
      <w:r>
        <w:rPr>
          <w:snapToGrid w:val="0"/>
        </w:rPr>
        <w:tab/>
        <w:t>Saving</w:t>
      </w:r>
      <w:bookmarkEnd w:id="125"/>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126" w:name="_Toc419461340"/>
      <w:bookmarkStart w:id="127" w:name="_Toc435776476"/>
      <w:bookmarkStart w:id="128" w:name="_Toc435776581"/>
      <w:bookmarkStart w:id="129" w:name="_Toc435776846"/>
      <w:bookmarkStart w:id="130" w:name="_Toc436059413"/>
      <w:bookmarkStart w:id="131" w:name="_Toc452545340"/>
      <w:bookmarkStart w:id="132" w:name="_Toc455412992"/>
      <w:r>
        <w:rPr>
          <w:rStyle w:val="CharPartNo"/>
        </w:rPr>
        <w:t>Part 4</w:t>
      </w:r>
      <w:r>
        <w:rPr>
          <w:rStyle w:val="CharDivNo"/>
        </w:rPr>
        <w:t> </w:t>
      </w:r>
      <w:r>
        <w:t>—</w:t>
      </w:r>
      <w:r>
        <w:rPr>
          <w:rStyle w:val="CharDivText"/>
        </w:rPr>
        <w:t> </w:t>
      </w:r>
      <w:r>
        <w:rPr>
          <w:rStyle w:val="CharPartText"/>
        </w:rPr>
        <w:t>Director’s powers to obtain information and entry to premises</w:t>
      </w:r>
      <w:bookmarkEnd w:id="126"/>
      <w:bookmarkEnd w:id="127"/>
      <w:bookmarkEnd w:id="128"/>
      <w:bookmarkEnd w:id="129"/>
      <w:bookmarkEnd w:id="130"/>
      <w:bookmarkEnd w:id="131"/>
      <w:bookmarkEnd w:id="132"/>
    </w:p>
    <w:p>
      <w:pPr>
        <w:pStyle w:val="Heading5"/>
        <w:rPr>
          <w:snapToGrid w:val="0"/>
        </w:rPr>
      </w:pPr>
      <w:bookmarkStart w:id="133" w:name="_Toc455412993"/>
      <w:r>
        <w:rPr>
          <w:rStyle w:val="CharSectno"/>
        </w:rPr>
        <w:t>59</w:t>
      </w:r>
      <w:r>
        <w:rPr>
          <w:snapToGrid w:val="0"/>
        </w:rPr>
        <w:t>.</w:t>
      </w:r>
      <w:r>
        <w:rPr>
          <w:snapToGrid w:val="0"/>
        </w:rPr>
        <w:tab/>
        <w:t>Restriction on powers</w:t>
      </w:r>
      <w:bookmarkEnd w:id="133"/>
    </w:p>
    <w:p>
      <w:pPr>
        <w:pStyle w:val="Subsection"/>
        <w:rPr>
          <w:snapToGrid w:val="0"/>
        </w:rPr>
      </w:pPr>
      <w:r>
        <w:rPr>
          <w:snapToGrid w:val="0"/>
        </w:rPr>
        <w:tab/>
      </w:r>
      <w:r>
        <w:rPr>
          <w:snapToGrid w:val="0"/>
        </w:rPr>
        <w:tab/>
        <w:t xml:space="preserve">The Director may exercise the powers in section 60, or apply for a warrant under section 63, for the purpose of an investigation </w:t>
      </w:r>
      <w:r>
        <w:t>of a complaint or under section</w:t>
      </w:r>
      <w:r>
        <w:rPr>
          <w:snapToGrid w:val="0"/>
        </w:rPr>
        <w:t xml:space="preserve"> 45 or 56(3), but not otherwise.</w:t>
      </w:r>
    </w:p>
    <w:p>
      <w:pPr>
        <w:pStyle w:val="Footnotesection"/>
        <w:spacing w:before="100"/>
        <w:ind w:left="890" w:hanging="890"/>
      </w:pPr>
      <w:r>
        <w:tab/>
        <w:t>[Section 59 amended by No. 33 of 2010 s. 26.]</w:t>
      </w:r>
    </w:p>
    <w:p>
      <w:pPr>
        <w:pStyle w:val="Heading5"/>
        <w:rPr>
          <w:snapToGrid w:val="0"/>
        </w:rPr>
      </w:pPr>
      <w:bookmarkStart w:id="134" w:name="_Toc455412994"/>
      <w:r>
        <w:rPr>
          <w:rStyle w:val="CharSectno"/>
        </w:rPr>
        <w:t>60</w:t>
      </w:r>
      <w:r>
        <w:rPr>
          <w:snapToGrid w:val="0"/>
        </w:rPr>
        <w:t>.</w:t>
      </w:r>
      <w:r>
        <w:rPr>
          <w:snapToGrid w:val="0"/>
        </w:rPr>
        <w:tab/>
        <w:t>Power to summons etc.</w:t>
      </w:r>
      <w:bookmarkEnd w:id="134"/>
    </w:p>
    <w:p>
      <w:pPr>
        <w:pStyle w:val="Subsection"/>
        <w:keepNext/>
        <w:rPr>
          <w:snapToGrid w:val="0"/>
        </w:rPr>
      </w:pPr>
      <w:r>
        <w:rPr>
          <w:snapToGrid w:val="0"/>
        </w:rPr>
        <w:tab/>
        <w:t>(1)</w:t>
      </w:r>
      <w:r>
        <w:rPr>
          <w:snapToGrid w:val="0"/>
        </w:rPr>
        <w:tab/>
        <w:t>The Director may —</w:t>
      </w:r>
    </w:p>
    <w:p>
      <w:pPr>
        <w:pStyle w:val="Indenta"/>
        <w:spacing w:before="60"/>
        <w:rPr>
          <w:snapToGrid w:val="0"/>
        </w:rPr>
      </w:pPr>
      <w:r>
        <w:rPr>
          <w:snapToGrid w:val="0"/>
        </w:rPr>
        <w:tab/>
        <w:t>(a)</w:t>
      </w:r>
      <w:r>
        <w:rPr>
          <w:snapToGrid w:val="0"/>
        </w:rPr>
        <w:tab/>
        <w:t>by notice in writing given to a person require the attendance of the person at a place and time specified in the notice;</w:t>
      </w:r>
    </w:p>
    <w:p>
      <w:pPr>
        <w:pStyle w:val="Indenta"/>
        <w:spacing w:before="60"/>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w:t>
      </w:r>
    </w:p>
    <w:p>
      <w:pPr>
        <w:pStyle w:val="Indenta"/>
        <w:spacing w:before="60"/>
        <w:rPr>
          <w:snapToGrid w:val="0"/>
        </w:rPr>
      </w:pPr>
      <w:r>
        <w:rPr>
          <w:snapToGrid w:val="0"/>
        </w:rPr>
        <w:tab/>
        <w:t>(a)</w:t>
      </w:r>
      <w:r>
        <w:rPr>
          <w:snapToGrid w:val="0"/>
        </w:rPr>
        <w:tab/>
        <w:t>require a person who appears to take an oath or make an affirmation; and</w:t>
      </w:r>
    </w:p>
    <w:p>
      <w:pPr>
        <w:pStyle w:val="Indenta"/>
        <w:spacing w:before="60"/>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135" w:name="_Toc455412995"/>
      <w:r>
        <w:rPr>
          <w:rStyle w:val="CharSectno"/>
        </w:rPr>
        <w:t>61</w:t>
      </w:r>
      <w:r>
        <w:rPr>
          <w:snapToGrid w:val="0"/>
        </w:rPr>
        <w:t>.</w:t>
      </w:r>
      <w:r>
        <w:rPr>
          <w:snapToGrid w:val="0"/>
        </w:rPr>
        <w:tab/>
        <w:t>False statements</w:t>
      </w:r>
      <w:bookmarkEnd w:id="135"/>
    </w:p>
    <w:p>
      <w:pPr>
        <w:pStyle w:val="Subsection"/>
        <w:rPr>
          <w:snapToGrid w:val="0"/>
        </w:rPr>
      </w:pPr>
      <w:r>
        <w:rPr>
          <w:snapToGrid w:val="0"/>
        </w:rPr>
        <w:tab/>
      </w:r>
      <w:r>
        <w:rPr>
          <w:snapToGrid w:val="0"/>
        </w:rPr>
        <w:tab/>
        <w:t xml:space="preserve">A person must not make a statement or give any information or answer for the purposes of an investigation </w:t>
      </w:r>
      <w:r>
        <w:t>of a complaint or under section</w:t>
      </w:r>
      <w:r>
        <w:rPr>
          <w:snapToGrid w:val="0"/>
        </w:rPr>
        <w:t xml:space="preserve"> 45 or 56(3) that the person knows to be false or misleading in a material respect.</w:t>
      </w:r>
    </w:p>
    <w:p>
      <w:pPr>
        <w:pStyle w:val="Penstart"/>
        <w:rPr>
          <w:snapToGrid w:val="0"/>
        </w:rPr>
      </w:pPr>
      <w:r>
        <w:rPr>
          <w:snapToGrid w:val="0"/>
        </w:rPr>
        <w:tab/>
        <w:t>Penalty: $2 500.</w:t>
      </w:r>
    </w:p>
    <w:p>
      <w:pPr>
        <w:pStyle w:val="Footnotesection"/>
      </w:pPr>
      <w:r>
        <w:tab/>
        <w:t>[Section 61 amended by No. 33 of 2010 s. 27.]</w:t>
      </w:r>
    </w:p>
    <w:p>
      <w:pPr>
        <w:pStyle w:val="Heading5"/>
        <w:rPr>
          <w:snapToGrid w:val="0"/>
        </w:rPr>
      </w:pPr>
      <w:bookmarkStart w:id="136" w:name="_Toc455412996"/>
      <w:r>
        <w:rPr>
          <w:rStyle w:val="CharSectno"/>
        </w:rPr>
        <w:t>62</w:t>
      </w:r>
      <w:r>
        <w:rPr>
          <w:snapToGrid w:val="0"/>
        </w:rPr>
        <w:t>.</w:t>
      </w:r>
      <w:r>
        <w:rPr>
          <w:snapToGrid w:val="0"/>
        </w:rPr>
        <w:tab/>
        <w:t>Failure to attend, take oath etc.</w:t>
      </w:r>
      <w:bookmarkEnd w:id="136"/>
    </w:p>
    <w:p>
      <w:pPr>
        <w:pStyle w:val="Subsection"/>
        <w:keepNext/>
        <w:rPr>
          <w:snapToGrid w:val="0"/>
        </w:rPr>
      </w:pPr>
      <w:r>
        <w:rPr>
          <w:snapToGrid w:val="0"/>
        </w:rPr>
        <w:tab/>
        <w:t>(1)</w:t>
      </w:r>
      <w:r>
        <w:rPr>
          <w:snapToGrid w:val="0"/>
        </w:rPr>
        <w:tab/>
        <w:t>A person must not, without lawful excuse, refuse or fail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137" w:name="_Toc455412997"/>
      <w:r>
        <w:rPr>
          <w:rStyle w:val="CharSectno"/>
        </w:rPr>
        <w:t>63</w:t>
      </w:r>
      <w:r>
        <w:rPr>
          <w:snapToGrid w:val="0"/>
        </w:rPr>
        <w:t>.</w:t>
      </w:r>
      <w:r>
        <w:rPr>
          <w:snapToGrid w:val="0"/>
        </w:rPr>
        <w:tab/>
        <w:t>Application for warrant to enter premises etc.</w:t>
      </w:r>
      <w:bookmarkEnd w:id="137"/>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grounds for seeking the warrant; and</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138" w:name="_Toc455412998"/>
      <w:r>
        <w:rPr>
          <w:rStyle w:val="CharSectno"/>
        </w:rPr>
        <w:t>64</w:t>
      </w:r>
      <w:r>
        <w:rPr>
          <w:snapToGrid w:val="0"/>
        </w:rPr>
        <w:t>.</w:t>
      </w:r>
      <w:r>
        <w:rPr>
          <w:snapToGrid w:val="0"/>
        </w:rPr>
        <w:tab/>
        <w:t>Issue of warrant</w:t>
      </w:r>
      <w:bookmarkEnd w:id="138"/>
    </w:p>
    <w:p>
      <w:pPr>
        <w:pStyle w:val="Subsection"/>
        <w:rPr>
          <w:snapToGrid w:val="0"/>
        </w:rPr>
      </w:pPr>
      <w:r>
        <w:rPr>
          <w:snapToGrid w:val="0"/>
        </w:rPr>
        <w:tab/>
        <w:t>(1)</w:t>
      </w:r>
      <w:r>
        <w:rPr>
          <w:snapToGrid w:val="0"/>
        </w:rPr>
        <w:tab/>
        <w:t xml:space="preserve">A magistrate to whom an application is made under section 63 may issue a warrant, if satisfied that there are reasonable grounds for believing that entry and inspection of the premises are necessary for the purposes of an investigation </w:t>
      </w:r>
      <w:r>
        <w:t>of a complaint or under section</w:t>
      </w:r>
      <w:r>
        <w:rPr>
          <w:snapToGrid w:val="0"/>
        </w:rPr>
        <w:t xml:space="preserve">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w:t>
      </w:r>
    </w:p>
    <w:p>
      <w:pPr>
        <w:pStyle w:val="Indenta"/>
        <w:rPr>
          <w:snapToGrid w:val="0"/>
        </w:rPr>
      </w:pPr>
      <w:r>
        <w:rPr>
          <w:snapToGrid w:val="0"/>
        </w:rPr>
        <w:tab/>
        <w:t>(a)</w:t>
      </w:r>
      <w:r>
        <w:rPr>
          <w:snapToGrid w:val="0"/>
        </w:rPr>
        <w:tab/>
        <w:t>to enter and inspect premises named in the warrant; and</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take with him or her such persons as are necessary for exercising the powers conferred by this section; and</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 and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64 amended by No. 33 of 2010 s. 28.]</w:t>
      </w:r>
    </w:p>
    <w:p>
      <w:pPr>
        <w:pStyle w:val="Heading5"/>
        <w:rPr>
          <w:snapToGrid w:val="0"/>
        </w:rPr>
      </w:pPr>
      <w:bookmarkStart w:id="139" w:name="_Toc455412999"/>
      <w:r>
        <w:rPr>
          <w:rStyle w:val="CharSectno"/>
        </w:rPr>
        <w:t>65</w:t>
      </w:r>
      <w:r>
        <w:rPr>
          <w:snapToGrid w:val="0"/>
        </w:rPr>
        <w:t>.</w:t>
      </w:r>
      <w:r>
        <w:rPr>
          <w:snapToGrid w:val="0"/>
        </w:rPr>
        <w:tab/>
        <w:t>Execution of warrant</w:t>
      </w:r>
      <w:bookmarkEnd w:id="139"/>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 or</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5"/>
        <w:rPr>
          <w:snapToGrid w:val="0"/>
        </w:rPr>
      </w:pPr>
      <w:bookmarkStart w:id="140" w:name="_Toc455413000"/>
      <w:r>
        <w:rPr>
          <w:rStyle w:val="CharSectno"/>
        </w:rPr>
        <w:t>66</w:t>
      </w:r>
      <w:r>
        <w:rPr>
          <w:snapToGrid w:val="0"/>
        </w:rPr>
        <w:t>.</w:t>
      </w:r>
      <w:r>
        <w:rPr>
          <w:snapToGrid w:val="0"/>
        </w:rPr>
        <w:tab/>
        <w:t>Offences relating to warrants</w:t>
      </w:r>
      <w:bookmarkEnd w:id="140"/>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141" w:name="_Toc455413001"/>
      <w:r>
        <w:rPr>
          <w:rStyle w:val="CharSectno"/>
        </w:rPr>
        <w:t>67</w:t>
      </w:r>
      <w:r>
        <w:rPr>
          <w:snapToGrid w:val="0"/>
        </w:rPr>
        <w:t>.</w:t>
      </w:r>
      <w:r>
        <w:rPr>
          <w:snapToGrid w:val="0"/>
        </w:rPr>
        <w:tab/>
        <w:t>Information etc. that may be withheld</w:t>
      </w:r>
      <w:bookmarkEnd w:id="141"/>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 or</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w:t>
      </w:r>
    </w:p>
    <w:p>
      <w:pPr>
        <w:pStyle w:val="Defstart"/>
        <w:keepNext/>
      </w:pPr>
      <w:r>
        <w:rPr>
          <w:b/>
        </w:rPr>
        <w:tab/>
      </w:r>
      <w:r>
        <w:rPr>
          <w:rStyle w:val="CharDefText"/>
        </w:rPr>
        <w:t>person’s representative</w:t>
      </w:r>
      <w:r>
        <w:t xml:space="preserve"> means —</w:t>
      </w:r>
    </w:p>
    <w:p>
      <w:pPr>
        <w:pStyle w:val="Defpara"/>
      </w:pPr>
      <w:r>
        <w:tab/>
        <w:t>(a)</w:t>
      </w:r>
      <w:r>
        <w:tab/>
        <w:t>a representative recognized under section 20; or</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142" w:name="_Toc419461350"/>
      <w:bookmarkStart w:id="143" w:name="_Toc435776486"/>
      <w:bookmarkStart w:id="144" w:name="_Toc435776591"/>
      <w:bookmarkStart w:id="145" w:name="_Toc435776856"/>
      <w:bookmarkStart w:id="146" w:name="_Toc436059423"/>
      <w:bookmarkStart w:id="147" w:name="_Toc452545350"/>
      <w:bookmarkStart w:id="148" w:name="_Toc455413002"/>
      <w:r>
        <w:rPr>
          <w:rStyle w:val="CharPartNo"/>
        </w:rPr>
        <w:t>Part 5</w:t>
      </w:r>
      <w:r>
        <w:rPr>
          <w:rStyle w:val="CharDivNo"/>
        </w:rPr>
        <w:t> </w:t>
      </w:r>
      <w:r>
        <w:t>—</w:t>
      </w:r>
      <w:r>
        <w:rPr>
          <w:rStyle w:val="CharDivText"/>
        </w:rPr>
        <w:t> </w:t>
      </w:r>
      <w:r>
        <w:rPr>
          <w:rStyle w:val="CharPartText"/>
        </w:rPr>
        <w:t>General</w:t>
      </w:r>
      <w:bookmarkEnd w:id="142"/>
      <w:bookmarkEnd w:id="143"/>
      <w:bookmarkEnd w:id="144"/>
      <w:bookmarkEnd w:id="145"/>
      <w:bookmarkEnd w:id="146"/>
      <w:bookmarkEnd w:id="147"/>
      <w:bookmarkEnd w:id="148"/>
    </w:p>
    <w:p>
      <w:pPr>
        <w:pStyle w:val="Heading5"/>
        <w:rPr>
          <w:snapToGrid w:val="0"/>
        </w:rPr>
      </w:pPr>
      <w:bookmarkStart w:id="149" w:name="_Toc455413003"/>
      <w:r>
        <w:rPr>
          <w:rStyle w:val="CharSectno"/>
        </w:rPr>
        <w:t>68</w:t>
      </w:r>
      <w:r>
        <w:rPr>
          <w:snapToGrid w:val="0"/>
        </w:rPr>
        <w:t>.</w:t>
      </w:r>
      <w:r>
        <w:rPr>
          <w:snapToGrid w:val="0"/>
        </w:rPr>
        <w:tab/>
        <w:t>Register of complaints</w:t>
      </w:r>
      <w:bookmarkEnd w:id="149"/>
    </w:p>
    <w:p>
      <w:pPr>
        <w:pStyle w:val="Subsection"/>
        <w:keepNext/>
        <w:rPr>
          <w:snapToGrid w:val="0"/>
        </w:rPr>
      </w:pPr>
      <w:r>
        <w:rPr>
          <w:snapToGrid w:val="0"/>
        </w:rPr>
        <w:tab/>
        <w:t>(1)</w:t>
      </w:r>
      <w:r>
        <w:rPr>
          <w:snapToGrid w:val="0"/>
        </w:rPr>
        <w:tab/>
        <w:t>The Director is to establish and maintain a register of —</w:t>
      </w:r>
    </w:p>
    <w:p>
      <w:pPr>
        <w:pStyle w:val="Indenta"/>
        <w:spacing w:before="60"/>
        <w:rPr>
          <w:snapToGrid w:val="0"/>
        </w:rPr>
      </w:pPr>
      <w:r>
        <w:rPr>
          <w:snapToGrid w:val="0"/>
        </w:rPr>
        <w:tab/>
        <w:t>(a)</w:t>
      </w:r>
      <w:r>
        <w:rPr>
          <w:snapToGrid w:val="0"/>
        </w:rPr>
        <w:tab/>
        <w:t>complaints made under Part 3; and</w:t>
      </w:r>
    </w:p>
    <w:p>
      <w:pPr>
        <w:pStyle w:val="Indenta"/>
        <w:spacing w:before="60"/>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w:t>
      </w:r>
    </w:p>
    <w:p>
      <w:pPr>
        <w:pStyle w:val="Indenta"/>
        <w:spacing w:before="60"/>
        <w:rPr>
          <w:snapToGrid w:val="0"/>
        </w:rPr>
      </w:pPr>
      <w:r>
        <w:rPr>
          <w:snapToGrid w:val="0"/>
        </w:rPr>
        <w:tab/>
        <w:t>(a)</w:t>
      </w:r>
      <w:r>
        <w:rPr>
          <w:snapToGrid w:val="0"/>
        </w:rPr>
        <w:tab/>
        <w:t>by making entries in or on a bound or loose</w:t>
      </w:r>
      <w:r>
        <w:rPr>
          <w:snapToGrid w:val="0"/>
        </w:rPr>
        <w:noBreakHyphen/>
        <w:t>leaf book; or</w:t>
      </w:r>
    </w:p>
    <w:p>
      <w:pPr>
        <w:pStyle w:val="Indenta"/>
        <w:spacing w:before="60"/>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w:t>
      </w:r>
    </w:p>
    <w:p>
      <w:pPr>
        <w:pStyle w:val="Indenti"/>
        <w:spacing w:before="60"/>
        <w:rPr>
          <w:snapToGrid w:val="0"/>
        </w:rPr>
      </w:pPr>
      <w:r>
        <w:rPr>
          <w:snapToGrid w:val="0"/>
        </w:rPr>
        <w:tab/>
        <w:t>(i)</w:t>
      </w:r>
      <w:r>
        <w:rPr>
          <w:snapToGrid w:val="0"/>
        </w:rPr>
        <w:tab/>
        <w:t>will remain in the form in which they were originally recorded or stored; and</w:t>
      </w:r>
    </w:p>
    <w:p>
      <w:pPr>
        <w:pStyle w:val="Indenti"/>
        <w:spacing w:before="60"/>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150" w:name="_Toc455413004"/>
      <w:r>
        <w:rPr>
          <w:rStyle w:val="CharSectno"/>
        </w:rPr>
        <w:t>69</w:t>
      </w:r>
      <w:r>
        <w:rPr>
          <w:snapToGrid w:val="0"/>
        </w:rPr>
        <w:t>.</w:t>
      </w:r>
      <w:r>
        <w:rPr>
          <w:snapToGrid w:val="0"/>
        </w:rPr>
        <w:tab/>
        <w:t>Protection of Director etc. from personal liability</w:t>
      </w:r>
      <w:bookmarkEnd w:id="150"/>
    </w:p>
    <w:p>
      <w:pPr>
        <w:pStyle w:val="Subsection"/>
        <w:spacing w:before="150"/>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spacing w:before="15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50"/>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151" w:name="_Toc455413005"/>
      <w:r>
        <w:rPr>
          <w:rStyle w:val="CharSectno"/>
        </w:rPr>
        <w:t>70</w:t>
      </w:r>
      <w:r>
        <w:rPr>
          <w:snapToGrid w:val="0"/>
        </w:rPr>
        <w:t>.</w:t>
      </w:r>
      <w:r>
        <w:rPr>
          <w:snapToGrid w:val="0"/>
        </w:rPr>
        <w:tab/>
        <w:t>Protection of other persons</w:t>
      </w:r>
      <w:bookmarkEnd w:id="151"/>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152" w:name="_Toc455413006"/>
      <w:r>
        <w:rPr>
          <w:rStyle w:val="CharSectno"/>
        </w:rPr>
        <w:t>71</w:t>
      </w:r>
      <w:r>
        <w:rPr>
          <w:snapToGrid w:val="0"/>
        </w:rPr>
        <w:t>.</w:t>
      </w:r>
      <w:r>
        <w:rPr>
          <w:snapToGrid w:val="0"/>
        </w:rPr>
        <w:tab/>
        <w:t>Confidentiality</w:t>
      </w:r>
      <w:bookmarkEnd w:id="152"/>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law; or</w:t>
      </w:r>
    </w:p>
    <w:p>
      <w:pPr>
        <w:pStyle w:val="Indenta"/>
        <w:rPr>
          <w:snapToGrid w:val="0"/>
        </w:rPr>
      </w:pPr>
      <w:r>
        <w:rPr>
          <w:snapToGrid w:val="0"/>
        </w:rPr>
        <w:tab/>
        <w:t>(c)</w:t>
      </w:r>
      <w:r>
        <w:rPr>
          <w:snapToGrid w:val="0"/>
        </w:rPr>
        <w:tab/>
        <w:t>for the purpose of proceedings for an offence against this Act; or</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pPr>
        <w:pStyle w:val="Footnotesection"/>
      </w:pPr>
      <w:r>
        <w:tab/>
        <w:t>[Section 71 amended by No. 35 of 2010 s. 90.]</w:t>
      </w:r>
    </w:p>
    <w:p>
      <w:pPr>
        <w:pStyle w:val="Heading5"/>
        <w:rPr>
          <w:snapToGrid w:val="0"/>
        </w:rPr>
      </w:pPr>
      <w:bookmarkStart w:id="153" w:name="_Toc455413007"/>
      <w:r>
        <w:rPr>
          <w:rStyle w:val="CharSectno"/>
        </w:rPr>
        <w:t>72</w:t>
      </w:r>
      <w:r>
        <w:rPr>
          <w:snapToGrid w:val="0"/>
        </w:rPr>
        <w:t>.</w:t>
      </w:r>
      <w:r>
        <w:rPr>
          <w:snapToGrid w:val="0"/>
        </w:rPr>
        <w:tab/>
        <w:t>False statements</w:t>
      </w:r>
      <w:bookmarkEnd w:id="153"/>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154" w:name="_Toc455413008"/>
      <w:r>
        <w:rPr>
          <w:rStyle w:val="CharSectno"/>
        </w:rPr>
        <w:t>73</w:t>
      </w:r>
      <w:r>
        <w:rPr>
          <w:snapToGrid w:val="0"/>
        </w:rPr>
        <w:t>.</w:t>
      </w:r>
      <w:r>
        <w:rPr>
          <w:snapToGrid w:val="0"/>
        </w:rPr>
        <w:tab/>
        <w:t>Person not to be threatened etc. because of complaining to Director</w:t>
      </w:r>
      <w:bookmarkEnd w:id="154"/>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155" w:name="_Toc455413009"/>
      <w:r>
        <w:rPr>
          <w:rStyle w:val="CharSectno"/>
        </w:rPr>
        <w:t>74</w:t>
      </w:r>
      <w:r>
        <w:rPr>
          <w:snapToGrid w:val="0"/>
        </w:rPr>
        <w:t>.</w:t>
      </w:r>
      <w:r>
        <w:rPr>
          <w:snapToGrid w:val="0"/>
        </w:rPr>
        <w:tab/>
        <w:t xml:space="preserve">Application of </w:t>
      </w:r>
      <w:r>
        <w:rPr>
          <w:i/>
          <w:iCs/>
          <w:snapToGrid w:val="0"/>
        </w:rPr>
        <w:t>Parliamentary Commissioner Act 1971</w:t>
      </w:r>
      <w:bookmarkEnd w:id="155"/>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156" w:name="_Toc455413010"/>
      <w:r>
        <w:rPr>
          <w:rStyle w:val="CharSectno"/>
        </w:rPr>
        <w:t>75</w:t>
      </w:r>
      <w:r>
        <w:rPr>
          <w:snapToGrid w:val="0"/>
        </w:rPr>
        <w:t>.</w:t>
      </w:r>
      <w:r>
        <w:rPr>
          <w:snapToGrid w:val="0"/>
        </w:rPr>
        <w:tab/>
        <w:t>Prescribed provider must give certain information</w:t>
      </w:r>
      <w:bookmarkEnd w:id="156"/>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157" w:name="_Toc455413011"/>
      <w:r>
        <w:rPr>
          <w:rStyle w:val="CharSectno"/>
        </w:rPr>
        <w:t>76</w:t>
      </w:r>
      <w:r>
        <w:rPr>
          <w:snapToGrid w:val="0"/>
        </w:rPr>
        <w:t>.</w:t>
      </w:r>
      <w:r>
        <w:rPr>
          <w:snapToGrid w:val="0"/>
        </w:rPr>
        <w:tab/>
        <w:t>Prosecutions</w:t>
      </w:r>
      <w:bookmarkEnd w:id="157"/>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158" w:name="_Toc455413012"/>
      <w:r>
        <w:rPr>
          <w:rStyle w:val="CharSectno"/>
        </w:rPr>
        <w:t>77</w:t>
      </w:r>
      <w:r>
        <w:rPr>
          <w:snapToGrid w:val="0"/>
        </w:rPr>
        <w:t>.</w:t>
      </w:r>
      <w:r>
        <w:rPr>
          <w:snapToGrid w:val="0"/>
        </w:rPr>
        <w:tab/>
        <w:t>Regulations</w:t>
      </w:r>
      <w:bookmarkEnd w:id="158"/>
    </w:p>
    <w:p>
      <w:pPr>
        <w:pStyle w:val="Subsection"/>
        <w:keepNext/>
        <w:spacing w:before="120"/>
        <w:rPr>
          <w:snapToGrid w:val="0"/>
        </w:rPr>
      </w:pPr>
      <w:r>
        <w:rPr>
          <w:snapToGrid w:val="0"/>
        </w:rPr>
        <w:tab/>
      </w:r>
      <w:r>
        <w:rPr>
          <w:snapToGrid w:val="0"/>
        </w:rPr>
        <w:tab/>
        <w:t>The Governor may make regulations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 and</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159" w:name="_Toc455413013"/>
      <w:r>
        <w:rPr>
          <w:rStyle w:val="CharSectno"/>
        </w:rPr>
        <w:t>78</w:t>
      </w:r>
      <w:r>
        <w:rPr>
          <w:snapToGrid w:val="0"/>
        </w:rPr>
        <w:t>.</w:t>
      </w:r>
      <w:r>
        <w:rPr>
          <w:snapToGrid w:val="0"/>
        </w:rPr>
        <w:tab/>
        <w:t>Transitional provision</w:t>
      </w:r>
      <w:bookmarkEnd w:id="159"/>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pPr>
      <w:bookmarkStart w:id="160" w:name="_Toc455413014"/>
      <w:r>
        <w:rPr>
          <w:rStyle w:val="CharSectno"/>
        </w:rPr>
        <w:t>79</w:t>
      </w:r>
      <w:r>
        <w:t>.</w:t>
      </w:r>
      <w:r>
        <w:tab/>
        <w:t>Review of Act</w:t>
      </w:r>
      <w:bookmarkEnd w:id="160"/>
    </w:p>
    <w:p>
      <w:pPr>
        <w:pStyle w:val="Subsection"/>
      </w:pPr>
      <w:r>
        <w:tab/>
        <w:t>(1)</w:t>
      </w:r>
      <w:r>
        <w:tab/>
        <w:t>The Minister must carry out a review of, and prepare a report on, the operation and effectiveness of —</w:t>
      </w:r>
    </w:p>
    <w:p>
      <w:pPr>
        <w:pStyle w:val="Indenta"/>
      </w:pPr>
      <w:r>
        <w:tab/>
        <w:t>(a)</w:t>
      </w:r>
      <w:r>
        <w:tab/>
        <w:t>this Act; and</w:t>
      </w:r>
    </w:p>
    <w:p>
      <w:pPr>
        <w:pStyle w:val="Indenta"/>
      </w:pPr>
      <w:r>
        <w:tab/>
        <w:t>(b)</w:t>
      </w:r>
      <w:r>
        <w:tab/>
        <w:t xml:space="preserve">the </w:t>
      </w:r>
      <w:r>
        <w:rPr>
          <w:i/>
        </w:rPr>
        <w:t>Disability Services Act 1993</w:t>
      </w:r>
      <w:r>
        <w:t xml:space="preserve"> Part 6,</w:t>
      </w:r>
    </w:p>
    <w:p>
      <w:pPr>
        <w:pStyle w:val="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Subsection"/>
      </w:pPr>
      <w:r>
        <w:tab/>
        <w:t>(2)</w:t>
      </w:r>
      <w:r>
        <w:tab/>
        <w:t>The Minister must cause the report to be laid before each House of Parliament as soon as practicable after it is prepared.</w:t>
      </w:r>
    </w:p>
    <w:p>
      <w:pPr>
        <w:pStyle w:val="Footnotesection"/>
        <w:rPr>
          <w:snapToGrid/>
        </w:rPr>
      </w:pPr>
      <w:r>
        <w:rPr>
          <w:snapToGrid/>
        </w:rPr>
        <w:tab/>
        <w:t>[Section 79 inserted by No. 33 of 2010 s. 29.]</w:t>
      </w:r>
    </w:p>
    <w:p>
      <w:pPr>
        <w:pStyle w:val="Heading5"/>
      </w:pPr>
      <w:bookmarkStart w:id="161" w:name="_Toc455413015"/>
      <w:r>
        <w:rPr>
          <w:rStyle w:val="CharSectno"/>
        </w:rPr>
        <w:t>80</w:t>
      </w:r>
      <w:r>
        <w:t>.</w:t>
      </w:r>
      <w:r>
        <w:tab/>
        <w:t>Transitional provisions</w:t>
      </w:r>
      <w:bookmarkEnd w:id="161"/>
    </w:p>
    <w:p>
      <w:pPr>
        <w:pStyle w:val="Subsection"/>
      </w:pPr>
      <w:r>
        <w:tab/>
        <w:t>(1)</w:t>
      </w:r>
      <w:r>
        <w:tab/>
        <w:t>A reference in any written law or other document to the Director of the Office of Health Review is to be taken to be a reference to the Director.</w:t>
      </w:r>
    </w:p>
    <w:p>
      <w:pPr>
        <w:pStyle w:val="Subsection"/>
      </w:pPr>
      <w:r>
        <w:tab/>
        <w:t>(2)</w:t>
      </w:r>
      <w:r>
        <w:tab/>
        <w:t>A reference in any written law or other document to the Office of Health Review is to be taken to be a reference to the Office.</w:t>
      </w:r>
    </w:p>
    <w:p>
      <w:pPr>
        <w:pStyle w:val="Footnotesection"/>
        <w:rPr>
          <w:snapToGrid/>
        </w:rPr>
      </w:pPr>
      <w:r>
        <w:rPr>
          <w:snapToGrid/>
        </w:rPr>
        <w:tab/>
        <w:t>[Section 80 inserted by No. 33 of 2010 s. 30.]</w:t>
      </w:r>
    </w:p>
    <w:p>
      <w:pPr>
        <w:rPr>
          <w:rStyle w:val="CharDivText"/>
        </w:rPr>
        <w:sectPr>
          <w:headerReference w:type="even" r:id="rId21"/>
          <w:headerReference w:type="default" r:id="rId22"/>
          <w:footerReference w:type="default" r:id="rId23"/>
          <w:headerReference w:type="first" r:id="rId24"/>
          <w:pgSz w:w="11907" w:h="16840" w:code="9"/>
          <w:pgMar w:top="2376" w:right="2404" w:bottom="3544" w:left="2404" w:header="709" w:footer="3380" w:gutter="0"/>
          <w:pgNumType w:start="1"/>
          <w:cols w:space="720"/>
          <w:noEndnote/>
          <w:titlePg/>
          <w:docGrid w:linePitch="326"/>
        </w:sectPr>
      </w:pPr>
    </w:p>
    <w:p>
      <w:pPr>
        <w:pStyle w:val="yScheduleHeading"/>
      </w:pPr>
      <w:bookmarkStart w:id="162" w:name="_Toc419461364"/>
      <w:bookmarkStart w:id="163" w:name="_Toc435776500"/>
      <w:bookmarkStart w:id="164" w:name="_Toc435776605"/>
      <w:bookmarkStart w:id="165" w:name="_Toc435776870"/>
      <w:bookmarkStart w:id="166" w:name="_Toc436059437"/>
      <w:bookmarkStart w:id="167" w:name="_Toc452545364"/>
      <w:bookmarkStart w:id="168" w:name="_Toc455413016"/>
      <w:r>
        <w:rPr>
          <w:rStyle w:val="CharSchNo"/>
        </w:rPr>
        <w:t>Schedule 1</w:t>
      </w:r>
      <w:r>
        <w:t> — </w:t>
      </w:r>
      <w:r>
        <w:rPr>
          <w:rStyle w:val="CharSchText"/>
        </w:rPr>
        <w:t>Registration Boards</w:t>
      </w:r>
      <w:bookmarkEnd w:id="162"/>
      <w:bookmarkEnd w:id="163"/>
      <w:bookmarkEnd w:id="164"/>
      <w:bookmarkEnd w:id="165"/>
      <w:bookmarkEnd w:id="166"/>
      <w:bookmarkEnd w:id="167"/>
      <w:bookmarkEnd w:id="168"/>
    </w:p>
    <w:p>
      <w:pPr>
        <w:pStyle w:val="yShoulderClause"/>
        <w:spacing w:before="60"/>
        <w:rPr>
          <w:snapToGrid w:val="0"/>
        </w:rPr>
      </w:pPr>
      <w:r>
        <w:rPr>
          <w:snapToGrid w:val="0"/>
        </w:rPr>
        <w:t>[s. 3]</w:t>
      </w:r>
    </w:p>
    <w:p>
      <w:pPr>
        <w:pStyle w:val="yFootnoteheading"/>
        <w:spacing w:before="80"/>
        <w:rPr>
          <w:snapToGrid w:val="0"/>
        </w:rPr>
      </w:pPr>
      <w:r>
        <w:tab/>
        <w:t>[Heading amended by No. 19 of 2010 s. 4; No. 35 of 2010 s. 91(1).]</w:t>
      </w:r>
    </w:p>
    <w:p>
      <w:pPr>
        <w:pStyle w:val="yNumberedItem"/>
      </w:pPr>
      <w:r>
        <w:t>1.</w:t>
      </w:r>
      <w:r>
        <w:tab/>
        <w:t xml:space="preserve">Chiropractor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1a.</w:t>
      </w:r>
      <w:r>
        <w:tab/>
        <w:t xml:space="preserve">Aboriginal and Torres Strait Islander Health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1b.</w:t>
      </w:r>
      <w:r>
        <w:tab/>
        <w:t xml:space="preserve">Chinese Medicine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2.</w:t>
      </w:r>
      <w:r>
        <w:tab/>
        <w:t xml:space="preserve">Dental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3.</w:t>
      </w:r>
      <w:r>
        <w:tab/>
        <w:t xml:space="preserve">Medical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3a.</w:t>
      </w:r>
      <w:r>
        <w:tab/>
        <w:t xml:space="preserve">Medical Radiation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4.</w:t>
      </w:r>
      <w:r>
        <w:tab/>
        <w:t xml:space="preserve">Nursing and Midwifery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5.</w:t>
      </w:r>
      <w:r>
        <w:tab/>
        <w:t xml:space="preserve">Occupational Therapy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6.</w:t>
      </w:r>
      <w:r>
        <w:tab/>
        <w:t xml:space="preserve">Optometry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6a.</w:t>
      </w:r>
      <w:r>
        <w:tab/>
        <w:t xml:space="preserve">Osteopathy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7.</w:t>
      </w:r>
      <w:r>
        <w:tab/>
        <w:t xml:space="preserve">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8.</w:t>
      </w:r>
      <w:r>
        <w:tab/>
        <w:t xml:space="preserve">Physiotherapy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9.</w:t>
      </w:r>
      <w:r>
        <w:tab/>
        <w:t xml:space="preserve">Podiatry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10.</w:t>
      </w:r>
      <w:r>
        <w:tab/>
        <w:t xml:space="preserve">Psychology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Footnotesection"/>
      </w:pPr>
      <w:r>
        <w:tab/>
        <w:t xml:space="preserve">[Schedule 1 amended by No. 58 of 1997 s. 97; No. 28 of 2005 </w:t>
      </w:r>
      <w:r>
        <w:rPr>
          <w:iCs/>
          <w:noProof/>
        </w:rPr>
        <w:t>Sch. 3 cl. 6</w:t>
      </w:r>
      <w:r>
        <w:t xml:space="preserve">; No. 29 of 2005 </w:t>
      </w:r>
      <w:r>
        <w:rPr>
          <w:iCs/>
          <w:noProof/>
        </w:rPr>
        <w:t>Sch. 3 cl. 4</w:t>
      </w:r>
      <w:r>
        <w:t xml:space="preserve">; No. 30 of 2005 </w:t>
      </w:r>
      <w:r>
        <w:rPr>
          <w:iCs/>
          <w:noProof/>
        </w:rPr>
        <w:t>Sch. 3 cl. 4</w:t>
      </w:r>
      <w:r>
        <w:t xml:space="preserve">; No. 31 of 2005 </w:t>
      </w:r>
      <w:r>
        <w:rPr>
          <w:iCs/>
          <w:noProof/>
        </w:rPr>
        <w:t>Sch. 3 cl. 4</w:t>
      </w:r>
      <w:r>
        <w:t xml:space="preserve">; No. 32 of 2005 </w:t>
      </w:r>
      <w:r>
        <w:rPr>
          <w:iCs/>
          <w:noProof/>
        </w:rPr>
        <w:t>Sch. 3 cl. 4</w:t>
      </w:r>
      <w:r>
        <w:t xml:space="preserve">; No. 33 of 2005 </w:t>
      </w:r>
      <w:r>
        <w:rPr>
          <w:iCs/>
          <w:noProof/>
        </w:rPr>
        <w:t>Sch. 3 cl. 4(5)</w:t>
      </w:r>
      <w:r>
        <w:t xml:space="preserve">; No. 42 of 2005 </w:t>
      </w:r>
      <w:r>
        <w:rPr>
          <w:iCs/>
          <w:noProof/>
        </w:rPr>
        <w:t>Sch. 3 cl. 4</w:t>
      </w:r>
      <w:r>
        <w:t xml:space="preserve">; No. 21 of 2006 </w:t>
      </w:r>
      <w:r>
        <w:rPr>
          <w:iCs/>
          <w:noProof/>
        </w:rPr>
        <w:t>Sch. 3 cl. 4</w:t>
      </w:r>
      <w:r>
        <w:t xml:space="preserve">; No. 50 of 2006 </w:t>
      </w:r>
      <w:r>
        <w:rPr>
          <w:iCs/>
          <w:noProof/>
        </w:rPr>
        <w:t>Sch. 3 cl. 11</w:t>
      </w:r>
      <w:r>
        <w:t>; No. 22 of 2008 Sch. 3 cl. 26; No. 35 of 2010 s. 91.]</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70" w:name="_Toc419461365"/>
      <w:bookmarkStart w:id="171" w:name="_Toc435776501"/>
      <w:bookmarkStart w:id="172" w:name="_Toc435776606"/>
      <w:bookmarkStart w:id="173" w:name="_Toc435776871"/>
      <w:bookmarkStart w:id="174" w:name="_Toc436059438"/>
      <w:bookmarkStart w:id="175" w:name="_Toc452545365"/>
      <w:bookmarkStart w:id="176" w:name="_Toc455413017"/>
      <w:r>
        <w:rPr>
          <w:rStyle w:val="CharSchNo"/>
        </w:rPr>
        <w:t>Schedule 2</w:t>
      </w:r>
      <w:r>
        <w:t> — </w:t>
      </w:r>
      <w:r>
        <w:rPr>
          <w:rStyle w:val="CharSchText"/>
        </w:rPr>
        <w:t>Tenure, salary, conditions of service, etc., of Director</w:t>
      </w:r>
      <w:bookmarkEnd w:id="170"/>
      <w:bookmarkEnd w:id="171"/>
      <w:bookmarkEnd w:id="172"/>
      <w:bookmarkEnd w:id="173"/>
      <w:bookmarkEnd w:id="174"/>
      <w:bookmarkEnd w:id="175"/>
      <w:bookmarkEnd w:id="176"/>
    </w:p>
    <w:p>
      <w:pPr>
        <w:pStyle w:val="yShoulderClause"/>
        <w:rPr>
          <w:snapToGrid w:val="0"/>
        </w:rPr>
      </w:pPr>
      <w:r>
        <w:rPr>
          <w:snapToGrid w:val="0"/>
        </w:rPr>
        <w:t>[s. 8]</w:t>
      </w:r>
    </w:p>
    <w:p>
      <w:pPr>
        <w:pStyle w:val="yFootnoteheading"/>
      </w:pPr>
      <w:r>
        <w:tab/>
        <w:t>[Heading amended by No. 19 of 2010 s. 4.]</w:t>
      </w:r>
    </w:p>
    <w:p>
      <w:pPr>
        <w:pStyle w:val="yHeading5"/>
        <w:ind w:left="890" w:hanging="890"/>
        <w:outlineLvl w:val="9"/>
        <w:rPr>
          <w:snapToGrid w:val="0"/>
        </w:rPr>
      </w:pPr>
      <w:bookmarkStart w:id="177" w:name="_Toc455413018"/>
      <w:r>
        <w:rPr>
          <w:rStyle w:val="CharSClsNo"/>
        </w:rPr>
        <w:t>1</w:t>
      </w:r>
      <w:r>
        <w:rPr>
          <w:snapToGrid w:val="0"/>
        </w:rPr>
        <w:t>.</w:t>
      </w:r>
      <w:r>
        <w:rPr>
          <w:snapToGrid w:val="0"/>
        </w:rPr>
        <w:tab/>
        <w:t>Tenure of office</w:t>
      </w:r>
      <w:bookmarkEnd w:id="177"/>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178" w:name="_Toc455413019"/>
      <w:r>
        <w:rPr>
          <w:rStyle w:val="CharSClsNo"/>
        </w:rPr>
        <w:t>2</w:t>
      </w:r>
      <w:r>
        <w:rPr>
          <w:snapToGrid w:val="0"/>
        </w:rPr>
        <w:t>.</w:t>
      </w:r>
      <w:r>
        <w:rPr>
          <w:snapToGrid w:val="0"/>
        </w:rPr>
        <w:tab/>
        <w:t>Salary and entitlements</w:t>
      </w:r>
      <w:bookmarkEnd w:id="178"/>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w:t>
      </w:r>
    </w:p>
    <w:p>
      <w:pPr>
        <w:pStyle w:val="yIndenta"/>
        <w:rPr>
          <w:snapToGrid w:val="0"/>
        </w:rPr>
      </w:pPr>
      <w:r>
        <w:rPr>
          <w:snapToGrid w:val="0"/>
        </w:rPr>
        <w:tab/>
        <w:t>(a)</w:t>
      </w:r>
      <w:r>
        <w:rPr>
          <w:snapToGrid w:val="0"/>
        </w:rPr>
        <w:tab/>
        <w:t>is to be paid salary and allowances at such rates per annum as the Minister determines on the recommendation of the</w:t>
      </w:r>
      <w:r>
        <w:t xml:space="preserve"> Public Sector Commissioner</w:t>
      </w:r>
      <w:r>
        <w:rPr>
          <w:snapToGrid w:val="0"/>
        </w:rPr>
        <w: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Footnotesection"/>
      </w:pPr>
      <w:r>
        <w:tab/>
        <w:t>[Clause 2 amended by No. 39 of 2010 s. 89.]</w:t>
      </w:r>
    </w:p>
    <w:p>
      <w:pPr>
        <w:pStyle w:val="yHeading5"/>
        <w:ind w:left="890" w:hanging="890"/>
        <w:outlineLvl w:val="9"/>
        <w:rPr>
          <w:snapToGrid w:val="0"/>
        </w:rPr>
      </w:pPr>
      <w:bookmarkStart w:id="179" w:name="_Toc455413020"/>
      <w:r>
        <w:rPr>
          <w:rStyle w:val="CharSClsNo"/>
        </w:rPr>
        <w:t>3</w:t>
      </w:r>
      <w:r>
        <w:rPr>
          <w:snapToGrid w:val="0"/>
        </w:rPr>
        <w:t>.</w:t>
      </w:r>
      <w:r>
        <w:rPr>
          <w:snapToGrid w:val="0"/>
        </w:rPr>
        <w:tab/>
        <w:t>Superannuation</w:t>
      </w:r>
      <w:bookmarkEnd w:id="179"/>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bCs/>
          <w:i/>
          <w:iCs/>
          <w:snapToGrid w:val="0"/>
        </w:rPr>
        <w:t>department</w:t>
      </w:r>
      <w:r>
        <w:rPr>
          <w:snapToGrid w:val="0"/>
        </w:rPr>
        <w:t xml:space="preserve"> in section 6 of that Act.</w:t>
      </w:r>
    </w:p>
    <w:p>
      <w:pPr>
        <w:pStyle w:val="yHeading5"/>
        <w:ind w:left="890" w:hanging="890"/>
        <w:outlineLvl w:val="9"/>
        <w:rPr>
          <w:snapToGrid w:val="0"/>
        </w:rPr>
      </w:pPr>
      <w:bookmarkStart w:id="180" w:name="_Toc455413021"/>
      <w:r>
        <w:rPr>
          <w:rStyle w:val="CharSClsNo"/>
        </w:rPr>
        <w:t>4</w:t>
      </w:r>
      <w:r>
        <w:rPr>
          <w:snapToGrid w:val="0"/>
        </w:rPr>
        <w:t>.</w:t>
      </w:r>
      <w:r>
        <w:rPr>
          <w:snapToGrid w:val="0"/>
        </w:rPr>
        <w:tab/>
        <w:t>Appointment of public service officer</w:t>
      </w:r>
      <w:bookmarkEnd w:id="180"/>
    </w:p>
    <w:p>
      <w:pPr>
        <w:pStyle w:val="ySubsection"/>
        <w:keepNext/>
        <w:rPr>
          <w:snapToGrid w:val="0"/>
        </w:rPr>
      </w:pPr>
      <w:r>
        <w:rPr>
          <w:snapToGrid w:val="0"/>
        </w:rPr>
        <w:tab/>
        <w:t>(1)</w:t>
      </w:r>
      <w:r>
        <w:rPr>
          <w:snapToGrid w:val="0"/>
        </w:rPr>
        <w:tab/>
        <w:t>If a person occupied an office in the Public Service immediately before being appointed to the office of Director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181" w:name="_Toc455413022"/>
      <w:r>
        <w:rPr>
          <w:rStyle w:val="CharSClsNo"/>
        </w:rPr>
        <w:t>5</w:t>
      </w:r>
      <w:r>
        <w:rPr>
          <w:snapToGrid w:val="0"/>
        </w:rPr>
        <w:t>.</w:t>
      </w:r>
      <w:r>
        <w:rPr>
          <w:snapToGrid w:val="0"/>
        </w:rPr>
        <w:tab/>
        <w:t>Removal from office</w:t>
      </w:r>
      <w:bookmarkEnd w:id="181"/>
    </w:p>
    <w:p>
      <w:pPr>
        <w:pStyle w:val="ySubsection"/>
        <w:keepNext/>
        <w:rPr>
          <w:snapToGrid w:val="0"/>
        </w:rPr>
      </w:pPr>
      <w:r>
        <w:rPr>
          <w:snapToGrid w:val="0"/>
        </w:rPr>
        <w:tab/>
        <w:t>(1)</w:t>
      </w:r>
      <w:r>
        <w:rPr>
          <w:snapToGrid w:val="0"/>
        </w:rPr>
        <w:tab/>
        <w:t>The Governor may remove the Director from office —</w:t>
      </w:r>
    </w:p>
    <w:p>
      <w:pPr>
        <w:pStyle w:val="yIndenta"/>
        <w:keepNext/>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182" w:name="_Toc455413023"/>
      <w:r>
        <w:rPr>
          <w:rStyle w:val="CharSClsNo"/>
        </w:rPr>
        <w:t>6</w:t>
      </w:r>
      <w:r>
        <w:rPr>
          <w:snapToGrid w:val="0"/>
        </w:rPr>
        <w:t>.</w:t>
      </w:r>
      <w:r>
        <w:rPr>
          <w:snapToGrid w:val="0"/>
        </w:rPr>
        <w:tab/>
        <w:t>Other conditions of service</w:t>
      </w:r>
      <w:bookmarkEnd w:id="182"/>
    </w:p>
    <w:p>
      <w:pPr>
        <w:pStyle w:val="ySubsection"/>
        <w:rPr>
          <w:snapToGrid w:val="0"/>
        </w:rPr>
      </w:pPr>
      <w:r>
        <w:rPr>
          <w:snapToGrid w:val="0"/>
        </w:rPr>
        <w:tab/>
      </w:r>
      <w:r>
        <w:rPr>
          <w:snapToGrid w:val="0"/>
        </w:rPr>
        <w:tab/>
        <w:t>Subject to this Schedule, the Governor may, on the recommendation of the</w:t>
      </w:r>
      <w:r>
        <w:t xml:space="preserve"> Public Sector Commissioner</w:t>
      </w:r>
      <w:r>
        <w:rPr>
          <w:snapToGrid w:val="0"/>
        </w:rPr>
        <w:t>, determine other terms and conditions of service (if any) that apply to the Director.</w:t>
      </w:r>
    </w:p>
    <w:p>
      <w:pPr>
        <w:pStyle w:val="yFootnotesection"/>
      </w:pPr>
      <w:r>
        <w:tab/>
        <w:t>[Clause 6 amended by No. 39 of 2010 s. 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83" w:name="_Toc419461372"/>
      <w:bookmarkStart w:id="184" w:name="_Toc435776508"/>
      <w:bookmarkStart w:id="185" w:name="_Toc435776613"/>
      <w:bookmarkStart w:id="186" w:name="_Toc435776878"/>
      <w:bookmarkStart w:id="187" w:name="_Toc436059445"/>
      <w:bookmarkStart w:id="188" w:name="_Toc452545372"/>
      <w:bookmarkStart w:id="189" w:name="_Toc455413024"/>
      <w:r>
        <w:t>Notes</w:t>
      </w:r>
      <w:bookmarkEnd w:id="183"/>
      <w:bookmarkEnd w:id="184"/>
      <w:bookmarkEnd w:id="185"/>
      <w:bookmarkEnd w:id="186"/>
      <w:bookmarkEnd w:id="187"/>
      <w:bookmarkEnd w:id="188"/>
      <w:bookmarkEnd w:id="189"/>
    </w:p>
    <w:p>
      <w:pPr>
        <w:pStyle w:val="nSubsection"/>
        <w:rPr>
          <w:snapToGrid w:val="0"/>
        </w:rPr>
      </w:pPr>
      <w:r>
        <w:rPr>
          <w:snapToGrid w:val="0"/>
          <w:vertAlign w:val="superscript"/>
        </w:rPr>
        <w:t>1</w:t>
      </w:r>
      <w:r>
        <w:rPr>
          <w:snapToGrid w:val="0"/>
        </w:rPr>
        <w:tab/>
        <w:t xml:space="preserve">This is a compilation of the </w:t>
      </w:r>
      <w:r>
        <w:rPr>
          <w:i/>
          <w:noProof/>
          <w:snapToGrid w:val="0"/>
        </w:rPr>
        <w:t>Health and Disability Services (Complaints)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90" w:name="_Toc455413025"/>
      <w:r>
        <w:t>Compilation table</w:t>
      </w:r>
      <w:bookmarkEnd w:id="190"/>
    </w:p>
    <w:tbl>
      <w:tblPr>
        <w:tblW w:w="7109" w:type="dxa"/>
        <w:tblInd w:w="84" w:type="dxa"/>
        <w:tblLayout w:type="fixed"/>
        <w:tblCellMar>
          <w:left w:w="56" w:type="dxa"/>
          <w:right w:w="56" w:type="dxa"/>
        </w:tblCellMar>
        <w:tblLook w:val="0000" w:firstRow="0" w:lastRow="0" w:firstColumn="0" w:lastColumn="0" w:noHBand="0" w:noVBand="0"/>
      </w:tblPr>
      <w:tblGrid>
        <w:gridCol w:w="7"/>
        <w:gridCol w:w="2245"/>
        <w:gridCol w:w="9"/>
        <w:gridCol w:w="1125"/>
        <w:gridCol w:w="9"/>
        <w:gridCol w:w="1139"/>
        <w:gridCol w:w="2549"/>
        <w:gridCol w:w="26"/>
      </w:tblGrid>
      <w:tr>
        <w:trPr>
          <w:gridBefore w:val="1"/>
          <w:wBefore w:w="7" w:type="dxa"/>
          <w:cantSplit/>
          <w:tblHeader/>
        </w:trPr>
        <w:tc>
          <w:tcPr>
            <w:tcW w:w="2254" w:type="dxa"/>
            <w:gridSpan w:val="2"/>
            <w:tcBorders>
              <w:top w:val="single" w:sz="8" w:space="0" w:color="auto"/>
              <w:bottom w:val="single" w:sz="8" w:space="0" w:color="auto"/>
            </w:tcBorders>
          </w:tcPr>
          <w:p>
            <w:pPr>
              <w:pStyle w:val="nTable"/>
              <w:spacing w:before="26" w:after="24"/>
              <w:ind w:right="113"/>
              <w:rPr>
                <w:b/>
              </w:rPr>
            </w:pPr>
            <w:r>
              <w:rPr>
                <w:b/>
              </w:rPr>
              <w:t>Short title</w:t>
            </w:r>
          </w:p>
        </w:tc>
        <w:tc>
          <w:tcPr>
            <w:tcW w:w="1134" w:type="dxa"/>
            <w:gridSpan w:val="2"/>
            <w:tcBorders>
              <w:top w:val="single" w:sz="8" w:space="0" w:color="auto"/>
              <w:bottom w:val="single" w:sz="8" w:space="0" w:color="auto"/>
            </w:tcBorders>
          </w:tcPr>
          <w:p>
            <w:pPr>
              <w:pStyle w:val="nTable"/>
              <w:spacing w:before="26" w:after="24"/>
              <w:rPr>
                <w:b/>
              </w:rPr>
            </w:pPr>
            <w:r>
              <w:rPr>
                <w:b/>
              </w:rPr>
              <w:t>Number and year</w:t>
            </w:r>
          </w:p>
        </w:tc>
        <w:tc>
          <w:tcPr>
            <w:tcW w:w="1139" w:type="dxa"/>
            <w:tcBorders>
              <w:top w:val="single" w:sz="8" w:space="0" w:color="auto"/>
              <w:bottom w:val="single" w:sz="8" w:space="0" w:color="auto"/>
            </w:tcBorders>
          </w:tcPr>
          <w:p>
            <w:pPr>
              <w:pStyle w:val="nTable"/>
              <w:spacing w:before="26" w:after="24"/>
              <w:rPr>
                <w:b/>
              </w:rPr>
            </w:pPr>
            <w:r>
              <w:rPr>
                <w:b/>
              </w:rPr>
              <w:t>Assent</w:t>
            </w:r>
          </w:p>
        </w:tc>
        <w:tc>
          <w:tcPr>
            <w:tcW w:w="2575" w:type="dxa"/>
            <w:gridSpan w:val="2"/>
            <w:tcBorders>
              <w:top w:val="single" w:sz="8" w:space="0" w:color="auto"/>
              <w:bottom w:val="single" w:sz="8" w:space="0" w:color="auto"/>
            </w:tcBorders>
          </w:tcPr>
          <w:p>
            <w:pPr>
              <w:pStyle w:val="nTable"/>
              <w:spacing w:before="26" w:after="24"/>
              <w:rPr>
                <w:b/>
              </w:rPr>
            </w:pPr>
            <w:r>
              <w:rPr>
                <w:b/>
              </w:rPr>
              <w:t>Commencement</w:t>
            </w:r>
          </w:p>
        </w:tc>
      </w:tr>
      <w:tr>
        <w:trPr>
          <w:gridBefore w:val="1"/>
          <w:wBefore w:w="7" w:type="dxa"/>
          <w:cantSplit/>
          <w:trHeight w:val="1074"/>
        </w:trPr>
        <w:tc>
          <w:tcPr>
            <w:tcW w:w="2254" w:type="dxa"/>
            <w:gridSpan w:val="2"/>
            <w:tcBorders>
              <w:top w:val="single" w:sz="8" w:space="0" w:color="auto"/>
            </w:tcBorders>
          </w:tcPr>
          <w:p>
            <w:pPr>
              <w:pStyle w:val="nTable"/>
              <w:spacing w:before="26" w:after="24"/>
              <w:ind w:right="113"/>
              <w:rPr>
                <w:iCs/>
              </w:rPr>
            </w:pPr>
            <w:r>
              <w:rPr>
                <w:i/>
              </w:rPr>
              <w:t>Health Services (Conciliation and Review) Act 1995</w:t>
            </w:r>
            <w:r>
              <w:rPr>
                <w:iCs/>
                <w:vertAlign w:val="superscript"/>
              </w:rPr>
              <w:t> 3</w:t>
            </w:r>
          </w:p>
        </w:tc>
        <w:tc>
          <w:tcPr>
            <w:tcW w:w="1134" w:type="dxa"/>
            <w:gridSpan w:val="2"/>
            <w:tcBorders>
              <w:top w:val="single" w:sz="8" w:space="0" w:color="auto"/>
            </w:tcBorders>
          </w:tcPr>
          <w:p>
            <w:pPr>
              <w:pStyle w:val="nTable"/>
              <w:spacing w:before="26" w:after="24"/>
            </w:pPr>
            <w:r>
              <w:t>75 of 1995</w:t>
            </w:r>
          </w:p>
        </w:tc>
        <w:tc>
          <w:tcPr>
            <w:tcW w:w="1139" w:type="dxa"/>
            <w:tcBorders>
              <w:top w:val="single" w:sz="8" w:space="0" w:color="auto"/>
            </w:tcBorders>
          </w:tcPr>
          <w:p>
            <w:pPr>
              <w:pStyle w:val="nTable"/>
              <w:spacing w:before="26" w:after="24"/>
            </w:pPr>
            <w:r>
              <w:t>9 Jan 1996</w:t>
            </w:r>
          </w:p>
        </w:tc>
        <w:tc>
          <w:tcPr>
            <w:tcW w:w="2575" w:type="dxa"/>
            <w:gridSpan w:val="2"/>
            <w:tcBorders>
              <w:top w:val="single" w:sz="8" w:space="0" w:color="auto"/>
            </w:tcBorders>
          </w:tcPr>
          <w:p>
            <w:pPr>
              <w:pStyle w:val="nTable"/>
              <w:spacing w:before="26" w:after="24"/>
            </w:pPr>
            <w:r>
              <w:t>s. 1 and 2: 9 Jan 1996;</w:t>
            </w:r>
            <w:r>
              <w:br/>
              <w:t xml:space="preserve">Act other than s. 1 and 2, Pt. 3 and 4 and Sch. 1: 16 Aug 1996 (see s. 2 and </w:t>
            </w:r>
            <w:r>
              <w:rPr>
                <w:i/>
              </w:rPr>
              <w:t>Gazette</w:t>
            </w:r>
            <w:r>
              <w:t xml:space="preserve"> 16 Aug 1996 p. 4007);</w:t>
            </w:r>
            <w:r>
              <w:br/>
              <w:t xml:space="preserve">Pt. 3 and 4 and Sch. 1: 16 Sep 1996 (see s. 2 and </w:t>
            </w:r>
            <w:r>
              <w:rPr>
                <w:i/>
              </w:rPr>
              <w:t>Gazette</w:t>
            </w:r>
            <w:r>
              <w:t xml:space="preserve"> 16 Sep 1996 p. 4683)</w:t>
            </w:r>
          </w:p>
        </w:tc>
      </w:tr>
      <w:tr>
        <w:trPr>
          <w:gridBefore w:val="1"/>
          <w:wBefore w:w="7" w:type="dxa"/>
          <w:cantSplit/>
        </w:trPr>
        <w:tc>
          <w:tcPr>
            <w:tcW w:w="2254" w:type="dxa"/>
            <w:gridSpan w:val="2"/>
          </w:tcPr>
          <w:p>
            <w:pPr>
              <w:pStyle w:val="nTable"/>
              <w:spacing w:before="26" w:after="24"/>
              <w:ind w:right="113"/>
            </w:pPr>
            <w:r>
              <w:rPr>
                <w:i/>
              </w:rPr>
              <w:t xml:space="preserve">Statutes (Repeals and Minor Amendments) Act 1997 </w:t>
            </w:r>
            <w:r>
              <w:t>s. 70</w:t>
            </w:r>
          </w:p>
        </w:tc>
        <w:tc>
          <w:tcPr>
            <w:tcW w:w="1134" w:type="dxa"/>
            <w:gridSpan w:val="2"/>
          </w:tcPr>
          <w:p>
            <w:pPr>
              <w:pStyle w:val="nTable"/>
              <w:spacing w:before="26" w:after="24"/>
            </w:pPr>
            <w:r>
              <w:t>57 of 1997</w:t>
            </w:r>
          </w:p>
        </w:tc>
        <w:tc>
          <w:tcPr>
            <w:tcW w:w="1139" w:type="dxa"/>
          </w:tcPr>
          <w:p>
            <w:pPr>
              <w:pStyle w:val="nTable"/>
              <w:spacing w:before="26" w:after="24"/>
            </w:pPr>
            <w:r>
              <w:t>15 Dec 1997</w:t>
            </w:r>
          </w:p>
        </w:tc>
        <w:tc>
          <w:tcPr>
            <w:tcW w:w="2575" w:type="dxa"/>
            <w:gridSpan w:val="2"/>
          </w:tcPr>
          <w:p>
            <w:pPr>
              <w:pStyle w:val="nTable"/>
              <w:spacing w:before="26" w:after="24"/>
            </w:pPr>
            <w:r>
              <w:t>15 Dec 1997 (see s. 2(1))</w:t>
            </w:r>
          </w:p>
        </w:tc>
      </w:tr>
      <w:tr>
        <w:trPr>
          <w:gridBefore w:val="1"/>
          <w:wBefore w:w="7" w:type="dxa"/>
          <w:cantSplit/>
        </w:trPr>
        <w:tc>
          <w:tcPr>
            <w:tcW w:w="2254" w:type="dxa"/>
            <w:gridSpan w:val="2"/>
          </w:tcPr>
          <w:p>
            <w:pPr>
              <w:pStyle w:val="nTable"/>
              <w:spacing w:before="26" w:after="24"/>
              <w:ind w:right="113"/>
            </w:pPr>
            <w:r>
              <w:rPr>
                <w:i/>
              </w:rPr>
              <w:t>Osteopaths Act 1997</w:t>
            </w:r>
            <w:r>
              <w:t xml:space="preserve"> s. 97</w:t>
            </w:r>
          </w:p>
        </w:tc>
        <w:tc>
          <w:tcPr>
            <w:tcW w:w="1134" w:type="dxa"/>
            <w:gridSpan w:val="2"/>
          </w:tcPr>
          <w:p>
            <w:pPr>
              <w:pStyle w:val="nTable"/>
              <w:spacing w:before="26" w:after="24"/>
            </w:pPr>
            <w:r>
              <w:t>58 of 1997</w:t>
            </w:r>
          </w:p>
        </w:tc>
        <w:tc>
          <w:tcPr>
            <w:tcW w:w="1139" w:type="dxa"/>
          </w:tcPr>
          <w:p>
            <w:pPr>
              <w:pStyle w:val="nTable"/>
              <w:spacing w:before="26" w:after="24"/>
            </w:pPr>
            <w:r>
              <w:t>15 Dec 1997</w:t>
            </w:r>
          </w:p>
        </w:tc>
        <w:tc>
          <w:tcPr>
            <w:tcW w:w="2575" w:type="dxa"/>
            <w:gridSpan w:val="2"/>
          </w:tcPr>
          <w:p>
            <w:pPr>
              <w:pStyle w:val="nTable"/>
              <w:spacing w:before="26" w:after="24"/>
            </w:pPr>
            <w:r>
              <w:t xml:space="preserve">22 Dec 1999 (see s. 2 and </w:t>
            </w:r>
            <w:r>
              <w:rPr>
                <w:i/>
              </w:rPr>
              <w:t>Gazette</w:t>
            </w:r>
            <w:r>
              <w:t xml:space="preserve"> 21 Dec 1999 p. 6393)</w:t>
            </w:r>
          </w:p>
        </w:tc>
      </w:tr>
      <w:tr>
        <w:trPr>
          <w:gridBefore w:val="1"/>
          <w:wBefore w:w="7" w:type="dxa"/>
          <w:cantSplit/>
        </w:trPr>
        <w:tc>
          <w:tcPr>
            <w:tcW w:w="2254" w:type="dxa"/>
            <w:gridSpan w:val="2"/>
          </w:tcPr>
          <w:p>
            <w:pPr>
              <w:pStyle w:val="nTable"/>
              <w:spacing w:before="26" w:after="24"/>
              <w:ind w:right="113"/>
            </w:pPr>
            <w:r>
              <w:rPr>
                <w:i/>
              </w:rPr>
              <w:t>Disability Services Amendment Act 1999</w:t>
            </w:r>
            <w:r>
              <w:t xml:space="preserve"> s. 28(2)</w:t>
            </w:r>
          </w:p>
        </w:tc>
        <w:tc>
          <w:tcPr>
            <w:tcW w:w="1134" w:type="dxa"/>
            <w:gridSpan w:val="2"/>
          </w:tcPr>
          <w:p>
            <w:pPr>
              <w:pStyle w:val="nTable"/>
              <w:spacing w:before="26" w:after="24"/>
            </w:pPr>
            <w:r>
              <w:t>44 of 1999</w:t>
            </w:r>
          </w:p>
        </w:tc>
        <w:tc>
          <w:tcPr>
            <w:tcW w:w="1139" w:type="dxa"/>
          </w:tcPr>
          <w:p>
            <w:pPr>
              <w:pStyle w:val="nTable"/>
              <w:spacing w:before="26" w:after="24"/>
            </w:pPr>
            <w:r>
              <w:t>25 Nov 1999</w:t>
            </w:r>
          </w:p>
        </w:tc>
        <w:tc>
          <w:tcPr>
            <w:tcW w:w="2575" w:type="dxa"/>
            <w:gridSpan w:val="2"/>
          </w:tcPr>
          <w:p>
            <w:pPr>
              <w:pStyle w:val="nTable"/>
              <w:spacing w:before="26" w:after="24"/>
            </w:pPr>
            <w:r>
              <w:t>25 Nov 1999 (see s. 2)</w:t>
            </w:r>
          </w:p>
        </w:tc>
      </w:tr>
      <w:tr>
        <w:trPr>
          <w:gridBefore w:val="1"/>
          <w:wBefore w:w="7" w:type="dxa"/>
          <w:cantSplit/>
        </w:trPr>
        <w:tc>
          <w:tcPr>
            <w:tcW w:w="2254" w:type="dxa"/>
            <w:gridSpan w:val="2"/>
          </w:tcPr>
          <w:p>
            <w:pPr>
              <w:pStyle w:val="nTable"/>
              <w:spacing w:before="26" w:after="24"/>
              <w:ind w:right="113"/>
            </w:pPr>
            <w:r>
              <w:rPr>
                <w:i/>
              </w:rPr>
              <w:t>Statutes (Repeals and Minor Amendments) Act 2000</w:t>
            </w:r>
            <w:r>
              <w:t xml:space="preserve"> s. 17</w:t>
            </w:r>
          </w:p>
        </w:tc>
        <w:tc>
          <w:tcPr>
            <w:tcW w:w="1134" w:type="dxa"/>
            <w:gridSpan w:val="2"/>
          </w:tcPr>
          <w:p>
            <w:pPr>
              <w:pStyle w:val="nTable"/>
              <w:spacing w:before="26" w:after="24"/>
            </w:pPr>
            <w:r>
              <w:t>24 of 2000</w:t>
            </w:r>
          </w:p>
        </w:tc>
        <w:tc>
          <w:tcPr>
            <w:tcW w:w="1139" w:type="dxa"/>
          </w:tcPr>
          <w:p>
            <w:pPr>
              <w:pStyle w:val="nTable"/>
              <w:spacing w:before="26" w:after="24"/>
            </w:pPr>
            <w:r>
              <w:t>4 Jul 2000</w:t>
            </w:r>
          </w:p>
        </w:tc>
        <w:tc>
          <w:tcPr>
            <w:tcW w:w="2575" w:type="dxa"/>
            <w:gridSpan w:val="2"/>
          </w:tcPr>
          <w:p>
            <w:pPr>
              <w:pStyle w:val="nTable"/>
              <w:spacing w:before="26" w:after="24"/>
            </w:pPr>
            <w:r>
              <w:t>4 Jul 2000 (see s. 2)</w:t>
            </w:r>
          </w:p>
        </w:tc>
      </w:tr>
      <w:tr>
        <w:trPr>
          <w:gridBefore w:val="1"/>
          <w:wBefore w:w="7" w:type="dxa"/>
          <w:cantSplit/>
        </w:trPr>
        <w:tc>
          <w:tcPr>
            <w:tcW w:w="7102" w:type="dxa"/>
            <w:gridSpan w:val="7"/>
          </w:tcPr>
          <w:p>
            <w:pPr>
              <w:pStyle w:val="nTable"/>
              <w:spacing w:before="26" w:after="24"/>
            </w:pPr>
            <w:r>
              <w:rPr>
                <w:b/>
              </w:rPr>
              <w:t xml:space="preserve">Reprint of the </w:t>
            </w:r>
            <w:r>
              <w:rPr>
                <w:b/>
                <w:i/>
              </w:rPr>
              <w:t>Health Services (Conciliation and Review) Act 1995</w:t>
            </w:r>
            <w:r>
              <w:rPr>
                <w:b/>
              </w:rPr>
              <w:t xml:space="preserve"> as at 1 Jun 2001</w:t>
            </w:r>
            <w:r>
              <w:rPr>
                <w:b/>
              </w:rPr>
              <w:br/>
            </w:r>
            <w:r>
              <w:t>(includes amendments listed above)</w:t>
            </w:r>
          </w:p>
        </w:tc>
      </w:tr>
      <w:tr>
        <w:trPr>
          <w:gridBefore w:val="1"/>
          <w:wBefore w:w="7" w:type="dxa"/>
          <w:cantSplit/>
        </w:trPr>
        <w:tc>
          <w:tcPr>
            <w:tcW w:w="2254" w:type="dxa"/>
            <w:gridSpan w:val="2"/>
          </w:tcPr>
          <w:p>
            <w:pPr>
              <w:pStyle w:val="nTable"/>
              <w:spacing w:before="26" w:after="24"/>
              <w:ind w:right="113"/>
            </w:pPr>
            <w:r>
              <w:rPr>
                <w:i/>
              </w:rPr>
              <w:t>Acts Amendment (Equality of Status) Act 2003</w:t>
            </w:r>
            <w:r>
              <w:t xml:space="preserve"> Pt. 27</w:t>
            </w:r>
          </w:p>
        </w:tc>
        <w:tc>
          <w:tcPr>
            <w:tcW w:w="1134" w:type="dxa"/>
            <w:gridSpan w:val="2"/>
          </w:tcPr>
          <w:p>
            <w:pPr>
              <w:pStyle w:val="nTable"/>
              <w:spacing w:before="26" w:after="24"/>
            </w:pPr>
            <w:r>
              <w:t>28 of 2003</w:t>
            </w:r>
          </w:p>
        </w:tc>
        <w:tc>
          <w:tcPr>
            <w:tcW w:w="1139" w:type="dxa"/>
          </w:tcPr>
          <w:p>
            <w:pPr>
              <w:pStyle w:val="nTable"/>
              <w:spacing w:before="26" w:after="24"/>
            </w:pPr>
            <w:r>
              <w:t>22 May 2003</w:t>
            </w:r>
          </w:p>
        </w:tc>
        <w:tc>
          <w:tcPr>
            <w:tcW w:w="2575" w:type="dxa"/>
            <w:gridSpan w:val="2"/>
          </w:tcPr>
          <w:p>
            <w:pPr>
              <w:pStyle w:val="nTable"/>
              <w:spacing w:before="26" w:after="24"/>
            </w:pPr>
            <w:r>
              <w:t xml:space="preserve">1 Jul 2003 (see s. 2 and </w:t>
            </w:r>
            <w:r>
              <w:rPr>
                <w:i/>
              </w:rPr>
              <w:t xml:space="preserve">Gazette </w:t>
            </w:r>
            <w:r>
              <w:t>30 Jun 2003 p. 2579)</w:t>
            </w:r>
          </w:p>
        </w:tc>
      </w:tr>
      <w:tr>
        <w:trPr>
          <w:gridBefore w:val="1"/>
          <w:wBefore w:w="7" w:type="dxa"/>
          <w:cantSplit/>
        </w:trPr>
        <w:tc>
          <w:tcPr>
            <w:tcW w:w="2254" w:type="dxa"/>
            <w:gridSpan w:val="2"/>
          </w:tcPr>
          <w:p>
            <w:pPr>
              <w:pStyle w:val="nTable"/>
              <w:spacing w:before="26" w:after="24"/>
              <w:ind w:right="113"/>
            </w:pPr>
            <w:r>
              <w:rPr>
                <w:i/>
              </w:rPr>
              <w:t>Statutes (Repeals and Minor Amendments) Act 2003</w:t>
            </w:r>
            <w:r>
              <w:t xml:space="preserve"> s. 65</w:t>
            </w:r>
          </w:p>
        </w:tc>
        <w:tc>
          <w:tcPr>
            <w:tcW w:w="1134" w:type="dxa"/>
            <w:gridSpan w:val="2"/>
          </w:tcPr>
          <w:p>
            <w:pPr>
              <w:pStyle w:val="nTable"/>
              <w:spacing w:before="26" w:after="24"/>
            </w:pPr>
            <w:r>
              <w:t>74 of 2003</w:t>
            </w:r>
          </w:p>
        </w:tc>
        <w:tc>
          <w:tcPr>
            <w:tcW w:w="1139" w:type="dxa"/>
          </w:tcPr>
          <w:p>
            <w:pPr>
              <w:pStyle w:val="nTable"/>
              <w:spacing w:before="26" w:after="24"/>
            </w:pPr>
            <w:r>
              <w:t>15 Dec 2003</w:t>
            </w:r>
          </w:p>
        </w:tc>
        <w:tc>
          <w:tcPr>
            <w:tcW w:w="2575" w:type="dxa"/>
            <w:gridSpan w:val="2"/>
          </w:tcPr>
          <w:p>
            <w:pPr>
              <w:pStyle w:val="nTable"/>
              <w:spacing w:before="26" w:after="24"/>
            </w:pPr>
            <w:r>
              <w:rPr>
                <w:spacing w:val="-2"/>
              </w:rPr>
              <w:t>15 Dec 2003 (see s. 2)</w:t>
            </w:r>
          </w:p>
        </w:tc>
      </w:tr>
      <w:tr>
        <w:trPr>
          <w:gridBefore w:val="1"/>
          <w:wBefore w:w="7" w:type="dxa"/>
          <w:cantSplit/>
        </w:trPr>
        <w:tc>
          <w:tcPr>
            <w:tcW w:w="2254" w:type="dxa"/>
            <w:gridSpan w:val="2"/>
          </w:tcPr>
          <w:p>
            <w:pPr>
              <w:pStyle w:val="nTable"/>
              <w:spacing w:before="26" w:after="24"/>
              <w:ind w:right="113"/>
              <w:rPr>
                <w:iCs/>
              </w:rPr>
            </w:pPr>
            <w:r>
              <w:rPr>
                <w:i/>
              </w:rPr>
              <w:t>Carers Recognition Act 2004</w:t>
            </w:r>
            <w:r>
              <w:rPr>
                <w:iCs/>
              </w:rPr>
              <w:t xml:space="preserve"> Pt. 5 Div. 2</w:t>
            </w:r>
          </w:p>
        </w:tc>
        <w:tc>
          <w:tcPr>
            <w:tcW w:w="1134" w:type="dxa"/>
            <w:gridSpan w:val="2"/>
          </w:tcPr>
          <w:p>
            <w:pPr>
              <w:pStyle w:val="nTable"/>
              <w:spacing w:before="26" w:after="24"/>
            </w:pPr>
            <w:r>
              <w:t>37 of 2004</w:t>
            </w:r>
          </w:p>
        </w:tc>
        <w:tc>
          <w:tcPr>
            <w:tcW w:w="1139" w:type="dxa"/>
          </w:tcPr>
          <w:p>
            <w:pPr>
              <w:pStyle w:val="nTable"/>
              <w:spacing w:before="26" w:after="24"/>
            </w:pPr>
            <w:r>
              <w:t>28 Oct 2004</w:t>
            </w:r>
          </w:p>
        </w:tc>
        <w:tc>
          <w:tcPr>
            <w:tcW w:w="2575"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7127)</w:t>
            </w:r>
          </w:p>
        </w:tc>
      </w:tr>
      <w:tr>
        <w:trPr>
          <w:gridBefore w:val="1"/>
          <w:wBefore w:w="7" w:type="dxa"/>
          <w:cantSplit/>
        </w:trPr>
        <w:tc>
          <w:tcPr>
            <w:tcW w:w="2254" w:type="dxa"/>
            <w:gridSpan w:val="2"/>
          </w:tcPr>
          <w:p>
            <w:pPr>
              <w:pStyle w:val="nTable"/>
              <w:spacing w:before="26" w:after="24"/>
              <w:ind w:right="113"/>
              <w:rPr>
                <w:iCs/>
              </w:rPr>
            </w:pPr>
            <w:r>
              <w:rPr>
                <w:i/>
              </w:rPr>
              <w:t>Disability Services Amendment Act 2004</w:t>
            </w:r>
            <w:r>
              <w:rPr>
                <w:iCs/>
              </w:rPr>
              <w:t xml:space="preserve"> s. 36</w:t>
            </w:r>
          </w:p>
        </w:tc>
        <w:tc>
          <w:tcPr>
            <w:tcW w:w="1134" w:type="dxa"/>
            <w:gridSpan w:val="2"/>
          </w:tcPr>
          <w:p>
            <w:pPr>
              <w:pStyle w:val="nTable"/>
              <w:spacing w:before="26" w:after="24"/>
            </w:pPr>
            <w:r>
              <w:t>57 of 2004</w:t>
            </w:r>
          </w:p>
        </w:tc>
        <w:tc>
          <w:tcPr>
            <w:tcW w:w="1139" w:type="dxa"/>
          </w:tcPr>
          <w:p>
            <w:pPr>
              <w:pStyle w:val="nTable"/>
              <w:spacing w:before="26" w:after="24"/>
            </w:pPr>
            <w:r>
              <w:t>18 Nov 2004</w:t>
            </w:r>
          </w:p>
        </w:tc>
        <w:tc>
          <w:tcPr>
            <w:tcW w:w="2575" w:type="dxa"/>
            <w:gridSpan w:val="2"/>
          </w:tcPr>
          <w:p>
            <w:pPr>
              <w:pStyle w:val="nTable"/>
              <w:spacing w:before="26" w:after="24"/>
              <w:rPr>
                <w:spacing w:val="-2"/>
              </w:rPr>
            </w:pPr>
            <w:r>
              <w:rPr>
                <w:spacing w:val="-2"/>
              </w:rPr>
              <w:t xml:space="preserve">15 Dec 2004 (see s. 2 and </w:t>
            </w:r>
            <w:r>
              <w:rPr>
                <w:i/>
                <w:iCs/>
                <w:spacing w:val="-2"/>
              </w:rPr>
              <w:t>Gazette</w:t>
            </w:r>
            <w:r>
              <w:rPr>
                <w:spacing w:val="-2"/>
              </w:rPr>
              <w:t xml:space="preserve"> 14 Dec 2004 p. 5999)</w:t>
            </w:r>
          </w:p>
        </w:tc>
      </w:tr>
      <w:tr>
        <w:trPr>
          <w:gridBefore w:val="1"/>
          <w:wBefore w:w="7" w:type="dxa"/>
          <w:cantSplit/>
        </w:trPr>
        <w:tc>
          <w:tcPr>
            <w:tcW w:w="2254" w:type="dxa"/>
            <w:gridSpan w:val="2"/>
          </w:tcPr>
          <w:p>
            <w:pPr>
              <w:pStyle w:val="nTable"/>
              <w:spacing w:before="26" w:after="24"/>
              <w:ind w:right="113"/>
              <w:rPr>
                <w:i/>
              </w:rPr>
            </w:pPr>
            <w:r>
              <w:rPr>
                <w:rFonts w:ascii="Times" w:hAnsi="Times"/>
                <w:i/>
                <w:iCs/>
              </w:rPr>
              <w:t>State Administrative Tribunal (Conferral of Jurisdiction) Amendment and Repeal Act 2004</w:t>
            </w:r>
            <w:r>
              <w:rPr>
                <w:rFonts w:ascii="Times" w:hAnsi="Times"/>
              </w:rPr>
              <w:t xml:space="preserve"> Pt. 2 Div. 59</w:t>
            </w:r>
            <w:r>
              <w:rPr>
                <w:rFonts w:ascii="Times" w:hAnsi="Times"/>
                <w:vertAlign w:val="superscript"/>
              </w:rPr>
              <w:t> 4</w:t>
            </w:r>
          </w:p>
        </w:tc>
        <w:tc>
          <w:tcPr>
            <w:tcW w:w="1134" w:type="dxa"/>
            <w:gridSpan w:val="2"/>
          </w:tcPr>
          <w:p>
            <w:pPr>
              <w:pStyle w:val="nTable"/>
              <w:spacing w:before="26" w:after="24"/>
            </w:pPr>
            <w:r>
              <w:rPr>
                <w:rFonts w:ascii="Times" w:hAnsi="Times"/>
              </w:rPr>
              <w:t>55 of 2004</w:t>
            </w:r>
          </w:p>
        </w:tc>
        <w:tc>
          <w:tcPr>
            <w:tcW w:w="1139" w:type="dxa"/>
          </w:tcPr>
          <w:p>
            <w:pPr>
              <w:pStyle w:val="nTable"/>
              <w:spacing w:before="26" w:after="24"/>
            </w:pPr>
            <w:r>
              <w:rPr>
                <w:rFonts w:ascii="Times" w:hAnsi="Times"/>
              </w:rPr>
              <w:t>24 Nov 2004</w:t>
            </w:r>
          </w:p>
        </w:tc>
        <w:tc>
          <w:tcPr>
            <w:tcW w:w="2575"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7" w:type="dxa"/>
          <w:cantSplit/>
        </w:trPr>
        <w:tc>
          <w:tcPr>
            <w:tcW w:w="7102" w:type="dxa"/>
            <w:gridSpan w:val="7"/>
          </w:tcPr>
          <w:p>
            <w:pPr>
              <w:pStyle w:val="nTable"/>
              <w:spacing w:before="26" w:after="24"/>
              <w:rPr>
                <w:spacing w:val="-2"/>
              </w:rPr>
            </w:pPr>
            <w:r>
              <w:rPr>
                <w:b/>
              </w:rPr>
              <w:t xml:space="preserve">Reprint 2: The </w:t>
            </w:r>
            <w:r>
              <w:rPr>
                <w:b/>
                <w:i/>
              </w:rPr>
              <w:t>Health Services (Conciliation and Review) Act 1995</w:t>
            </w:r>
            <w:r>
              <w:rPr>
                <w:b/>
              </w:rPr>
              <w:t xml:space="preserve"> as at 18 Mar 2005</w:t>
            </w:r>
            <w:r>
              <w:rPr>
                <w:b/>
              </w:rPr>
              <w:br/>
            </w:r>
            <w:r>
              <w:t>(includes amendments listed above)</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Psychologists Act 2005</w:t>
            </w:r>
            <w:r>
              <w:rPr>
                <w:i/>
                <w:iCs/>
                <w:noProof/>
                <w:snapToGrid w:val="0"/>
              </w:rPr>
              <w:t xml:space="preserve"> </w:t>
            </w:r>
            <w:r>
              <w:rPr>
                <w:noProof/>
                <w:snapToGrid w:val="0"/>
              </w:rPr>
              <w:t>Sch. 3 cl. 6</w:t>
            </w:r>
          </w:p>
        </w:tc>
        <w:tc>
          <w:tcPr>
            <w:tcW w:w="1134" w:type="dxa"/>
            <w:gridSpan w:val="2"/>
          </w:tcPr>
          <w:p>
            <w:pPr>
              <w:pStyle w:val="nTable"/>
              <w:spacing w:before="26" w:after="24"/>
            </w:pPr>
            <w:r>
              <w:t>28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4 May 2007 (see s. 2 and </w:t>
            </w:r>
            <w:r>
              <w:rPr>
                <w:i/>
                <w:iCs/>
              </w:rPr>
              <w:t>Gazette</w:t>
            </w:r>
            <w:r>
              <w:t xml:space="preserve"> 4 May 2007 p. 1963)</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 xml:space="preserve">Optometrists </w:t>
            </w:r>
            <w:r>
              <w:rPr>
                <w:i/>
                <w:snapToGrid w:val="0"/>
              </w:rPr>
              <w:t>Act</w:t>
            </w:r>
            <w:r>
              <w:rPr>
                <w:i/>
                <w:noProof/>
                <w:snapToGrid w:val="0"/>
              </w:rPr>
              <w:t> 2005</w:t>
            </w:r>
            <w:r>
              <w:rPr>
                <w:iCs/>
                <w:noProof/>
                <w:snapToGrid w:val="0"/>
              </w:rPr>
              <w:t xml:space="preserve"> Sch. 3 cl. 4</w:t>
            </w:r>
          </w:p>
        </w:tc>
        <w:tc>
          <w:tcPr>
            <w:tcW w:w="1134" w:type="dxa"/>
            <w:gridSpan w:val="2"/>
          </w:tcPr>
          <w:p>
            <w:pPr>
              <w:pStyle w:val="nTable"/>
              <w:spacing w:before="26" w:after="24"/>
            </w:pPr>
            <w:r>
              <w:t xml:space="preserve">29 </w:t>
            </w:r>
            <w:r>
              <w:rPr>
                <w:snapToGrid w:val="0"/>
              </w:rPr>
              <w:t>of</w:t>
            </w:r>
            <w:r>
              <w:t xml:space="preserve"> 2005</w:t>
            </w:r>
          </w:p>
        </w:tc>
        <w:tc>
          <w:tcPr>
            <w:tcW w:w="1139" w:type="dxa"/>
          </w:tcPr>
          <w:p>
            <w:pPr>
              <w:pStyle w:val="nTable"/>
              <w:spacing w:before="26" w:after="24"/>
            </w:pPr>
            <w:r>
              <w:t>12 Dec 2005</w:t>
            </w:r>
          </w:p>
        </w:tc>
        <w:tc>
          <w:tcPr>
            <w:tcW w:w="2575" w:type="dxa"/>
            <w:gridSpan w:val="2"/>
          </w:tcPr>
          <w:p>
            <w:pPr>
              <w:pStyle w:val="nTable"/>
              <w:spacing w:before="26" w:after="24"/>
            </w:pPr>
            <w:r>
              <w:t xml:space="preserve">20 Apr 2007 (see s. 2 and </w:t>
            </w:r>
            <w:r>
              <w:rPr>
                <w:i/>
                <w:iCs/>
              </w:rPr>
              <w:t>Gazette</w:t>
            </w:r>
            <w:r>
              <w:t xml:space="preserve"> 30 Mar 2007 p. 1451)</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Podiatrists Act 2005</w:t>
            </w:r>
            <w:r>
              <w:rPr>
                <w:iCs/>
                <w:noProof/>
                <w:snapToGrid w:val="0"/>
              </w:rPr>
              <w:t xml:space="preserve"> Sch. 3 cl. 4</w:t>
            </w:r>
          </w:p>
        </w:tc>
        <w:tc>
          <w:tcPr>
            <w:tcW w:w="1134" w:type="dxa"/>
            <w:gridSpan w:val="2"/>
          </w:tcPr>
          <w:p>
            <w:pPr>
              <w:pStyle w:val="nTable"/>
              <w:spacing w:before="26" w:after="24"/>
            </w:pPr>
            <w:r>
              <w:t>30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30 May 2007 (see s. 2 and </w:t>
            </w:r>
            <w:r>
              <w:rPr>
                <w:i/>
                <w:iCs/>
              </w:rPr>
              <w:t>Gazette</w:t>
            </w:r>
            <w:r>
              <w:t xml:space="preserve"> 29 May 2007 p. 2486)</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 xml:space="preserve">Chiropractors </w:t>
            </w:r>
            <w:r>
              <w:rPr>
                <w:i/>
                <w:snapToGrid w:val="0"/>
              </w:rPr>
              <w:t>Act</w:t>
            </w:r>
            <w:r>
              <w:rPr>
                <w:i/>
                <w:noProof/>
                <w:snapToGrid w:val="0"/>
              </w:rPr>
              <w:t xml:space="preserve"> 2005</w:t>
            </w:r>
            <w:r>
              <w:rPr>
                <w:noProof/>
                <w:snapToGrid w:val="0"/>
              </w:rPr>
              <w:t xml:space="preserve"> </w:t>
            </w:r>
            <w:r>
              <w:rPr>
                <w:iCs/>
                <w:noProof/>
                <w:snapToGrid w:val="0"/>
              </w:rPr>
              <w:t>Sch. 3 cl. 4</w:t>
            </w:r>
          </w:p>
        </w:tc>
        <w:tc>
          <w:tcPr>
            <w:tcW w:w="1134" w:type="dxa"/>
            <w:gridSpan w:val="2"/>
          </w:tcPr>
          <w:p>
            <w:pPr>
              <w:pStyle w:val="nTable"/>
              <w:spacing w:before="26" w:after="24"/>
            </w:pPr>
            <w:r>
              <w:t>31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1 Aug 2007 (see s. 2 and </w:t>
            </w:r>
            <w:r>
              <w:rPr>
                <w:i/>
                <w:iCs/>
              </w:rPr>
              <w:t>Gazette</w:t>
            </w:r>
            <w:r>
              <w:t xml:space="preserve"> 31 Jul 2007 p. 3789)</w:t>
            </w:r>
          </w:p>
        </w:tc>
      </w:tr>
      <w:tr>
        <w:trPr>
          <w:gridBefore w:val="1"/>
          <w:wBefore w:w="7" w:type="dxa"/>
        </w:trPr>
        <w:tc>
          <w:tcPr>
            <w:tcW w:w="2254" w:type="dxa"/>
            <w:gridSpan w:val="2"/>
          </w:tcPr>
          <w:p>
            <w:pPr>
              <w:pStyle w:val="nTable"/>
              <w:spacing w:before="26" w:after="24"/>
              <w:ind w:right="113"/>
              <w:rPr>
                <w:i/>
                <w:snapToGrid w:val="0"/>
              </w:rPr>
            </w:pPr>
            <w:r>
              <w:rPr>
                <w:i/>
                <w:noProof/>
                <w:snapToGrid w:val="0"/>
              </w:rPr>
              <w:t>Physiotherapists Act 2005</w:t>
            </w:r>
            <w:r>
              <w:rPr>
                <w:iCs/>
                <w:noProof/>
                <w:snapToGrid w:val="0"/>
              </w:rPr>
              <w:t xml:space="preserve"> Sch. 3 cl. 4</w:t>
            </w:r>
          </w:p>
        </w:tc>
        <w:tc>
          <w:tcPr>
            <w:tcW w:w="1134" w:type="dxa"/>
            <w:gridSpan w:val="2"/>
          </w:tcPr>
          <w:p>
            <w:pPr>
              <w:pStyle w:val="nTable"/>
              <w:spacing w:before="26" w:after="24"/>
              <w:rPr>
                <w:snapToGrid w:val="0"/>
              </w:rPr>
            </w:pPr>
            <w:r>
              <w:t>32 of 2005</w:t>
            </w:r>
          </w:p>
        </w:tc>
        <w:tc>
          <w:tcPr>
            <w:tcW w:w="1139" w:type="dxa"/>
          </w:tcPr>
          <w:p>
            <w:pPr>
              <w:pStyle w:val="nTable"/>
              <w:spacing w:before="26" w:after="24"/>
              <w:rPr>
                <w:snapToGrid w:val="0"/>
              </w:rPr>
            </w:pPr>
            <w:r>
              <w:t>12 Dec 2005</w:t>
            </w:r>
          </w:p>
        </w:tc>
        <w:tc>
          <w:tcPr>
            <w:tcW w:w="2575" w:type="dxa"/>
            <w:gridSpan w:val="2"/>
          </w:tcPr>
          <w:p>
            <w:pPr>
              <w:pStyle w:val="nTable"/>
              <w:spacing w:before="26" w:after="24"/>
              <w:rPr>
                <w:snapToGrid w:val="0"/>
              </w:rPr>
            </w:pPr>
            <w:r>
              <w:t xml:space="preserve">23 Feb 2007 (see s. 2 and </w:t>
            </w:r>
            <w:r>
              <w:rPr>
                <w:i/>
                <w:iCs/>
              </w:rPr>
              <w:t xml:space="preserve">Gazette </w:t>
            </w:r>
            <w:r>
              <w:t>20 Feb 2007 p. 505)</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 xml:space="preserve">Osteopaths Act </w:t>
            </w:r>
            <w:r>
              <w:rPr>
                <w:i/>
                <w:snapToGrid w:val="0"/>
              </w:rPr>
              <w:t>2005</w:t>
            </w:r>
            <w:r>
              <w:rPr>
                <w:noProof/>
                <w:snapToGrid w:val="0"/>
              </w:rPr>
              <w:t xml:space="preserve"> </w:t>
            </w:r>
            <w:r>
              <w:rPr>
                <w:iCs/>
                <w:noProof/>
                <w:snapToGrid w:val="0"/>
              </w:rPr>
              <w:t>Sch. 3 cl. 4</w:t>
            </w:r>
          </w:p>
        </w:tc>
        <w:tc>
          <w:tcPr>
            <w:tcW w:w="1134" w:type="dxa"/>
            <w:gridSpan w:val="2"/>
          </w:tcPr>
          <w:p>
            <w:pPr>
              <w:pStyle w:val="nTable"/>
              <w:spacing w:before="26" w:after="24"/>
            </w:pPr>
            <w:r>
              <w:t>33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30 May 2007 (see s. 2 and </w:t>
            </w:r>
            <w:r>
              <w:rPr>
                <w:i/>
                <w:iCs/>
              </w:rPr>
              <w:t xml:space="preserve">Gazette </w:t>
            </w:r>
            <w:r>
              <w:t>29 May 2007 p. 2486)</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Occupational Therapists Act 2005</w:t>
            </w:r>
            <w:r>
              <w:rPr>
                <w:iCs/>
                <w:noProof/>
                <w:snapToGrid w:val="0"/>
              </w:rPr>
              <w:t xml:space="preserve"> Sch. 3 cl. 4</w:t>
            </w:r>
          </w:p>
        </w:tc>
        <w:tc>
          <w:tcPr>
            <w:tcW w:w="1134" w:type="dxa"/>
            <w:gridSpan w:val="2"/>
          </w:tcPr>
          <w:p>
            <w:pPr>
              <w:pStyle w:val="nTable"/>
              <w:spacing w:before="26" w:after="24"/>
            </w:pPr>
            <w:r>
              <w:t>42 of 2005</w:t>
            </w:r>
          </w:p>
        </w:tc>
        <w:tc>
          <w:tcPr>
            <w:tcW w:w="1139" w:type="dxa"/>
          </w:tcPr>
          <w:p>
            <w:pPr>
              <w:pStyle w:val="nTable"/>
              <w:spacing w:before="26" w:after="24"/>
            </w:pPr>
            <w:r>
              <w:t>19 Dec 2005</w:t>
            </w:r>
          </w:p>
        </w:tc>
        <w:tc>
          <w:tcPr>
            <w:tcW w:w="2575" w:type="dxa"/>
            <w:gridSpan w:val="2"/>
          </w:tcPr>
          <w:p>
            <w:pPr>
              <w:pStyle w:val="nTable"/>
              <w:spacing w:before="26" w:after="24"/>
            </w:pPr>
            <w:r>
              <w:t xml:space="preserve">1 Aug 2007 (see s. 2 and </w:t>
            </w:r>
            <w:r>
              <w:rPr>
                <w:i/>
                <w:iCs/>
              </w:rPr>
              <w:t>Gazette</w:t>
            </w:r>
            <w:r>
              <w:t xml:space="preserve"> 31 Jul 2007 p. 3789)</w:t>
            </w:r>
          </w:p>
        </w:tc>
      </w:tr>
      <w:tr>
        <w:trPr>
          <w:gridBefore w:val="1"/>
          <w:wBefore w:w="7" w:type="dxa"/>
        </w:trPr>
        <w:tc>
          <w:tcPr>
            <w:tcW w:w="2254" w:type="dxa"/>
            <w:gridSpan w:val="2"/>
          </w:tcPr>
          <w:p>
            <w:pPr>
              <w:pStyle w:val="nTable"/>
              <w:spacing w:before="26" w:after="24"/>
              <w:ind w:left="-28"/>
              <w:rPr>
                <w:i/>
                <w:noProof/>
                <w:snapToGrid w:val="0"/>
              </w:rPr>
            </w:pPr>
            <w:r>
              <w:rPr>
                <w:i/>
                <w:noProof/>
                <w:snapToGrid w:val="0"/>
              </w:rPr>
              <w:t xml:space="preserve">Medical </w:t>
            </w:r>
            <w:r>
              <w:rPr>
                <w:i/>
                <w:snapToGrid w:val="0"/>
              </w:rPr>
              <w:t>Radiation</w:t>
            </w:r>
            <w:r>
              <w:rPr>
                <w:i/>
                <w:noProof/>
                <w:snapToGrid w:val="0"/>
              </w:rPr>
              <w:t xml:space="preserve"> Technologists Act 2006</w:t>
            </w:r>
            <w:r>
              <w:rPr>
                <w:i/>
                <w:iCs/>
                <w:noProof/>
                <w:snapToGrid w:val="0"/>
              </w:rPr>
              <w:t xml:space="preserve"> </w:t>
            </w:r>
            <w:r>
              <w:rPr>
                <w:iCs/>
                <w:noProof/>
                <w:snapToGrid w:val="0"/>
              </w:rPr>
              <w:t>Sch. 3 cl. 4</w:t>
            </w:r>
          </w:p>
        </w:tc>
        <w:tc>
          <w:tcPr>
            <w:tcW w:w="1134" w:type="dxa"/>
            <w:gridSpan w:val="2"/>
          </w:tcPr>
          <w:p>
            <w:pPr>
              <w:pStyle w:val="nTable"/>
              <w:spacing w:before="26" w:after="24"/>
            </w:pPr>
            <w:r>
              <w:t>21 of 2006</w:t>
            </w:r>
          </w:p>
        </w:tc>
        <w:tc>
          <w:tcPr>
            <w:tcW w:w="1139" w:type="dxa"/>
          </w:tcPr>
          <w:p>
            <w:pPr>
              <w:pStyle w:val="nTable"/>
              <w:spacing w:before="26" w:after="24"/>
            </w:pPr>
            <w:r>
              <w:t>9 Jun 2006</w:t>
            </w:r>
          </w:p>
        </w:tc>
        <w:tc>
          <w:tcPr>
            <w:tcW w:w="2575" w:type="dxa"/>
            <w:gridSpan w:val="2"/>
          </w:tcPr>
          <w:p>
            <w:pPr>
              <w:pStyle w:val="nTable"/>
              <w:spacing w:before="26" w:after="24"/>
            </w:pPr>
            <w:r>
              <w:rPr>
                <w:rFonts w:ascii="Times" w:hAnsi="Times"/>
                <w:color w:val="000000"/>
              </w:rPr>
              <w:t xml:space="preserve">1 Jul 2007 (see s. 2 and </w:t>
            </w:r>
            <w:r>
              <w:rPr>
                <w:rFonts w:ascii="Times" w:hAnsi="Times"/>
                <w:i/>
                <w:iCs/>
                <w:color w:val="000000"/>
              </w:rPr>
              <w:t>Gazette</w:t>
            </w:r>
            <w:r>
              <w:rPr>
                <w:rFonts w:ascii="Times" w:hAnsi="Times"/>
                <w:color w:val="000000"/>
              </w:rPr>
              <w:t xml:space="preserve"> 26 Jun 2007 p. 3013)</w:t>
            </w:r>
          </w:p>
        </w:tc>
      </w:tr>
      <w:tr>
        <w:trPr>
          <w:gridBefore w:val="1"/>
          <w:wBefore w:w="7" w:type="dxa"/>
          <w:cantSplit/>
        </w:trPr>
        <w:tc>
          <w:tcPr>
            <w:tcW w:w="2254" w:type="dxa"/>
            <w:gridSpan w:val="2"/>
          </w:tcPr>
          <w:p>
            <w:pPr>
              <w:pStyle w:val="nTable"/>
              <w:spacing w:before="26" w:after="24"/>
              <w:ind w:left="-28"/>
              <w:rPr>
                <w:iCs/>
                <w:snapToGrid w:val="0"/>
              </w:rPr>
            </w:pPr>
            <w:r>
              <w:rPr>
                <w:i/>
                <w:snapToGrid w:val="0"/>
              </w:rPr>
              <w:t>Machinery of Government (Miscellaneous Amendments) Act 2006</w:t>
            </w:r>
            <w:r>
              <w:rPr>
                <w:iCs/>
                <w:snapToGrid w:val="0"/>
              </w:rPr>
              <w:t xml:space="preserve"> Pt. 9 Div. 4 </w:t>
            </w:r>
            <w:r>
              <w:rPr>
                <w:iCs/>
                <w:snapToGrid w:val="0"/>
                <w:vertAlign w:val="superscript"/>
              </w:rPr>
              <w:t>5</w:t>
            </w:r>
          </w:p>
        </w:tc>
        <w:tc>
          <w:tcPr>
            <w:tcW w:w="1134" w:type="dxa"/>
            <w:gridSpan w:val="2"/>
          </w:tcPr>
          <w:p>
            <w:pPr>
              <w:pStyle w:val="nTable"/>
              <w:spacing w:before="26" w:after="24"/>
              <w:rPr>
                <w:snapToGrid w:val="0"/>
              </w:rPr>
            </w:pPr>
            <w:r>
              <w:rPr>
                <w:snapToGrid w:val="0"/>
              </w:rPr>
              <w:t>28 of 2006</w:t>
            </w:r>
          </w:p>
        </w:tc>
        <w:tc>
          <w:tcPr>
            <w:tcW w:w="1139" w:type="dxa"/>
          </w:tcPr>
          <w:p>
            <w:pPr>
              <w:pStyle w:val="nTable"/>
              <w:spacing w:before="26" w:after="24"/>
            </w:pPr>
            <w:r>
              <w:t>26 Jun 2006</w:t>
            </w:r>
          </w:p>
        </w:tc>
        <w:tc>
          <w:tcPr>
            <w:tcW w:w="2575" w:type="dxa"/>
            <w:gridSpan w:val="2"/>
          </w:tcPr>
          <w:p>
            <w:pPr>
              <w:pStyle w:val="nTable"/>
              <w:spacing w:before="26" w:after="24"/>
            </w:pPr>
            <w:r>
              <w:t xml:space="preserve">1 Jul 2006 (see s. 2 and </w:t>
            </w:r>
            <w:r>
              <w:rPr>
                <w:i/>
                <w:iCs/>
              </w:rPr>
              <w:t>Gazette</w:t>
            </w:r>
            <w:r>
              <w:t xml:space="preserve"> 27 Jun 2006 p. 2347)</w:t>
            </w:r>
          </w:p>
        </w:tc>
      </w:tr>
      <w:tr>
        <w:trPr>
          <w:gridBefore w:val="1"/>
          <w:wBefore w:w="7" w:type="dxa"/>
          <w:cantSplit/>
        </w:trPr>
        <w:tc>
          <w:tcPr>
            <w:tcW w:w="2254" w:type="dxa"/>
            <w:gridSpan w:val="2"/>
          </w:tcPr>
          <w:p>
            <w:pPr>
              <w:pStyle w:val="nTable"/>
              <w:spacing w:before="26" w:after="24"/>
              <w:ind w:left="-28"/>
              <w:rPr>
                <w:i/>
                <w:snapToGrid w:val="0"/>
              </w:rPr>
            </w:pPr>
            <w:r>
              <w:rPr>
                <w:i/>
                <w:snapToGrid w:val="0"/>
              </w:rPr>
              <w:t>Nurses and Midwives Act 2006</w:t>
            </w:r>
            <w:r>
              <w:rPr>
                <w:snapToGrid w:val="0"/>
              </w:rPr>
              <w:t xml:space="preserve"> Sch. 3 cl. 11</w:t>
            </w:r>
          </w:p>
        </w:tc>
        <w:tc>
          <w:tcPr>
            <w:tcW w:w="1134" w:type="dxa"/>
            <w:gridSpan w:val="2"/>
          </w:tcPr>
          <w:p>
            <w:pPr>
              <w:pStyle w:val="nTable"/>
              <w:spacing w:before="26" w:after="24"/>
              <w:rPr>
                <w:snapToGrid w:val="0"/>
              </w:rPr>
            </w:pPr>
            <w:r>
              <w:rPr>
                <w:snapToGrid w:val="0"/>
              </w:rPr>
              <w:t>50 of 2006</w:t>
            </w:r>
          </w:p>
        </w:tc>
        <w:tc>
          <w:tcPr>
            <w:tcW w:w="1139" w:type="dxa"/>
          </w:tcPr>
          <w:p>
            <w:pPr>
              <w:pStyle w:val="nTable"/>
              <w:spacing w:before="26" w:after="24"/>
            </w:pPr>
            <w:r>
              <w:t>6 Oct 2006</w:t>
            </w:r>
          </w:p>
        </w:tc>
        <w:tc>
          <w:tcPr>
            <w:tcW w:w="2575" w:type="dxa"/>
            <w:gridSpan w:val="2"/>
          </w:tcPr>
          <w:p>
            <w:pPr>
              <w:pStyle w:val="nTable"/>
              <w:spacing w:before="26" w:after="24"/>
            </w:pPr>
            <w:r>
              <w:t xml:space="preserve">19 Sep 2007 (see s. 2 and </w:t>
            </w:r>
            <w:r>
              <w:rPr>
                <w:i/>
                <w:iCs/>
              </w:rPr>
              <w:t>Gazette</w:t>
            </w:r>
            <w:r>
              <w:t xml:space="preserve"> 18 Sep 2007 p. 4711)</w:t>
            </w:r>
          </w:p>
        </w:tc>
      </w:tr>
      <w:tr>
        <w:trPr>
          <w:gridBefore w:val="1"/>
          <w:wBefore w:w="7" w:type="dxa"/>
          <w:cantSplit/>
        </w:trPr>
        <w:tc>
          <w:tcPr>
            <w:tcW w:w="2254" w:type="dxa"/>
            <w:gridSpan w:val="2"/>
          </w:tcPr>
          <w:p>
            <w:pPr>
              <w:pStyle w:val="nTable"/>
              <w:spacing w:before="26" w:after="24"/>
              <w:ind w:left="-28"/>
              <w:rPr>
                <w:i/>
                <w:snapToGrid w:val="0"/>
              </w:rPr>
            </w:pPr>
            <w:r>
              <w:rPr>
                <w:i/>
                <w:snapToGrid w:val="0"/>
              </w:rPr>
              <w:t xml:space="preserve">Financial Legislation Amendment and Repeal Act 2006 </w:t>
            </w:r>
            <w:r>
              <w:rPr>
                <w:iCs/>
                <w:snapToGrid w:val="0"/>
              </w:rPr>
              <w:t>Sch. 1 cl. 82</w:t>
            </w:r>
          </w:p>
        </w:tc>
        <w:tc>
          <w:tcPr>
            <w:tcW w:w="1134" w:type="dxa"/>
            <w:gridSpan w:val="2"/>
          </w:tcPr>
          <w:p>
            <w:pPr>
              <w:pStyle w:val="nTable"/>
              <w:spacing w:before="26" w:after="24"/>
              <w:rPr>
                <w:snapToGrid w:val="0"/>
              </w:rPr>
            </w:pPr>
            <w:r>
              <w:rPr>
                <w:snapToGrid w:val="0"/>
              </w:rPr>
              <w:t xml:space="preserve">77 of 2006 </w:t>
            </w:r>
          </w:p>
        </w:tc>
        <w:tc>
          <w:tcPr>
            <w:tcW w:w="1139" w:type="dxa"/>
          </w:tcPr>
          <w:p>
            <w:pPr>
              <w:pStyle w:val="nTable"/>
              <w:spacing w:before="26" w:after="24"/>
            </w:pPr>
            <w:r>
              <w:rPr>
                <w:snapToGrid w:val="0"/>
              </w:rPr>
              <w:t>21 Dec 2006</w:t>
            </w:r>
          </w:p>
        </w:tc>
        <w:tc>
          <w:tcPr>
            <w:tcW w:w="2575" w:type="dxa"/>
            <w:gridSpan w:val="2"/>
          </w:tcPr>
          <w:p>
            <w:pPr>
              <w:pStyle w:val="nTable"/>
              <w:spacing w:before="26" w:after="24"/>
            </w:pPr>
            <w:r>
              <w:rPr>
                <w:snapToGrid w:val="0"/>
              </w:rPr>
              <w:t xml:space="preserve">1 Feb 2007 (see s. 2(1) and </w:t>
            </w:r>
            <w:r>
              <w:rPr>
                <w:i/>
                <w:iCs/>
                <w:snapToGrid w:val="0"/>
              </w:rPr>
              <w:t>Gazette</w:t>
            </w:r>
            <w:r>
              <w:rPr>
                <w:snapToGrid w:val="0"/>
              </w:rPr>
              <w:t xml:space="preserve"> 19 Jan 2007 p. 137)</w:t>
            </w:r>
          </w:p>
        </w:tc>
      </w:tr>
      <w:tr>
        <w:trPr>
          <w:gridBefore w:val="1"/>
          <w:wBefore w:w="7" w:type="dxa"/>
          <w:cantSplit/>
        </w:trPr>
        <w:tc>
          <w:tcPr>
            <w:tcW w:w="7102" w:type="dxa"/>
            <w:gridSpan w:val="7"/>
          </w:tcPr>
          <w:p>
            <w:pPr>
              <w:pStyle w:val="nTable"/>
              <w:spacing w:before="26" w:after="24"/>
              <w:rPr>
                <w:snapToGrid w:val="0"/>
              </w:rPr>
            </w:pPr>
            <w:r>
              <w:rPr>
                <w:b/>
              </w:rPr>
              <w:t xml:space="preserve">Reprint 3: The </w:t>
            </w:r>
            <w:r>
              <w:rPr>
                <w:b/>
                <w:i/>
              </w:rPr>
              <w:t>Health Services (Conciliation and Review) Act 1995</w:t>
            </w:r>
            <w:r>
              <w:rPr>
                <w:b/>
              </w:rPr>
              <w:t xml:space="preserve"> as at 12 Oct 2007</w:t>
            </w:r>
            <w:r>
              <w:rPr>
                <w:b/>
              </w:rPr>
              <w:br/>
            </w:r>
            <w:r>
              <w:t>(includes amendments listed above)</w:t>
            </w:r>
          </w:p>
        </w:tc>
      </w:tr>
      <w:tr>
        <w:tblPrEx>
          <w:tblBorders>
            <w:top w:val="single" w:sz="8" w:space="0" w:color="auto"/>
            <w:bottom w:val="single" w:sz="8" w:space="0" w:color="auto"/>
            <w:insideH w:val="single" w:sz="8" w:space="0" w:color="auto"/>
          </w:tblBorders>
        </w:tblPrEx>
        <w:trPr>
          <w:gridBefore w:val="1"/>
          <w:wBefore w:w="7" w:type="dxa"/>
        </w:trPr>
        <w:tc>
          <w:tcPr>
            <w:tcW w:w="2254" w:type="dxa"/>
            <w:gridSpan w:val="2"/>
            <w:tcBorders>
              <w:top w:val="nil"/>
              <w:bottom w:val="nil"/>
            </w:tcBorders>
          </w:tcPr>
          <w:p>
            <w:pPr>
              <w:pStyle w:val="nTable"/>
              <w:spacing w:before="26" w:after="24"/>
            </w:pPr>
            <w:r>
              <w:rPr>
                <w:i/>
                <w:snapToGrid w:val="0"/>
              </w:rPr>
              <w:t>Medical Practitioners Act 2008</w:t>
            </w:r>
            <w:r>
              <w:t xml:space="preserve"> Sch. 3 cl. 26</w:t>
            </w:r>
          </w:p>
        </w:tc>
        <w:tc>
          <w:tcPr>
            <w:tcW w:w="1134" w:type="dxa"/>
            <w:gridSpan w:val="2"/>
            <w:tcBorders>
              <w:top w:val="nil"/>
              <w:bottom w:val="nil"/>
            </w:tcBorders>
          </w:tcPr>
          <w:p>
            <w:pPr>
              <w:pStyle w:val="nTable"/>
              <w:spacing w:before="26" w:after="24"/>
            </w:pPr>
            <w:r>
              <w:t>22 of 2008</w:t>
            </w:r>
          </w:p>
        </w:tc>
        <w:tc>
          <w:tcPr>
            <w:tcW w:w="1139" w:type="dxa"/>
            <w:tcBorders>
              <w:top w:val="nil"/>
              <w:bottom w:val="nil"/>
            </w:tcBorders>
          </w:tcPr>
          <w:p>
            <w:pPr>
              <w:pStyle w:val="nTable"/>
              <w:spacing w:before="26" w:after="24"/>
            </w:pPr>
            <w:r>
              <w:t>27 May 2008</w:t>
            </w:r>
          </w:p>
        </w:tc>
        <w:tc>
          <w:tcPr>
            <w:tcW w:w="2575" w:type="dxa"/>
            <w:gridSpan w:val="2"/>
            <w:tcBorders>
              <w:top w:val="nil"/>
              <w:bottom w:val="nil"/>
            </w:tcBorders>
          </w:tcPr>
          <w:p>
            <w:pPr>
              <w:pStyle w:val="nTable"/>
              <w:spacing w:before="26" w:after="24"/>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26" w:type="dxa"/>
          <w:cantSplit/>
        </w:trPr>
        <w:tc>
          <w:tcPr>
            <w:tcW w:w="2261" w:type="dxa"/>
            <w:gridSpan w:val="3"/>
          </w:tcPr>
          <w:p>
            <w:pPr>
              <w:pStyle w:val="nTable"/>
              <w:spacing w:before="26" w:after="24"/>
              <w:ind w:right="113"/>
              <w:rPr>
                <w:iCs/>
              </w:rPr>
            </w:pPr>
            <w:r>
              <w:rPr>
                <w:i/>
              </w:rPr>
              <w:t>Statutes (Repeals and Miscellaneous Amendments) Act 2009</w:t>
            </w:r>
            <w:r>
              <w:rPr>
                <w:iCs/>
              </w:rPr>
              <w:t xml:space="preserve"> s. 73</w:t>
            </w:r>
          </w:p>
        </w:tc>
        <w:tc>
          <w:tcPr>
            <w:tcW w:w="1134" w:type="dxa"/>
            <w:gridSpan w:val="2"/>
          </w:tcPr>
          <w:p>
            <w:pPr>
              <w:pStyle w:val="nTable"/>
              <w:spacing w:before="26" w:after="24"/>
            </w:pPr>
            <w:r>
              <w:t xml:space="preserve">8 of 2009 </w:t>
            </w:r>
          </w:p>
        </w:tc>
        <w:tc>
          <w:tcPr>
            <w:tcW w:w="1139" w:type="dxa"/>
          </w:tcPr>
          <w:p>
            <w:pPr>
              <w:pStyle w:val="nTable"/>
              <w:spacing w:before="26" w:after="24"/>
            </w:pPr>
            <w:r>
              <w:t>21 May 2009</w:t>
            </w:r>
          </w:p>
        </w:tc>
        <w:tc>
          <w:tcPr>
            <w:tcW w:w="2549" w:type="dxa"/>
          </w:tcPr>
          <w:p>
            <w:pPr>
              <w:pStyle w:val="nTable"/>
              <w:spacing w:before="26" w:after="24"/>
            </w:pPr>
            <w:r>
              <w:t>22 May 2009 (see s. 2(b))</w:t>
            </w:r>
          </w:p>
        </w:tc>
      </w:tr>
      <w:tr>
        <w:trPr>
          <w:gridAfter w:val="1"/>
          <w:wAfter w:w="26" w:type="dxa"/>
          <w:cantSplit/>
        </w:trPr>
        <w:tc>
          <w:tcPr>
            <w:tcW w:w="2261" w:type="dxa"/>
            <w:gridSpan w:val="3"/>
          </w:tcPr>
          <w:p>
            <w:pPr>
              <w:pStyle w:val="nTable"/>
              <w:spacing w:before="26" w:after="24"/>
              <w:rPr>
                <w:iCs/>
                <w:snapToGrid w:val="0"/>
              </w:rPr>
            </w:pPr>
            <w:r>
              <w:rPr>
                <w:i/>
                <w:snapToGrid w:val="0"/>
              </w:rPr>
              <w:t>Acts Amendment (Bankruptcy) Act 2009</w:t>
            </w:r>
            <w:r>
              <w:rPr>
                <w:iCs/>
                <w:snapToGrid w:val="0"/>
              </w:rPr>
              <w:t xml:space="preserve"> s. 40</w:t>
            </w:r>
          </w:p>
        </w:tc>
        <w:tc>
          <w:tcPr>
            <w:tcW w:w="1134" w:type="dxa"/>
            <w:gridSpan w:val="2"/>
          </w:tcPr>
          <w:p>
            <w:pPr>
              <w:pStyle w:val="nTable"/>
              <w:spacing w:before="26" w:after="24"/>
            </w:pPr>
            <w:r>
              <w:t>18 of 2009</w:t>
            </w:r>
          </w:p>
        </w:tc>
        <w:tc>
          <w:tcPr>
            <w:tcW w:w="1139" w:type="dxa"/>
          </w:tcPr>
          <w:p>
            <w:pPr>
              <w:pStyle w:val="nTable"/>
              <w:spacing w:before="26" w:after="24"/>
            </w:pPr>
            <w:r>
              <w:t>16 Sep 2009</w:t>
            </w:r>
          </w:p>
        </w:tc>
        <w:tc>
          <w:tcPr>
            <w:tcW w:w="2549" w:type="dxa"/>
          </w:tcPr>
          <w:p>
            <w:pPr>
              <w:pStyle w:val="nTable"/>
              <w:spacing w:before="26" w:after="24"/>
            </w:pPr>
            <w:r>
              <w:t>17 Sep 2009 (see s. 2(b))</w:t>
            </w:r>
          </w:p>
        </w:tc>
      </w:tr>
      <w:tr>
        <w:trPr>
          <w:gridAfter w:val="1"/>
          <w:wAfter w:w="26" w:type="dxa"/>
          <w:cantSplit/>
        </w:trPr>
        <w:tc>
          <w:tcPr>
            <w:tcW w:w="2261" w:type="dxa"/>
            <w:gridSpan w:val="3"/>
          </w:tcPr>
          <w:p>
            <w:pPr>
              <w:pStyle w:val="nTable"/>
              <w:spacing w:before="26" w:after="24"/>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before="26" w:after="24"/>
              <w:rPr>
                <w:snapToGrid w:val="0"/>
              </w:rPr>
            </w:pPr>
            <w:r>
              <w:rPr>
                <w:snapToGrid w:val="0"/>
              </w:rPr>
              <w:t>19 of 2010</w:t>
            </w:r>
          </w:p>
        </w:tc>
        <w:tc>
          <w:tcPr>
            <w:tcW w:w="1139" w:type="dxa"/>
          </w:tcPr>
          <w:p>
            <w:pPr>
              <w:pStyle w:val="nTable"/>
              <w:spacing w:before="26" w:after="24"/>
              <w:rPr>
                <w:snapToGrid w:val="0"/>
              </w:rPr>
            </w:pPr>
            <w:r>
              <w:rPr>
                <w:snapToGrid w:val="0"/>
              </w:rPr>
              <w:t>28 Jun 2010</w:t>
            </w:r>
          </w:p>
        </w:tc>
        <w:tc>
          <w:tcPr>
            <w:tcW w:w="2549" w:type="dxa"/>
          </w:tcPr>
          <w:p>
            <w:pPr>
              <w:pStyle w:val="nTable"/>
              <w:spacing w:before="26" w:after="24"/>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6" w:type="dxa"/>
          <w:cantSplit/>
        </w:trPr>
        <w:tc>
          <w:tcPr>
            <w:tcW w:w="2261" w:type="dxa"/>
            <w:gridSpan w:val="3"/>
          </w:tcPr>
          <w:p>
            <w:pPr>
              <w:pStyle w:val="nTable"/>
              <w:spacing w:before="26" w:after="24"/>
              <w:ind w:right="113"/>
              <w:rPr>
                <w:i/>
                <w:snapToGrid w:val="0"/>
              </w:rPr>
            </w:pPr>
            <w:r>
              <w:rPr>
                <w:i/>
                <w:snapToGrid w:val="0"/>
              </w:rPr>
              <w:t xml:space="preserve">Health and Disability Services Legislation Amendment Act 2010 </w:t>
            </w:r>
            <w:r>
              <w:rPr>
                <w:iCs/>
                <w:snapToGrid w:val="0"/>
              </w:rPr>
              <w:t>Pt. 2</w:t>
            </w:r>
          </w:p>
        </w:tc>
        <w:tc>
          <w:tcPr>
            <w:tcW w:w="1134" w:type="dxa"/>
            <w:gridSpan w:val="2"/>
          </w:tcPr>
          <w:p>
            <w:pPr>
              <w:pStyle w:val="nTable"/>
              <w:spacing w:before="26" w:after="24"/>
              <w:rPr>
                <w:snapToGrid w:val="0"/>
              </w:rPr>
            </w:pPr>
            <w:r>
              <w:rPr>
                <w:snapToGrid w:val="0"/>
              </w:rPr>
              <w:t>33 of 2010 (as amended by 35 of 2010 s. 83(3))</w:t>
            </w:r>
          </w:p>
        </w:tc>
        <w:tc>
          <w:tcPr>
            <w:tcW w:w="1139" w:type="dxa"/>
          </w:tcPr>
          <w:p>
            <w:pPr>
              <w:pStyle w:val="nTable"/>
              <w:spacing w:before="26" w:after="24"/>
              <w:rPr>
                <w:snapToGrid w:val="0"/>
              </w:rPr>
            </w:pPr>
            <w:r>
              <w:rPr>
                <w:snapToGrid w:val="0"/>
              </w:rPr>
              <w:t>30 Aug 2010</w:t>
            </w:r>
          </w:p>
        </w:tc>
        <w:tc>
          <w:tcPr>
            <w:tcW w:w="2549" w:type="dxa"/>
          </w:tcPr>
          <w:p>
            <w:pPr>
              <w:pStyle w:val="nTable"/>
              <w:spacing w:before="26" w:after="24"/>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6" w:type="dxa"/>
          <w:cantSplit/>
        </w:trPr>
        <w:tc>
          <w:tcPr>
            <w:tcW w:w="2261" w:type="dxa"/>
            <w:gridSpan w:val="3"/>
          </w:tcPr>
          <w:p>
            <w:pPr>
              <w:pStyle w:val="nTable"/>
              <w:spacing w:before="26" w:after="24"/>
              <w:ind w:right="113"/>
              <w:rPr>
                <w:i/>
                <w:snapToGrid w:val="0"/>
              </w:rPr>
            </w:pPr>
            <w:r>
              <w:rPr>
                <w:i/>
                <w:snapToGrid w:val="0"/>
              </w:rPr>
              <w:t>Health Practitioner Regulation National Law (WA) Act 2010</w:t>
            </w:r>
            <w:r>
              <w:rPr>
                <w:iCs/>
                <w:snapToGrid w:val="0"/>
              </w:rPr>
              <w:t xml:space="preserve"> Pt. 5 Div. 25</w:t>
            </w:r>
          </w:p>
        </w:tc>
        <w:tc>
          <w:tcPr>
            <w:tcW w:w="1134" w:type="dxa"/>
            <w:gridSpan w:val="2"/>
          </w:tcPr>
          <w:p>
            <w:pPr>
              <w:pStyle w:val="nTable"/>
              <w:spacing w:before="26" w:after="24"/>
              <w:rPr>
                <w:snapToGrid w:val="0"/>
              </w:rPr>
            </w:pPr>
            <w:r>
              <w:rPr>
                <w:snapToGrid w:val="0"/>
              </w:rPr>
              <w:t>35 of 2010</w:t>
            </w:r>
          </w:p>
        </w:tc>
        <w:tc>
          <w:tcPr>
            <w:tcW w:w="1139" w:type="dxa"/>
          </w:tcPr>
          <w:p>
            <w:pPr>
              <w:pStyle w:val="nTable"/>
              <w:spacing w:before="26" w:after="24"/>
              <w:rPr>
                <w:snapToGrid w:val="0"/>
              </w:rPr>
            </w:pPr>
            <w:r>
              <w:rPr>
                <w:snapToGrid w:val="0"/>
              </w:rPr>
              <w:t>30 Aug 2010</w:t>
            </w:r>
          </w:p>
        </w:tc>
        <w:tc>
          <w:tcPr>
            <w:tcW w:w="2549" w:type="dxa"/>
          </w:tcPr>
          <w:p>
            <w:pPr>
              <w:pStyle w:val="nTable"/>
              <w:spacing w:before="26" w:after="24"/>
              <w:rPr>
                <w:snapToGrid w:val="0"/>
              </w:rPr>
            </w:pPr>
            <w:r>
              <w:rPr>
                <w:snapToGrid w:val="0"/>
              </w:rPr>
              <w:t xml:space="preserve">s. 79-90 and 91(1)-(3): 18 Oct 2010 (see s. 2(b) and </w:t>
            </w:r>
            <w:r>
              <w:rPr>
                <w:i/>
                <w:snapToGrid w:val="0"/>
              </w:rPr>
              <w:t xml:space="preserve">Gazette </w:t>
            </w:r>
            <w:r>
              <w:rPr>
                <w:iCs/>
                <w:snapToGrid w:val="0"/>
              </w:rPr>
              <w:t>1 Oct 2010 p. 5075-6</w:t>
            </w:r>
            <w:r>
              <w:rPr>
                <w:snapToGrid w:val="0"/>
              </w:rPr>
              <w:t>);</w:t>
            </w:r>
            <w:r>
              <w:rPr>
                <w:snapToGrid w:val="0"/>
              </w:rPr>
              <w:br/>
              <w:t xml:space="preserve">s. 91(4) and (5): 1 Jul 2012 (see s. 2(b) and </w:t>
            </w:r>
            <w:r>
              <w:rPr>
                <w:i/>
                <w:snapToGrid w:val="0"/>
              </w:rPr>
              <w:t>Gazette</w:t>
            </w:r>
            <w:r>
              <w:rPr>
                <w:snapToGrid w:val="0"/>
              </w:rPr>
              <w:t xml:space="preserve"> 19 Jun 2012 p. 2631)</w:t>
            </w:r>
          </w:p>
        </w:tc>
      </w:tr>
      <w:tr>
        <w:trPr>
          <w:gridAfter w:val="1"/>
          <w:wAfter w:w="26" w:type="dxa"/>
          <w:cantSplit/>
        </w:trPr>
        <w:tc>
          <w:tcPr>
            <w:tcW w:w="2261" w:type="dxa"/>
            <w:gridSpan w:val="3"/>
          </w:tcPr>
          <w:p>
            <w:pPr>
              <w:pStyle w:val="nTable"/>
              <w:spacing w:before="26" w:after="24"/>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before="26" w:after="24"/>
              <w:rPr>
                <w:snapToGrid w:val="0"/>
              </w:rPr>
            </w:pPr>
            <w:r>
              <w:rPr>
                <w:snapToGrid w:val="0"/>
              </w:rPr>
              <w:t>39 of 2010</w:t>
            </w:r>
          </w:p>
        </w:tc>
        <w:tc>
          <w:tcPr>
            <w:tcW w:w="1139" w:type="dxa"/>
          </w:tcPr>
          <w:p>
            <w:pPr>
              <w:pStyle w:val="nTable"/>
              <w:spacing w:before="26" w:after="24"/>
              <w:rPr>
                <w:snapToGrid w:val="0"/>
              </w:rPr>
            </w:pPr>
            <w:r>
              <w:rPr>
                <w:snapToGrid w:val="0"/>
              </w:rPr>
              <w:t>1 Oct 2010</w:t>
            </w:r>
          </w:p>
        </w:tc>
        <w:tc>
          <w:tcPr>
            <w:tcW w:w="2549" w:type="dxa"/>
          </w:tcPr>
          <w:p>
            <w:pPr>
              <w:pStyle w:val="nTable"/>
              <w:spacing w:before="26" w:after="24"/>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6" w:type="dxa"/>
          <w:cantSplit/>
        </w:trPr>
        <w:tc>
          <w:tcPr>
            <w:tcW w:w="7083" w:type="dxa"/>
            <w:gridSpan w:val="7"/>
          </w:tcPr>
          <w:p>
            <w:pPr>
              <w:pStyle w:val="nTable"/>
              <w:spacing w:before="26" w:after="24"/>
              <w:rPr>
                <w:snapToGrid w:val="0"/>
              </w:rPr>
            </w:pPr>
            <w:r>
              <w:rPr>
                <w:b/>
              </w:rPr>
              <w:t xml:space="preserve">Reprint 4: The </w:t>
            </w:r>
            <w:r>
              <w:rPr>
                <w:b/>
                <w:i/>
              </w:rPr>
              <w:t>Health and Disability Services (Complaints) Act 1995</w:t>
            </w:r>
            <w:r>
              <w:rPr>
                <w:b/>
              </w:rPr>
              <w:t xml:space="preserve"> as at 7 Jan 2011</w:t>
            </w:r>
            <w:r>
              <w:rPr>
                <w:b/>
              </w:rPr>
              <w:br/>
            </w:r>
            <w:r>
              <w:t xml:space="preserve">(includes amendments listed above except those in the </w:t>
            </w:r>
            <w:r>
              <w:rPr>
                <w:i/>
                <w:snapToGrid w:val="0"/>
              </w:rPr>
              <w:t>Health Practitioner Regulation National Law (WA) Act 2010</w:t>
            </w:r>
            <w:r>
              <w:rPr>
                <w:snapToGrid w:val="0"/>
              </w:rPr>
              <w:t xml:space="preserve"> s. 91(4) and (5)</w:t>
            </w:r>
            <w:r>
              <w:t>)</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13</w:t>
            </w:r>
          </w:p>
        </w:tc>
        <w:tc>
          <w:tcPr>
            <w:tcW w:w="1134" w:type="dxa"/>
            <w:gridSpan w:val="2"/>
            <w:tcBorders>
              <w:top w:val="nil"/>
              <w:bottom w:val="nil"/>
            </w:tcBorders>
          </w:tcPr>
          <w:p>
            <w:pPr>
              <w:pStyle w:val="nTable"/>
              <w:spacing w:after="40"/>
              <w:rPr>
                <w:snapToGrid w:val="0"/>
                <w:lang w:val="en-US"/>
              </w:rPr>
            </w:pPr>
            <w:r>
              <w:rPr>
                <w:snapToGrid w:val="0"/>
                <w:lang w:val="en-US"/>
              </w:rPr>
              <w:t>25 of 2014</w:t>
            </w:r>
          </w:p>
        </w:tc>
        <w:tc>
          <w:tcPr>
            <w:tcW w:w="1148" w:type="dxa"/>
            <w:gridSpan w:val="2"/>
            <w:tcBorders>
              <w:top w:val="nil"/>
              <w:bottom w:val="nil"/>
            </w:tcBorders>
          </w:tcPr>
          <w:p>
            <w:pPr>
              <w:pStyle w:val="nTable"/>
              <w:spacing w:after="40"/>
              <w:rPr>
                <w:snapToGrid w:val="0"/>
                <w:lang w:val="en-US"/>
              </w:rPr>
            </w:pPr>
            <w:r>
              <w:t>3 Nov 2014</w:t>
            </w:r>
          </w:p>
        </w:tc>
        <w:tc>
          <w:tcPr>
            <w:tcW w:w="2549" w:type="dxa"/>
            <w:tcBorders>
              <w:top w:val="nil"/>
              <w:bottom w:val="nil"/>
            </w:tcBorders>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single" w:sz="4" w:space="0" w:color="auto"/>
            </w:tcBorders>
          </w:tcPr>
          <w:p>
            <w:pPr>
              <w:pStyle w:val="nTable"/>
              <w:spacing w:after="40"/>
              <w:rPr>
                <w:i/>
              </w:rPr>
            </w:pPr>
            <w:r>
              <w:rPr>
                <w:i/>
                <w:snapToGrid w:val="0"/>
              </w:rPr>
              <w:t>Health Services Act 2016</w:t>
            </w:r>
            <w:r>
              <w:rPr>
                <w:snapToGrid w:val="0"/>
              </w:rPr>
              <w:t xml:space="preserve"> s. 292</w:t>
            </w:r>
          </w:p>
        </w:tc>
        <w:tc>
          <w:tcPr>
            <w:tcW w:w="1134" w:type="dxa"/>
            <w:gridSpan w:val="2"/>
            <w:tcBorders>
              <w:top w:val="nil"/>
              <w:bottom w:val="single" w:sz="4" w:space="0" w:color="auto"/>
            </w:tcBorders>
          </w:tcPr>
          <w:p>
            <w:pPr>
              <w:pStyle w:val="nTable"/>
              <w:spacing w:after="40"/>
              <w:rPr>
                <w:snapToGrid w:val="0"/>
                <w:lang w:val="en-US"/>
              </w:rPr>
            </w:pPr>
            <w:r>
              <w:t>11 of 2016</w:t>
            </w:r>
          </w:p>
        </w:tc>
        <w:tc>
          <w:tcPr>
            <w:tcW w:w="1148" w:type="dxa"/>
            <w:gridSpan w:val="2"/>
            <w:tcBorders>
              <w:top w:val="nil"/>
              <w:bottom w:val="single" w:sz="4" w:space="0" w:color="auto"/>
            </w:tcBorders>
          </w:tcPr>
          <w:p>
            <w:pPr>
              <w:pStyle w:val="nTable"/>
              <w:spacing w:after="40"/>
            </w:pPr>
            <w:r>
              <w:t>26 May 2016</w:t>
            </w:r>
          </w:p>
        </w:tc>
        <w:tc>
          <w:tcPr>
            <w:tcW w:w="2549" w:type="dxa"/>
            <w:tcBorders>
              <w:top w:val="nil"/>
              <w:bottom w:val="single" w:sz="4" w:space="0" w:color="auto"/>
            </w:tcBorders>
          </w:tcPr>
          <w:p>
            <w:pPr>
              <w:pStyle w:val="nTable"/>
              <w:spacing w:after="40"/>
              <w:rPr>
                <w:snapToGrid w:val="0"/>
                <w:lang w:val="en-US"/>
              </w:rPr>
            </w:pPr>
            <w:r>
              <w:rPr>
                <w:snapToGrid w:val="0"/>
                <w:lang w:val="en-US"/>
              </w:rPr>
              <w:t xml:space="preserve">1 Jul 2016 (see s. 2(b) and </w:t>
            </w:r>
            <w:r>
              <w:rPr>
                <w:i/>
                <w:snapToGrid w:val="0"/>
                <w:lang w:val="en-US"/>
              </w:rPr>
              <w:t>Gazette</w:t>
            </w:r>
            <w:r>
              <w:rPr>
                <w:snapToGrid w:val="0"/>
                <w:lang w:val="en-US"/>
              </w:rPr>
              <w:t xml:space="preserve"> 24 Jun 2016 p. 2291)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1" w:name="_Toc455413026"/>
      <w:r>
        <w:rPr>
          <w:snapToGrid w:val="0"/>
        </w:rPr>
        <w:t>Provisions that have not come into operation</w:t>
      </w:r>
      <w:bookmarkEnd w:id="191"/>
    </w:p>
    <w:tbl>
      <w:tblPr>
        <w:tblW w:w="7087" w:type="dxa"/>
        <w:tblInd w:w="56" w:type="dxa"/>
        <w:tblLayout w:type="fixed"/>
        <w:tblCellMar>
          <w:left w:w="56" w:type="dxa"/>
          <w:right w:w="56" w:type="dxa"/>
        </w:tblCellMar>
        <w:tblLook w:val="0000" w:firstRow="0" w:lastRow="0" w:firstColumn="0" w:lastColumn="0" w:noHBand="0" w:noVBand="0"/>
      </w:tblPr>
      <w:tblGrid>
        <w:gridCol w:w="2266"/>
        <w:gridCol w:w="1135"/>
        <w:gridCol w:w="1135"/>
        <w:gridCol w:w="2551"/>
      </w:tblGrid>
      <w:tr>
        <w:trPr>
          <w:cantSplit/>
          <w:tblHeader/>
        </w:trPr>
        <w:tc>
          <w:tcPr>
            <w:tcW w:w="2266" w:type="dxa"/>
            <w:tcBorders>
              <w:top w:val="single" w:sz="8" w:space="0" w:color="auto"/>
              <w:bottom w:val="single" w:sz="4" w:space="0" w:color="auto"/>
            </w:tcBorders>
          </w:tcPr>
          <w:p>
            <w:pPr>
              <w:pStyle w:val="nTable"/>
              <w:spacing w:after="40"/>
              <w:ind w:right="113"/>
              <w:rPr>
                <w:b/>
              </w:rPr>
            </w:pPr>
            <w:r>
              <w:rPr>
                <w:b/>
              </w:rPr>
              <w:t>Short title</w:t>
            </w:r>
          </w:p>
        </w:tc>
        <w:tc>
          <w:tcPr>
            <w:tcW w:w="1135" w:type="dxa"/>
            <w:tcBorders>
              <w:top w:val="single" w:sz="8" w:space="0" w:color="auto"/>
              <w:bottom w:val="single" w:sz="4" w:space="0" w:color="auto"/>
            </w:tcBorders>
          </w:tcPr>
          <w:p>
            <w:pPr>
              <w:pStyle w:val="nTable"/>
              <w:spacing w:after="40"/>
              <w:rPr>
                <w:b/>
              </w:rPr>
            </w:pPr>
            <w:r>
              <w:rPr>
                <w:b/>
              </w:rPr>
              <w:t>Number and year</w:t>
            </w:r>
          </w:p>
        </w:tc>
        <w:tc>
          <w:tcPr>
            <w:tcW w:w="1135" w:type="dxa"/>
            <w:tcBorders>
              <w:top w:val="single" w:sz="8" w:space="0" w:color="auto"/>
              <w:bottom w:val="single" w:sz="4" w:space="0" w:color="auto"/>
            </w:tcBorders>
          </w:tcPr>
          <w:p>
            <w:pPr>
              <w:pStyle w:val="nTable"/>
              <w:spacing w:after="40"/>
              <w:rPr>
                <w:b/>
              </w:rPr>
            </w:pPr>
            <w:r>
              <w:rPr>
                <w:b/>
              </w:rPr>
              <w:t>Assent</w:t>
            </w:r>
          </w:p>
        </w:tc>
        <w:tc>
          <w:tcPr>
            <w:tcW w:w="2551" w:type="dxa"/>
            <w:tcBorders>
              <w:top w:val="single" w:sz="8" w:space="0" w:color="auto"/>
              <w:bottom w:val="single" w:sz="4" w:space="0" w:color="auto"/>
            </w:tcBorders>
          </w:tcPr>
          <w:p>
            <w:pPr>
              <w:pStyle w:val="nTable"/>
              <w:spacing w:after="40"/>
              <w:rPr>
                <w:b/>
              </w:rPr>
            </w:pPr>
            <w:r>
              <w:rPr>
                <w:b/>
              </w:rPr>
              <w:t>Commencement</w:t>
            </w:r>
          </w:p>
        </w:tc>
      </w:tr>
      <w:tr>
        <w:trPr>
          <w:cantSplit/>
        </w:trPr>
        <w:tc>
          <w:tcPr>
            <w:tcW w:w="2266" w:type="dxa"/>
            <w:tcBorders>
              <w:top w:val="single" w:sz="4" w:space="0" w:color="auto"/>
              <w:bottom w:val="single" w:sz="4" w:space="0" w:color="auto"/>
            </w:tcBorders>
          </w:tcPr>
          <w:p>
            <w:pPr>
              <w:pStyle w:val="nTable"/>
              <w:spacing w:after="40"/>
              <w:ind w:left="-28"/>
              <w:rPr>
                <w:i/>
              </w:rPr>
            </w:pPr>
            <w:r>
              <w:rPr>
                <w:i/>
              </w:rPr>
              <w:t xml:space="preserve">State </w:t>
            </w:r>
            <w:r>
              <w:rPr>
                <w:i/>
                <w:snapToGrid w:val="0"/>
              </w:rPr>
              <w:t>Superannuation</w:t>
            </w:r>
            <w:r>
              <w:rPr>
                <w:i/>
              </w:rPr>
              <w:t xml:space="preserve"> (Transitional and Consequential Provisions) Act 2000</w:t>
            </w:r>
            <w:r>
              <w:t xml:space="preserve"> s. 75 </w:t>
            </w:r>
            <w:r>
              <w:rPr>
                <w:vertAlign w:val="superscript"/>
              </w:rPr>
              <w:t>6</w:t>
            </w:r>
          </w:p>
        </w:tc>
        <w:tc>
          <w:tcPr>
            <w:tcW w:w="1135" w:type="dxa"/>
            <w:tcBorders>
              <w:top w:val="single" w:sz="4" w:space="0" w:color="auto"/>
              <w:bottom w:val="single" w:sz="4" w:space="0" w:color="auto"/>
            </w:tcBorders>
          </w:tcPr>
          <w:p>
            <w:pPr>
              <w:pStyle w:val="nTable"/>
              <w:spacing w:after="40"/>
            </w:pPr>
            <w:r>
              <w:t>43 of 2000</w:t>
            </w:r>
          </w:p>
        </w:tc>
        <w:tc>
          <w:tcPr>
            <w:tcW w:w="1135" w:type="dxa"/>
            <w:tcBorders>
              <w:top w:val="single" w:sz="4" w:space="0" w:color="auto"/>
              <w:bottom w:val="single" w:sz="4" w:space="0" w:color="auto"/>
            </w:tcBorders>
          </w:tcPr>
          <w:p>
            <w:pPr>
              <w:pStyle w:val="nTable"/>
              <w:spacing w:after="40"/>
            </w:pPr>
            <w:r>
              <w:t>2 Nov 2000</w:t>
            </w:r>
          </w:p>
        </w:tc>
        <w:tc>
          <w:tcPr>
            <w:tcW w:w="2551" w:type="dxa"/>
            <w:tcBorders>
              <w:top w:val="single" w:sz="4" w:space="0" w:color="auto"/>
              <w:bottom w:val="single" w:sz="4" w:space="0" w:color="auto"/>
            </w:tcBorders>
          </w:tcPr>
          <w:p>
            <w:pPr>
              <w:pStyle w:val="nTable"/>
              <w:spacing w:after="40"/>
            </w:pPr>
            <w:r>
              <w:t>To be proclaimed (see s. 2(2))</w:t>
            </w:r>
          </w:p>
        </w:tc>
      </w:tr>
    </w:tbl>
    <w:p>
      <w:pPr>
        <w:pStyle w:val="nSubsection"/>
        <w:rPr>
          <w:vertAlign w:val="superscript"/>
        </w:rPr>
      </w:pPr>
    </w:p>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Now known as the </w:t>
      </w:r>
      <w:r>
        <w:rPr>
          <w:i/>
          <w:iCs/>
          <w:snapToGrid w:val="0"/>
        </w:rPr>
        <w:t>Health and Disability Services (Complaints) Act 1995</w:t>
      </w:r>
      <w:r>
        <w:rPr>
          <w:snapToGrid w:val="0"/>
        </w:rPr>
        <w:t>; short title changed (see note under s. 1).</w:t>
      </w:r>
    </w:p>
    <w:p>
      <w:pPr>
        <w:pStyle w:val="nSubsection"/>
        <w:keepNext/>
        <w:keepLines/>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5</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BlankOpen"/>
        <w:rPr>
          <w:snapToGrid w:val="0"/>
        </w:rPr>
      </w:pP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rPr>
          <w:snapToGrid w:val="0"/>
        </w:rPr>
      </w:pPr>
    </w:p>
    <w:p>
      <w:pPr>
        <w:pStyle w:val="BlankClose"/>
        <w:rPr>
          <w:snapToGrid w:val="0"/>
        </w:rPr>
      </w:pP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bookmarkStart w:id="193" w:name="_Toc435776511"/>
      <w:bookmarkStart w:id="194" w:name="_Toc435776616"/>
      <w:bookmarkStart w:id="195" w:name="_Toc435776881"/>
      <w:bookmarkStart w:id="196" w:name="_Toc436059448"/>
      <w:bookmarkStart w:id="197" w:name="_Toc452545375"/>
      <w:bookmarkStart w:id="198" w:name="_Toc455413027"/>
      <w:r>
        <w:rPr>
          <w:sz w:val="28"/>
        </w:rPr>
        <w:t>Defined terms</w:t>
      </w:r>
      <w:bookmarkEnd w:id="193"/>
      <w:bookmarkEnd w:id="194"/>
      <w:bookmarkEnd w:id="195"/>
      <w:bookmarkEnd w:id="196"/>
      <w:bookmarkEnd w:id="197"/>
      <w:bookmarkEnd w:id="1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carer</w:t>
      </w:r>
      <w:r>
        <w:tab/>
        <w:t>3(1)</w:t>
      </w:r>
    </w:p>
    <w:p>
      <w:pPr>
        <w:pStyle w:val="DefinedTerms"/>
      </w:pPr>
      <w:r>
        <w:t>conciliator</w:t>
      </w:r>
      <w:r>
        <w:tab/>
        <w:t>3(1)</w:t>
      </w:r>
    </w:p>
    <w:p>
      <w:pPr>
        <w:pStyle w:val="DefinedTerms"/>
      </w:pPr>
      <w:r>
        <w:t>Director</w:t>
      </w:r>
      <w:r>
        <w:tab/>
        <w:t>3(1)</w:t>
      </w:r>
    </w:p>
    <w:p>
      <w:pPr>
        <w:pStyle w:val="DefinedTerms"/>
      </w:pPr>
      <w:r>
        <w:t>document</w:t>
      </w:r>
      <w:r>
        <w:tab/>
        <w:t>12(5)</w:t>
      </w:r>
    </w:p>
    <w:p>
      <w:pPr>
        <w:pStyle w:val="DefinedTerms"/>
      </w:pPr>
      <w:r>
        <w:t>excluded service</w:t>
      </w:r>
      <w:r>
        <w:tab/>
        <w:t>3(1)</w:t>
      </w:r>
    </w:p>
    <w:p>
      <w:pPr>
        <w:pStyle w:val="DefinedTerms"/>
      </w:pPr>
      <w:r>
        <w:t>functions of the Director</w:t>
      </w:r>
      <w:r>
        <w:tab/>
        <w:t>11(4)</w:t>
      </w:r>
    </w:p>
    <w:p>
      <w:pPr>
        <w:pStyle w:val="DefinedTerms"/>
      </w:pPr>
      <w:r>
        <w:t>Health Department</w:t>
      </w:r>
      <w:r>
        <w:tab/>
        <w:t>3(1)</w:t>
      </w:r>
    </w:p>
    <w:p>
      <w:pPr>
        <w:pStyle w:val="DefinedTerms"/>
      </w:pPr>
      <w:r>
        <w:t>health service</w:t>
      </w:r>
      <w:r>
        <w:tab/>
        <w:t>3(1)</w:t>
      </w:r>
    </w:p>
    <w:p>
      <w:pPr>
        <w:pStyle w:val="DefinedTerms"/>
      </w:pPr>
      <w:r>
        <w:t>industrial tribunal</w:t>
      </w:r>
      <w:r>
        <w:tab/>
        <w:t>3(1)</w:t>
      </w:r>
    </w:p>
    <w:p>
      <w:pPr>
        <w:pStyle w:val="DefinedTerms"/>
      </w:pPr>
      <w:r>
        <w:t>information</w:t>
      </w:r>
      <w:r>
        <w:tab/>
        <w:t>12(5)</w:t>
      </w:r>
    </w:p>
    <w:p>
      <w:pPr>
        <w:pStyle w:val="DefinedTerms"/>
      </w:pPr>
      <w:r>
        <w:t>manager</w:t>
      </w:r>
      <w:r>
        <w:tab/>
        <w:t>25(2)</w:t>
      </w:r>
    </w:p>
    <w:p>
      <w:pPr>
        <w:pStyle w:val="DefinedTerms"/>
      </w:pPr>
      <w:r>
        <w:t xml:space="preserve">member of the staff </w:t>
      </w:r>
      <w:r>
        <w:tab/>
        <w:t>3(1)</w:t>
      </w:r>
    </w:p>
    <w:p>
      <w:pPr>
        <w:pStyle w:val="DefinedTerms"/>
      </w:pPr>
      <w:r>
        <w:t>misbehaviour</w:t>
      </w:r>
      <w:r>
        <w:tab/>
        <w:t>Sch. 2 cl. 5(2)</w:t>
      </w:r>
    </w:p>
    <w:p>
      <w:pPr>
        <w:pStyle w:val="DefinedTerms"/>
      </w:pPr>
      <w:r>
        <w:t>Office</w:t>
      </w:r>
      <w:r>
        <w:tab/>
        <w:t>3(1)</w:t>
      </w:r>
    </w:p>
    <w:p>
      <w:pPr>
        <w:pStyle w:val="DefinedTerms"/>
      </w:pPr>
      <w:r>
        <w:t>person’s representative</w:t>
      </w:r>
      <w:r>
        <w:tab/>
        <w:t>67(2)</w:t>
      </w:r>
    </w:p>
    <w:p>
      <w:pPr>
        <w:pStyle w:val="DefinedTerms"/>
      </w:pPr>
      <w:r>
        <w:t>provide</w:t>
      </w:r>
      <w:r>
        <w:tab/>
        <w:t>3(1)</w:t>
      </w:r>
    </w:p>
    <w:p>
      <w:pPr>
        <w:pStyle w:val="DefinedTerms"/>
      </w:pPr>
      <w:r>
        <w:t>provider</w:t>
      </w:r>
      <w:r>
        <w:tab/>
        <w:t>3(1)</w:t>
      </w:r>
    </w:p>
    <w:p>
      <w:pPr>
        <w:pStyle w:val="DefinedTerms"/>
      </w:pPr>
      <w:r>
        <w:t>public provider</w:t>
      </w:r>
      <w:r>
        <w:tab/>
        <w:t>3(1)</w:t>
      </w:r>
    </w:p>
    <w:p>
      <w:pPr>
        <w:pStyle w:val="DefinedTerms"/>
      </w:pPr>
      <w:r>
        <w:t>registered provider</w:t>
      </w:r>
      <w:r>
        <w:tab/>
        <w:t>3(1)</w:t>
      </w:r>
    </w:p>
    <w:p>
      <w:pPr>
        <w:pStyle w:val="DefinedTerms"/>
      </w:pPr>
      <w:r>
        <w:t>registration board</w:t>
      </w:r>
      <w:r>
        <w:tab/>
        <w:t>3(1)</w:t>
      </w:r>
    </w:p>
    <w:p>
      <w:pPr>
        <w:pStyle w:val="DefinedTerms"/>
      </w:pPr>
      <w:r>
        <w:t>relative</w:t>
      </w:r>
      <w:r>
        <w:tab/>
        <w:t>20(4)</w:t>
      </w:r>
    </w:p>
    <w:p>
      <w:pPr>
        <w:pStyle w:val="DefinedTerms"/>
      </w:pPr>
      <w:r>
        <w:t>user</w:t>
      </w:r>
      <w:r>
        <w:tab/>
        <w:t>3(1)</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04-f0-01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rPr>
          <w:i/>
        </w:rPr>
      </w:pPr>
    </w:p>
    <w:p/>
    <w:p/>
    <w:p>
      <w:pPr>
        <w:pBdr>
          <w:bottom w:val="single" w:sz="6" w:space="1" w:color="auto"/>
        </w:pBdr>
        <w:rPr>
          <w:b/>
        </w:rPr>
      </w:pPr>
    </w:p>
    <w:p>
      <w:pPr>
        <w:pStyle w:val="Heade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Health and Disability Services (Complaints) Act 1995</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9" w:name="Schedule"/>
    <w:bookmarkEnd w:id="1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Registration Boards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Registration Boards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92" w:name="Compilation"/>
    <w:bookmarkEnd w:id="19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9" w:name="DefinedTerms"/>
    <w:bookmarkEnd w:id="1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0" w:name="Coversheet"/>
    <w:bookmarkEnd w:id="2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lvlText w:val="%1."/>
      <w:lvlJc w:val="left"/>
      <w:pPr>
        <w:tabs>
          <w:tab w:val="num" w:pos="1492"/>
        </w:tabs>
        <w:ind w:left="1492" w:hanging="360"/>
      </w:pPr>
    </w:lvl>
  </w:abstractNum>
  <w:abstractNum w:abstractNumId="1">
    <w:nsid w:val="FFFFFF7D"/>
    <w:multiLevelType w:val="singleLevel"/>
    <w:tmpl w:val="CC3EFB9A"/>
    <w:lvl w:ilvl="0">
      <w:start w:val="1"/>
      <w:numFmt w:val="decimal"/>
      <w:lvlText w:val="%1."/>
      <w:lvlJc w:val="left"/>
      <w:pPr>
        <w:tabs>
          <w:tab w:val="num" w:pos="1209"/>
        </w:tabs>
        <w:ind w:left="1209" w:hanging="360"/>
      </w:pPr>
    </w:lvl>
  </w:abstractNum>
  <w:abstractNum w:abstractNumId="2">
    <w:nsid w:val="FFFFFF7E"/>
    <w:multiLevelType w:val="singleLevel"/>
    <w:tmpl w:val="7D0E226C"/>
    <w:lvl w:ilvl="0">
      <w:start w:val="1"/>
      <w:numFmt w:val="decimal"/>
      <w:lvlText w:val="%1."/>
      <w:lvlJc w:val="left"/>
      <w:pPr>
        <w:tabs>
          <w:tab w:val="num" w:pos="926"/>
        </w:tabs>
        <w:ind w:left="926" w:hanging="360"/>
      </w:pPr>
    </w:lvl>
  </w:abstractNum>
  <w:abstractNum w:abstractNumId="3">
    <w:nsid w:val="FFFFFF7F"/>
    <w:multiLevelType w:val="singleLevel"/>
    <w:tmpl w:val="D124E5E8"/>
    <w:lvl w:ilvl="0">
      <w:start w:val="1"/>
      <w:numFmt w:val="decimal"/>
      <w:lvlText w:val="%1."/>
      <w:lvlJc w:val="left"/>
      <w:pPr>
        <w:tabs>
          <w:tab w:val="num" w:pos="643"/>
        </w:tabs>
        <w:ind w:left="643" w:hanging="360"/>
      </w:pPr>
    </w:lvl>
  </w:abstractNum>
  <w:abstractNum w:abstractNumId="4">
    <w:nsid w:val="FFFFFF80"/>
    <w:multiLevelType w:val="singleLevel"/>
    <w:tmpl w:val="E03613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lvlText w:val="%1."/>
      <w:lvlJc w:val="left"/>
      <w:pPr>
        <w:tabs>
          <w:tab w:val="num" w:pos="360"/>
        </w:tabs>
        <w:ind w:left="360" w:hanging="360"/>
      </w:pPr>
    </w:lvl>
  </w:abstractNum>
  <w:abstractNum w:abstractNumId="9">
    <w:nsid w:val="FFFFFF89"/>
    <w:multiLevelType w:val="singleLevel"/>
    <w:tmpl w:val="CEA40C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D72E6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837"/>
    <w:docVar w:name="WAFER_20141104172507" w:val="RemoveTocBookmarks,RemoveUnusedBookmarks,RemoveLanguageTags,UsedStyles,ResetPageSize,UpdateArrangement"/>
    <w:docVar w:name="WAFER_20141104172507_GUID" w:val="771f2690-c46f-4d58-8528-f4283360695b"/>
    <w:docVar w:name="WAFER_20141104172523" w:val="RemoveTocBookmarks,RemoveUnusedBookmarks,RemoveLanguageTags,UsedStyles,ResetPageSize,UpdateArrangement"/>
    <w:docVar w:name="WAFER_20141104172523_GUID" w:val="02c55d8f-18ab-41ca-b585-cad14efffe39"/>
    <w:docVar w:name="WAFER_20150515104137" w:val="ResetPageSize,UpdateArrangement,UpdateNTable"/>
    <w:docVar w:name="WAFER_20150515104137_GUID" w:val="b486fc97-d35b-4721-82d2-edab5af87b42"/>
    <w:docVar w:name="WAFER_20151105132837" w:val="UpdateStyles,UsedStyles"/>
    <w:docVar w:name="WAFER_20151105132837_GUID" w:val="d34af7fa-990c-40d8-8031-b7b558ae79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14196</Words>
  <Characters>67434</Characters>
  <Application>Microsoft Office Word</Application>
  <DocSecurity>0</DocSecurity>
  <Lines>1926</Lines>
  <Paragraphs>1236</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80394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Act 1995 - 04-f0-01</dc:title>
  <dc:subject/>
  <dc:creator/>
  <cp:keywords/>
  <dc:description/>
  <cp:lastModifiedBy>svcMRProcess</cp:lastModifiedBy>
  <cp:revision>4</cp:revision>
  <cp:lastPrinted>2011-01-11T00:45:00Z</cp:lastPrinted>
  <dcterms:created xsi:type="dcterms:W3CDTF">2018-08-30T06:19:00Z</dcterms:created>
  <dcterms:modified xsi:type="dcterms:W3CDTF">2018-08-30T06:19:00Z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DocumentType">
    <vt:lpwstr>Act</vt:lpwstr>
  </property>
  <property fmtid="{D5CDD505-2E9C-101B-9397-08002B2CF9AE}" pid="4" name="OwlsUID">
    <vt:i4>345</vt:i4>
  </property>
  <property fmtid="{D5CDD505-2E9C-101B-9397-08002B2CF9AE}" pid="5" name="ReprintNo">
    <vt:lpwstr>4</vt:lpwstr>
  </property>
  <property fmtid="{D5CDD505-2E9C-101B-9397-08002B2CF9AE}" pid="6" name="ReprintedAsAt">
    <vt:filetime>2011-01-06T16:00:00Z</vt:filetime>
  </property>
  <property fmtid="{D5CDD505-2E9C-101B-9397-08002B2CF9AE}" pid="7" name="AsAtDate">
    <vt:lpwstr>01 Jul 2016</vt:lpwstr>
  </property>
  <property fmtid="{D5CDD505-2E9C-101B-9397-08002B2CF9AE}" pid="8" name="Suffix">
    <vt:lpwstr>04-f0-01</vt:lpwstr>
  </property>
  <property fmtid="{D5CDD505-2E9C-101B-9397-08002B2CF9AE}" pid="9" name="CommencementDate">
    <vt:lpwstr>20160701</vt:lpwstr>
  </property>
</Properties>
</file>