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_Toc455412587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_Toc455412588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Prescribed time (Act s. 75(1))</w:t>
      </w:r>
      <w:r>
        <w:tab/>
      </w:r>
      <w:r>
        <w:fldChar w:fldCharType="begin"/>
      </w:r>
      <w:r>
        <w:instrText xml:space="preserve"> PAGEREF _Toc455412589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providers and classes of providers (Act s. 75(1))</w:t>
      </w:r>
      <w:r>
        <w:tab/>
      </w:r>
      <w:r>
        <w:fldChar w:fldCharType="begin"/>
      </w:r>
      <w:r>
        <w:instrText xml:space="preserve"> PAGEREF _Toc455412590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Return, form of (Act s. 75(2))</w:t>
      </w:r>
      <w:r>
        <w:tab/>
      </w:r>
      <w:r>
        <w:fldChar w:fldCharType="begin"/>
      </w:r>
      <w:r>
        <w:instrText xml:space="preserve"> PAGEREF _Toc455412591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Private hospitals</w:t>
      </w:r>
    </w:p>
    <w:p>
      <w:pPr>
        <w:pStyle w:val="TOC2"/>
        <w:tabs>
          <w:tab w:val="right" w:leader="dot" w:pos="7077"/>
        </w:tabs>
        <w:rPr>
          <w:rFonts w:asciiTheme="minorHAnsi" w:eastAsiaTheme="minorEastAsia" w:hAnsiTheme="minorHAnsi" w:cstheme="minorBidi"/>
          <w:b w:val="0"/>
          <w:sz w:val="22"/>
          <w:szCs w:val="22"/>
          <w:lang w:eastAsia="en-AU"/>
        </w:rPr>
      </w:pPr>
      <w:r>
        <w:t>Schedule 2 — Form</w:t>
      </w:r>
    </w:p>
    <w:p>
      <w:pPr>
        <w:pStyle w:val="TOC8"/>
        <w:rPr>
          <w:rFonts w:asciiTheme="minorHAnsi" w:eastAsiaTheme="minorEastAsia" w:hAnsiTheme="minorHAnsi" w:cstheme="minorBidi"/>
          <w:szCs w:val="22"/>
          <w:lang w:eastAsia="en-AU"/>
        </w:rPr>
      </w:pPr>
      <w:r>
        <w:t>1.</w:t>
      </w:r>
      <w:r>
        <w:tab/>
        <w:t>Annual return of complaints information</w:t>
      </w:r>
      <w:r>
        <w:tab/>
      </w:r>
      <w:r>
        <w:fldChar w:fldCharType="begin"/>
      </w:r>
      <w:r>
        <w:instrText xml:space="preserve"> PAGEREF _Toc455412594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_Toc455412596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3" w:name="Start_Cursor"/>
      <w:bookmarkStart w:id="4" w:name="_Toc300911252"/>
      <w:bookmarkStart w:id="5" w:name="_Toc455412587"/>
      <w:bookmarkStart w:id="6" w:name="_Toc423332723"/>
      <w:bookmarkStart w:id="7" w:name="_Toc425219442"/>
      <w:bookmarkStart w:id="8" w:name="_Toc426249309"/>
      <w:bookmarkStart w:id="9" w:name="_Toc449924705"/>
      <w:bookmarkStart w:id="10" w:name="_Toc449947723"/>
      <w:bookmarkStart w:id="11" w:name="_Toc454185714"/>
      <w:bookmarkStart w:id="12" w:name="_Toc515958687"/>
      <w:bookmarkStart w:id="13" w:name="_Toc260403656"/>
      <w:bookmarkEnd w:id="3"/>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Gazette 20 May 2011 p. 1838.]</w:t>
      </w:r>
    </w:p>
    <w:p>
      <w:pPr>
        <w:pStyle w:val="Heading5"/>
        <w:rPr>
          <w:spacing w:val="-2"/>
        </w:rPr>
      </w:pPr>
      <w:bookmarkStart w:id="14" w:name="_Toc300911253"/>
      <w:bookmarkStart w:id="15" w:name="_Toc455412588"/>
      <w:r>
        <w:rPr>
          <w:rStyle w:val="CharSectno"/>
        </w:rPr>
        <w:t>2</w:t>
      </w:r>
      <w:r>
        <w:rPr>
          <w:spacing w:val="-2"/>
        </w:rPr>
        <w:t>.</w:t>
      </w:r>
      <w:r>
        <w:rPr>
          <w:spacing w:val="-2"/>
        </w:rPr>
        <w:tab/>
        <w:t>Commencement</w:t>
      </w:r>
      <w:bookmarkEnd w:id="6"/>
      <w:bookmarkEnd w:id="7"/>
      <w:bookmarkEnd w:id="8"/>
      <w:bookmarkEnd w:id="9"/>
      <w:bookmarkEnd w:id="10"/>
      <w:bookmarkEnd w:id="11"/>
      <w:bookmarkEnd w:id="12"/>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16" w:name="_Toc260403657"/>
      <w:bookmarkStart w:id="17" w:name="_Toc300911254"/>
      <w:bookmarkStart w:id="18" w:name="_Toc455412589"/>
      <w:r>
        <w:rPr>
          <w:rStyle w:val="CharSectno"/>
        </w:rPr>
        <w:t>3</w:t>
      </w:r>
      <w:r>
        <w:t>.</w:t>
      </w:r>
      <w:r>
        <w:tab/>
        <w:t>Prescribed time (Act s. 75(1))</w:t>
      </w:r>
      <w:bookmarkEnd w:id="16"/>
      <w:bookmarkEnd w:id="17"/>
      <w:bookmarkEnd w:id="18"/>
    </w:p>
    <w:p>
      <w:pPr>
        <w:pStyle w:val="Subsection"/>
      </w:pPr>
      <w:r>
        <w:tab/>
      </w:r>
      <w:r>
        <w:tab/>
        <w:t>For the purposes of section 75(1) of the Act, the prescribed time is 31 days.</w:t>
      </w:r>
    </w:p>
    <w:p>
      <w:pPr>
        <w:pStyle w:val="Heading5"/>
      </w:pPr>
      <w:bookmarkStart w:id="19" w:name="_Toc260403658"/>
      <w:bookmarkStart w:id="20" w:name="_Toc300911255"/>
      <w:bookmarkStart w:id="21" w:name="_Toc455412590"/>
      <w:r>
        <w:rPr>
          <w:rStyle w:val="CharSectno"/>
        </w:rPr>
        <w:t>4</w:t>
      </w:r>
      <w:r>
        <w:t>.</w:t>
      </w:r>
      <w:r>
        <w:tab/>
        <w:t>Prescribed providers and classes of providers (Act s. 75(1))</w:t>
      </w:r>
      <w:bookmarkEnd w:id="19"/>
      <w:bookmarkEnd w:id="20"/>
      <w:bookmarkEnd w:id="21"/>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pPr>
      <w:r>
        <w:tab/>
        <w:t>(b)</w:t>
      </w:r>
      <w:r>
        <w:tab/>
        <w:t>the class comprising the people who manage or are the chief executives of the private hospitals listed in Schedule 1.</w:t>
      </w:r>
    </w:p>
    <w:p>
      <w:pPr>
        <w:pStyle w:val="Footnotesection"/>
      </w:pPr>
      <w:bookmarkStart w:id="22" w:name="_Toc260403659"/>
      <w:r>
        <w:tab/>
        <w:t>[Regulation 4 amended: Gazette 20 May 2011 p. 1838; 24 Jun 2016 p. 2314.]</w:t>
      </w:r>
    </w:p>
    <w:p>
      <w:pPr>
        <w:pStyle w:val="Heading5"/>
      </w:pPr>
      <w:bookmarkStart w:id="23" w:name="_Toc300911256"/>
      <w:bookmarkStart w:id="24" w:name="_Toc455412591"/>
      <w:r>
        <w:rPr>
          <w:rStyle w:val="CharSectno"/>
        </w:rPr>
        <w:t>5</w:t>
      </w:r>
      <w:r>
        <w:t>.</w:t>
      </w:r>
      <w:r>
        <w:tab/>
        <w:t>Return, form of (Act s. 75(2))</w:t>
      </w:r>
      <w:bookmarkEnd w:id="22"/>
      <w:bookmarkEnd w:id="23"/>
      <w:bookmarkEnd w:id="24"/>
    </w:p>
    <w:p>
      <w:pPr>
        <w:pStyle w:val="Subsection"/>
      </w:pPr>
      <w:r>
        <w:tab/>
      </w:r>
      <w:r>
        <w:tab/>
        <w:t>For the purposes of section 75(2) of the Act, the prescribed form is Form 1 in Schedule 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25" w:name="_Toc259431834"/>
      <w:bookmarkStart w:id="26" w:name="_Toc259431851"/>
      <w:bookmarkStart w:id="27" w:name="_Toc259438349"/>
      <w:bookmarkStart w:id="28" w:name="_Toc259439614"/>
      <w:bookmarkStart w:id="29" w:name="_Toc259439946"/>
      <w:bookmarkStart w:id="30" w:name="_Toc259440025"/>
      <w:bookmarkStart w:id="31" w:name="_Toc259440485"/>
      <w:bookmarkStart w:id="32" w:name="_Toc259440669"/>
      <w:bookmarkStart w:id="33" w:name="_Toc259441071"/>
      <w:bookmarkStart w:id="34" w:name="_Toc259456103"/>
      <w:bookmarkStart w:id="35" w:name="_Toc259456402"/>
      <w:bookmarkStart w:id="36" w:name="_Toc259456436"/>
      <w:bookmarkStart w:id="37" w:name="_Toc259456477"/>
      <w:bookmarkStart w:id="38" w:name="_Toc259456732"/>
      <w:bookmarkStart w:id="39" w:name="_Toc259518086"/>
      <w:bookmarkStart w:id="40" w:name="_Toc259533785"/>
      <w:bookmarkStart w:id="41" w:name="_Toc259537042"/>
      <w:bookmarkStart w:id="42" w:name="_Toc259700322"/>
      <w:bookmarkStart w:id="43" w:name="_Toc259700734"/>
      <w:bookmarkStart w:id="44" w:name="_Toc259701162"/>
      <w:bookmarkStart w:id="45" w:name="_Toc259702390"/>
      <w:bookmarkStart w:id="46" w:name="_Toc260403389"/>
      <w:bookmarkStart w:id="47" w:name="_Toc260403557"/>
      <w:bookmarkStart w:id="48" w:name="_Toc260403660"/>
      <w:bookmarkStart w:id="49" w:name="_Toc262037647"/>
    </w:p>
    <w:p>
      <w:pPr>
        <w:pStyle w:val="yScheduleHeading"/>
        <w:keepNext w:val="0"/>
        <w:pageBreakBefore w:val="0"/>
      </w:pPr>
      <w:bookmarkStart w:id="50" w:name="_Toc293648128"/>
      <w:bookmarkStart w:id="51" w:name="_Toc293648203"/>
      <w:bookmarkStart w:id="52" w:name="_Toc299610664"/>
      <w:bookmarkStart w:id="53" w:name="_Toc299611301"/>
      <w:bookmarkStart w:id="54" w:name="_Toc300910187"/>
      <w:bookmarkStart w:id="55" w:name="_Toc300911257"/>
      <w:bookmarkStart w:id="56" w:name="_Toc419461390"/>
      <w:bookmarkStart w:id="57" w:name="_Toc455412592"/>
      <w:bookmarkStart w:id="58" w:name="_Toc262042548"/>
      <w:bookmarkStart w:id="59" w:name="_Toc262043258"/>
      <w:bookmarkStart w:id="60" w:name="_Toc262044335"/>
      <w:bookmarkStart w:id="61" w:name="_Toc262044984"/>
      <w:r>
        <w:rPr>
          <w:rStyle w:val="CharSchNo"/>
        </w:rPr>
        <w:t>Schedule 1</w:t>
      </w:r>
      <w:r>
        <w:rPr>
          <w:rStyle w:val="CharSDivNo"/>
        </w:rPr>
        <w:t> </w:t>
      </w:r>
      <w:r>
        <w:t>—</w:t>
      </w:r>
      <w:r>
        <w:rPr>
          <w:rStyle w:val="CharSDivText"/>
        </w:rPr>
        <w:t> </w:t>
      </w:r>
      <w:r>
        <w:rPr>
          <w:rStyle w:val="CharSchText"/>
        </w:rPr>
        <w:t>Private hospitals</w:t>
      </w:r>
      <w:bookmarkEnd w:id="50"/>
      <w:bookmarkEnd w:id="51"/>
      <w:bookmarkEnd w:id="52"/>
      <w:bookmarkEnd w:id="53"/>
      <w:bookmarkEnd w:id="54"/>
      <w:bookmarkEnd w:id="55"/>
      <w:bookmarkEnd w:id="56"/>
      <w:bookmarkEnd w:id="57"/>
    </w:p>
    <w:p>
      <w:pPr>
        <w:pStyle w:val="yShoulderClause"/>
      </w:pPr>
      <w:r>
        <w:t>[r. 4(2)(b)]</w:t>
      </w:r>
    </w:p>
    <w:p>
      <w:pPr>
        <w:pStyle w:val="yFootnoteheading"/>
      </w:pPr>
      <w:r>
        <w:tab/>
        <w:t>[Heading inserted: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Gazette 20 May 2011 p. 1838-9.]</w:t>
      </w:r>
    </w:p>
    <w:p>
      <w:pPr>
        <w:pStyle w:val="yScheduleHeading"/>
      </w:pPr>
      <w:bookmarkStart w:id="62" w:name="_Toc259431835"/>
      <w:bookmarkStart w:id="63" w:name="_Toc259431852"/>
      <w:bookmarkStart w:id="64" w:name="_Toc259438350"/>
      <w:bookmarkStart w:id="65" w:name="_Toc259439615"/>
      <w:bookmarkStart w:id="66" w:name="_Toc259439947"/>
      <w:bookmarkStart w:id="67" w:name="_Toc259440026"/>
      <w:bookmarkStart w:id="68" w:name="_Toc259440486"/>
      <w:bookmarkStart w:id="69" w:name="_Toc259440670"/>
      <w:bookmarkStart w:id="70" w:name="_Toc259441072"/>
      <w:bookmarkStart w:id="71" w:name="_Toc259456104"/>
      <w:bookmarkStart w:id="72" w:name="_Toc259456403"/>
      <w:bookmarkStart w:id="73" w:name="_Toc259456437"/>
      <w:bookmarkStart w:id="74" w:name="_Toc259456478"/>
      <w:bookmarkStart w:id="75" w:name="_Toc259456733"/>
      <w:bookmarkStart w:id="76" w:name="_Toc259518087"/>
      <w:bookmarkStart w:id="77" w:name="_Toc259533786"/>
      <w:bookmarkStart w:id="78" w:name="_Toc259537043"/>
      <w:bookmarkStart w:id="79" w:name="_Toc259700323"/>
      <w:bookmarkStart w:id="80" w:name="_Toc259700735"/>
      <w:bookmarkStart w:id="81" w:name="_Toc259701163"/>
      <w:bookmarkStart w:id="82" w:name="_Toc259702391"/>
      <w:bookmarkStart w:id="83" w:name="_Toc260403390"/>
      <w:bookmarkStart w:id="84" w:name="_Toc260403558"/>
      <w:bookmarkStart w:id="85" w:name="_Toc260403661"/>
      <w:bookmarkStart w:id="86" w:name="_Toc262037648"/>
      <w:bookmarkStart w:id="87" w:name="_Toc262042549"/>
      <w:bookmarkStart w:id="88" w:name="_Toc262043259"/>
      <w:bookmarkStart w:id="89" w:name="_Toc262044336"/>
      <w:bookmarkStart w:id="90" w:name="_Toc262044985"/>
      <w:bookmarkStart w:id="91" w:name="_Toc293648129"/>
      <w:bookmarkStart w:id="92" w:name="_Toc293648204"/>
      <w:bookmarkStart w:id="93" w:name="_Toc299610665"/>
      <w:bookmarkStart w:id="94" w:name="_Toc299611302"/>
      <w:bookmarkStart w:id="95" w:name="_Toc300910188"/>
      <w:bookmarkStart w:id="96" w:name="_Toc300911258"/>
      <w:bookmarkStart w:id="97" w:name="_Toc419461391"/>
      <w:bookmarkStart w:id="98" w:name="_Toc45541259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8"/>
      <w:bookmarkEnd w:id="59"/>
      <w:bookmarkEnd w:id="60"/>
      <w:bookmarkEnd w:id="61"/>
      <w:r>
        <w:rPr>
          <w:rStyle w:val="CharSchNo"/>
        </w:rPr>
        <w:t>Schedule 2</w:t>
      </w:r>
      <w:r>
        <w:rPr>
          <w:rStyle w:val="CharSDivNo"/>
        </w:rPr>
        <w:t> </w:t>
      </w:r>
      <w:r>
        <w:t>—</w:t>
      </w:r>
      <w:r>
        <w:rPr>
          <w:rStyle w:val="CharSDivText"/>
        </w:rPr>
        <w:t> </w:t>
      </w:r>
      <w:r>
        <w:rPr>
          <w:rStyle w:val="CharSchText"/>
        </w:rPr>
        <w:t>Form</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ShoulderClause"/>
        <w:spacing w:after="120"/>
      </w:pPr>
      <w:r>
        <w:t>[r. 5]</w:t>
      </w:r>
    </w:p>
    <w:p>
      <w:pPr>
        <w:pStyle w:val="yHeading5"/>
        <w:spacing w:after="120"/>
      </w:pPr>
      <w:bookmarkStart w:id="99" w:name="_Toc260403662"/>
      <w:bookmarkStart w:id="100" w:name="_Toc300911259"/>
      <w:bookmarkStart w:id="101" w:name="_Toc455412594"/>
      <w:r>
        <w:rPr>
          <w:rStyle w:val="CharSClsNo"/>
        </w:rPr>
        <w:t>1</w:t>
      </w:r>
      <w:r>
        <w:t>.</w:t>
      </w:r>
      <w:r>
        <w:tab/>
        <w:t>Annual return of complaints information</w:t>
      </w:r>
      <w:bookmarkEnd w:id="99"/>
      <w:bookmarkEnd w:id="100"/>
      <w:bookmarkEnd w:id="101"/>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02" w:name="_Toc113695922"/>
      <w:r>
        <w:tab/>
        <w:t>[Schedule 2 amended: Gazette 20 May 2011 p. 1839; 29 Dec 2015 p. 5173.]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4" w:name="_Toc262042551"/>
      <w:bookmarkStart w:id="105" w:name="_Toc262043261"/>
      <w:bookmarkStart w:id="106" w:name="_Toc262044338"/>
      <w:bookmarkStart w:id="107" w:name="_Toc262044987"/>
      <w:bookmarkStart w:id="108" w:name="_Toc293648131"/>
      <w:bookmarkStart w:id="109" w:name="_Toc293648206"/>
      <w:bookmarkStart w:id="110" w:name="_Toc299610667"/>
      <w:bookmarkStart w:id="111" w:name="_Toc299611304"/>
      <w:bookmarkStart w:id="112" w:name="_Toc300910190"/>
      <w:bookmarkStart w:id="113" w:name="_Toc300911260"/>
      <w:bookmarkStart w:id="114" w:name="_Toc419461393"/>
      <w:bookmarkStart w:id="115" w:name="_Toc455412595"/>
      <w:r>
        <w:t>Notes</w:t>
      </w:r>
      <w:bookmarkEnd w:id="102"/>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16" w:name="_Toc300911261"/>
      <w:bookmarkStart w:id="117" w:name="_Toc455412596"/>
      <w:r>
        <w:t>Compilation table</w:t>
      </w:r>
      <w:bookmarkEnd w:id="116"/>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single" w:sz="4" w:space="0" w:color="auto"/>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single" w:sz="4" w:space="0" w:color="auto"/>
            </w:tcBorders>
            <w:shd w:val="clear" w:color="auto" w:fill="auto"/>
          </w:tcPr>
          <w:p>
            <w:pPr>
              <w:pStyle w:val="nTable"/>
              <w:spacing w:after="40"/>
            </w:pPr>
            <w:r>
              <w:t>24 Jun 2016 p. 2311</w:t>
            </w:r>
            <w:r>
              <w:noBreakHyphen/>
              <w:t>15</w:t>
            </w:r>
          </w:p>
        </w:tc>
        <w:tc>
          <w:tcPr>
            <w:tcW w:w="2693" w:type="dxa"/>
            <w:tcBorders>
              <w:top w:val="nil"/>
              <w:bottom w:val="single" w:sz="4" w:space="0" w:color="auto"/>
            </w:tcBorders>
            <w:shd w:val="clear" w:color="auto" w:fill="auto"/>
          </w:tcPr>
          <w:p>
            <w:pPr>
              <w:pStyle w:val="nTable"/>
              <w:spacing w:after="40"/>
            </w:pPr>
            <w:r>
              <w:t xml:space="preserve">1 Jul 2016 (see r. 2 and </w:t>
            </w:r>
            <w:r>
              <w:rPr>
                <w:i/>
              </w:rPr>
              <w:t>Gazette</w:t>
            </w:r>
            <w:r>
              <w:t xml:space="preserve"> 24 Jun 2016 p. 2291)</w:t>
            </w:r>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1659</Words>
  <Characters>9888</Characters>
  <Application>Microsoft Office Word</Application>
  <DocSecurity>0</DocSecurity>
  <Lines>824</Lines>
  <Paragraphs>549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2010 - 01-c0-02</dc:title>
  <dc:subject/>
  <dc:creator/>
  <cp:keywords/>
  <dc:description/>
  <cp:lastModifiedBy>svcMRProcess</cp:lastModifiedBy>
  <cp:revision>4</cp:revision>
  <cp:lastPrinted>2011-08-12T03:19:00Z</cp:lastPrinted>
  <dcterms:created xsi:type="dcterms:W3CDTF">2019-01-16T07:46:00Z</dcterms:created>
  <dcterms:modified xsi:type="dcterms:W3CDTF">2019-01-16T07:46:00Z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01-c0-02</vt:lpwstr>
  </property>
</Properties>
</file>