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_Toc423446884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_Toc423446885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_Toc423446886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_Toc423446888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_Toc423446890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_Toc423446891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_Toc423446893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_Toc423446894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_Toc423446895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_Toc423446896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_Toc423446898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_Toc423446899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_Toc423446900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_Toc423446901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_Toc423446903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_Toc423446904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_Toc423446905 \h </w:instrText>
      </w:r>
      <w:r>
        <w:fldChar w:fldCharType="separate"/>
      </w:r>
      <w:r>
        <w:t>10</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_Toc423446906 \h </w:instrText>
      </w:r>
      <w:r>
        <w:fldChar w:fldCharType="separate"/>
      </w:r>
      <w:r>
        <w:t>10</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_Toc423446907 \h </w:instrText>
      </w:r>
      <w:r>
        <w:fldChar w:fldCharType="separate"/>
      </w:r>
      <w:r>
        <w:t>11</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_Toc423446908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_Toc423446912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391647909"/>
      <w:bookmarkStart w:id="4" w:name="_Toc423362819"/>
      <w:bookmarkStart w:id="5" w:name="_Toc42344688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1647910"/>
      <w:bookmarkStart w:id="7" w:name="_Toc423446884"/>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9" w:name="_Toc391647911"/>
      <w:bookmarkStart w:id="10" w:name="_Toc42344688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1" w:name="_Toc391647912"/>
      <w:bookmarkStart w:id="12" w:name="_Toc423446886"/>
      <w:r>
        <w:rPr>
          <w:rStyle w:val="CharSectno"/>
        </w:rPr>
        <w:t>3</w:t>
      </w:r>
      <w:r>
        <w:t>.</w:t>
      </w:r>
      <w:r>
        <w:tab/>
        <w:t>Term used: section</w:t>
      </w:r>
      <w:bookmarkEnd w:id="11"/>
      <w:bookmarkEnd w:id="12"/>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3" w:name="_Toc391647913"/>
      <w:bookmarkStart w:id="14" w:name="_Toc423362823"/>
      <w:bookmarkStart w:id="15" w:name="_Toc423446887"/>
      <w:r>
        <w:rPr>
          <w:rStyle w:val="CharPartNo"/>
        </w:rPr>
        <w:t>Part 2</w:t>
      </w:r>
      <w:r>
        <w:rPr>
          <w:rStyle w:val="CharDivNo"/>
        </w:rPr>
        <w:t> </w:t>
      </w:r>
      <w:r>
        <w:t>—</w:t>
      </w:r>
      <w:r>
        <w:rPr>
          <w:rStyle w:val="CharDivText"/>
        </w:rPr>
        <w:t> </w:t>
      </w:r>
      <w:r>
        <w:rPr>
          <w:rStyle w:val="CharPartText"/>
        </w:rPr>
        <w:t>Prescribed Australian datum</w:t>
      </w:r>
      <w:bookmarkEnd w:id="13"/>
      <w:bookmarkEnd w:id="14"/>
      <w:bookmarkEnd w:id="15"/>
    </w:p>
    <w:p>
      <w:pPr>
        <w:pStyle w:val="Heading5"/>
      </w:pPr>
      <w:bookmarkStart w:id="16" w:name="_Toc391647914"/>
      <w:bookmarkStart w:id="17" w:name="_Toc42344688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6"/>
      <w:bookmarkEnd w:id="17"/>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8" w:name="_Toc391647915"/>
      <w:bookmarkStart w:id="19" w:name="_Toc423362825"/>
      <w:bookmarkStart w:id="20" w:name="_Toc423446889"/>
      <w:r>
        <w:rPr>
          <w:rStyle w:val="CharPartNo"/>
        </w:rPr>
        <w:t>Part 3</w:t>
      </w:r>
      <w:r>
        <w:rPr>
          <w:rStyle w:val="CharDivNo"/>
        </w:rPr>
        <w:t> </w:t>
      </w:r>
      <w:r>
        <w:t>—</w:t>
      </w:r>
      <w:r>
        <w:rPr>
          <w:rStyle w:val="CharDivText"/>
        </w:rPr>
        <w:t> </w:t>
      </w:r>
      <w:r>
        <w:rPr>
          <w:rStyle w:val="CharPartText"/>
        </w:rPr>
        <w:t>Ballot procedures</w:t>
      </w:r>
      <w:bookmarkEnd w:id="18"/>
      <w:bookmarkEnd w:id="19"/>
      <w:bookmarkEnd w:id="20"/>
    </w:p>
    <w:p>
      <w:pPr>
        <w:pStyle w:val="Heading5"/>
      </w:pPr>
      <w:bookmarkStart w:id="21" w:name="_Toc391647916"/>
      <w:bookmarkStart w:id="22" w:name="_Toc423446890"/>
      <w:r>
        <w:rPr>
          <w:rStyle w:val="CharSectno"/>
        </w:rPr>
        <w:t>5</w:t>
      </w:r>
      <w:r>
        <w:t>.</w:t>
      </w:r>
      <w:r>
        <w:tab/>
        <w:t>Multiple applications: time of lodgment</w:t>
      </w:r>
      <w:bookmarkEnd w:id="21"/>
      <w:bookmarkEnd w:id="22"/>
    </w:p>
    <w:p>
      <w:pPr>
        <w:pStyle w:val="Subsection"/>
      </w:pPr>
      <w:r>
        <w:tab/>
      </w:r>
      <w:r>
        <w:tab/>
        <w:t>For the purposes of sections 58(2)(b) and 203(2)(b), the time of 30 minutes is prescribed.</w:t>
      </w:r>
    </w:p>
    <w:p>
      <w:pPr>
        <w:pStyle w:val="Heading5"/>
      </w:pPr>
      <w:bookmarkStart w:id="23" w:name="_Toc391647917"/>
      <w:bookmarkStart w:id="24" w:name="_Toc423446891"/>
      <w:r>
        <w:rPr>
          <w:rStyle w:val="CharSectno"/>
        </w:rPr>
        <w:t>6</w:t>
      </w:r>
      <w:r>
        <w:t>.</w:t>
      </w:r>
      <w:r>
        <w:tab/>
        <w:t>Multiple applications: drawing of lots</w:t>
      </w:r>
      <w:bookmarkEnd w:id="23"/>
      <w:bookmarkEnd w:id="24"/>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5" w:name="_Toc391647918"/>
      <w:bookmarkStart w:id="26" w:name="_Toc423362828"/>
      <w:bookmarkStart w:id="27" w:name="_Toc423446892"/>
      <w:r>
        <w:rPr>
          <w:rStyle w:val="CharPartNo"/>
        </w:rPr>
        <w:t>Part 4</w:t>
      </w:r>
      <w:r>
        <w:rPr>
          <w:rStyle w:val="CharDivNo"/>
        </w:rPr>
        <w:t> </w:t>
      </w:r>
      <w:r>
        <w:t>—</w:t>
      </w:r>
      <w:r>
        <w:rPr>
          <w:rStyle w:val="CharDivText"/>
        </w:rPr>
        <w:t> </w:t>
      </w:r>
      <w:r>
        <w:rPr>
          <w:rStyle w:val="CharPartText"/>
        </w:rPr>
        <w:t>Records and samples</w:t>
      </w:r>
      <w:bookmarkEnd w:id="25"/>
      <w:bookmarkEnd w:id="26"/>
      <w:bookmarkEnd w:id="27"/>
    </w:p>
    <w:p>
      <w:pPr>
        <w:pStyle w:val="Heading5"/>
      </w:pPr>
      <w:bookmarkStart w:id="28" w:name="_Toc391647919"/>
      <w:bookmarkStart w:id="29" w:name="_Toc423446893"/>
      <w:r>
        <w:rPr>
          <w:rStyle w:val="CharSectno"/>
        </w:rPr>
        <w:t>7</w:t>
      </w:r>
      <w:r>
        <w:t>.</w:t>
      </w:r>
      <w:r>
        <w:tab/>
        <w:t>Terms used</w:t>
      </w:r>
      <w:bookmarkEnd w:id="28"/>
      <w:bookmarkEnd w:id="29"/>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0" w:name="_Toc391647920"/>
      <w:bookmarkStart w:id="31" w:name="_Toc423446894"/>
      <w:r>
        <w:rPr>
          <w:rStyle w:val="CharSectno"/>
        </w:rPr>
        <w:t>8</w:t>
      </w:r>
      <w:r>
        <w:t>.</w:t>
      </w:r>
      <w:r>
        <w:tab/>
        <w:t>Records</w:t>
      </w:r>
      <w:bookmarkEnd w:id="30"/>
      <w:bookmarkEnd w:id="31"/>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2" w:name="_Toc391647921"/>
      <w:bookmarkStart w:id="33" w:name="_Toc423446895"/>
      <w:r>
        <w:rPr>
          <w:rStyle w:val="CharSectno"/>
        </w:rPr>
        <w:t>9</w:t>
      </w:r>
      <w:r>
        <w:t>.</w:t>
      </w:r>
      <w:r>
        <w:tab/>
        <w:t>Drill cores</w:t>
      </w:r>
      <w:bookmarkEnd w:id="32"/>
      <w:bookmarkEnd w:id="33"/>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4" w:name="_Toc391647922"/>
      <w:bookmarkStart w:id="35" w:name="_Toc423446896"/>
      <w:r>
        <w:rPr>
          <w:rStyle w:val="CharSectno"/>
        </w:rPr>
        <w:t>10</w:t>
      </w:r>
      <w:r>
        <w:t>.</w:t>
      </w:r>
      <w:r>
        <w:tab/>
        <w:t>Testing and analysis of samples</w:t>
      </w:r>
      <w:bookmarkEnd w:id="34"/>
      <w:bookmarkEnd w:id="35"/>
    </w:p>
    <w:p>
      <w:pPr>
        <w:pStyle w:val="Subsection"/>
      </w:pPr>
      <w:r>
        <w:tab/>
      </w:r>
      <w:r>
        <w:tab/>
        <w:t>The Minister or an inspector may test or analyse a sample given to the Minister or inspector under section 371.</w:t>
      </w:r>
    </w:p>
    <w:p>
      <w:pPr>
        <w:pStyle w:val="Heading2"/>
      </w:pPr>
      <w:bookmarkStart w:id="36" w:name="_Toc391647923"/>
      <w:bookmarkStart w:id="37" w:name="_Toc423362833"/>
      <w:bookmarkStart w:id="38" w:name="_Toc423446897"/>
      <w:r>
        <w:rPr>
          <w:rStyle w:val="CharPartNo"/>
        </w:rPr>
        <w:t>Part 5</w:t>
      </w:r>
      <w:r>
        <w:rPr>
          <w:rStyle w:val="CharDivNo"/>
        </w:rPr>
        <w:t> </w:t>
      </w:r>
      <w:r>
        <w:t>—</w:t>
      </w:r>
      <w:r>
        <w:rPr>
          <w:rStyle w:val="CharDivText"/>
        </w:rPr>
        <w:t> </w:t>
      </w:r>
      <w:r>
        <w:rPr>
          <w:rStyle w:val="CharPartText"/>
        </w:rPr>
        <w:t>Restoration of environment</w:t>
      </w:r>
      <w:bookmarkEnd w:id="36"/>
      <w:bookmarkEnd w:id="37"/>
      <w:bookmarkEnd w:id="38"/>
    </w:p>
    <w:p>
      <w:pPr>
        <w:pStyle w:val="Heading5"/>
      </w:pPr>
      <w:bookmarkStart w:id="39" w:name="_Toc391647924"/>
      <w:bookmarkStart w:id="40" w:name="_Toc423446898"/>
      <w:r>
        <w:rPr>
          <w:rStyle w:val="CharSectno"/>
        </w:rPr>
        <w:t>11</w:t>
      </w:r>
      <w:r>
        <w:t>.</w:t>
      </w:r>
      <w:r>
        <w:tab/>
        <w:t>Terms used</w:t>
      </w:r>
      <w:bookmarkEnd w:id="39"/>
      <w:bookmarkEnd w:id="40"/>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41" w:name="_Toc391647925"/>
      <w:bookmarkStart w:id="42" w:name="_Toc423446899"/>
      <w:r>
        <w:rPr>
          <w:rStyle w:val="CharSectno"/>
        </w:rPr>
        <w:t>12</w:t>
      </w:r>
      <w:r>
        <w:t>.</w:t>
      </w:r>
      <w:r>
        <w:tab/>
        <w:t>Removal of unused mining property</w:t>
      </w:r>
      <w:bookmarkEnd w:id="41"/>
      <w:bookmarkEnd w:id="42"/>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43" w:name="_Toc391647926"/>
      <w:bookmarkStart w:id="44" w:name="_Toc423446900"/>
      <w:r>
        <w:rPr>
          <w:rStyle w:val="CharSectno"/>
        </w:rPr>
        <w:t>13</w:t>
      </w:r>
      <w:r>
        <w:t>.</w:t>
      </w:r>
      <w:r>
        <w:tab/>
        <w:t>Disposal of unused mining property</w:t>
      </w:r>
      <w:bookmarkEnd w:id="43"/>
      <w:bookmarkEnd w:id="44"/>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pPr>
      <w:r>
        <w:tab/>
        <w:t>(4)</w:t>
      </w:r>
      <w:r>
        <w:tab/>
        <w:t>Any remaining proceeds of sale must be paid to the Treasurer who must, on receipt of an application by the responsible licence holder, pay those proceeds to the responsible licence holder.</w:t>
      </w:r>
    </w:p>
    <w:p>
      <w:pPr>
        <w:pStyle w:val="Subsection"/>
      </w:pPr>
      <w:r>
        <w:tab/>
        <w:t>(5)</w:t>
      </w:r>
      <w:r>
        <w:tab/>
        <w:t>If an application under subregulation (4) is not made within 2 years after the date of the sale, the remaining proceeds of sale must be paid into the Consolidated Account.</w:t>
      </w:r>
    </w:p>
    <w:p>
      <w:pPr>
        <w:pStyle w:val="Heading5"/>
      </w:pPr>
      <w:bookmarkStart w:id="45" w:name="_Toc391647927"/>
      <w:bookmarkStart w:id="46" w:name="_Toc423446901"/>
      <w:r>
        <w:rPr>
          <w:rStyle w:val="CharSectno"/>
        </w:rPr>
        <w:t>14</w:t>
      </w:r>
      <w:r>
        <w:t>.</w:t>
      </w:r>
      <w:r>
        <w:tab/>
        <w:t>Direction to rehabilitate mining area</w:t>
      </w:r>
      <w:bookmarkEnd w:id="45"/>
      <w:bookmarkEnd w:id="46"/>
    </w:p>
    <w:p>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47" w:name="_Toc391647928"/>
      <w:bookmarkStart w:id="48" w:name="_Toc423362838"/>
      <w:bookmarkStart w:id="49" w:name="_Toc423446902"/>
      <w:r>
        <w:rPr>
          <w:rStyle w:val="CharPartNo"/>
        </w:rPr>
        <w:t>Part 6</w:t>
      </w:r>
      <w:r>
        <w:rPr>
          <w:rStyle w:val="CharDivNo"/>
        </w:rPr>
        <w:t> </w:t>
      </w:r>
      <w:r>
        <w:t>—</w:t>
      </w:r>
      <w:r>
        <w:rPr>
          <w:rStyle w:val="CharDivText"/>
        </w:rPr>
        <w:t> </w:t>
      </w:r>
      <w:r>
        <w:rPr>
          <w:rStyle w:val="CharPartText"/>
        </w:rPr>
        <w:t>Miscellaneous</w:t>
      </w:r>
      <w:bookmarkEnd w:id="47"/>
      <w:bookmarkEnd w:id="48"/>
      <w:bookmarkEnd w:id="49"/>
    </w:p>
    <w:p>
      <w:pPr>
        <w:pStyle w:val="Heading5"/>
      </w:pPr>
      <w:bookmarkStart w:id="50" w:name="_Toc391647929"/>
      <w:bookmarkStart w:id="51" w:name="_Toc423446903"/>
      <w:r>
        <w:rPr>
          <w:rStyle w:val="CharSectno"/>
        </w:rPr>
        <w:t>15</w:t>
      </w:r>
      <w:r>
        <w:t>.</w:t>
      </w:r>
      <w:r>
        <w:tab/>
        <w:t>Maps</w:t>
      </w:r>
      <w:bookmarkEnd w:id="50"/>
      <w:bookmarkEnd w:id="51"/>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52" w:name="_Toc391647930"/>
      <w:bookmarkStart w:id="53" w:name="_Toc423446904"/>
      <w:r>
        <w:rPr>
          <w:rStyle w:val="CharSectno"/>
        </w:rPr>
        <w:t>16</w:t>
      </w:r>
      <w:r>
        <w:t>.</w:t>
      </w:r>
      <w:r>
        <w:tab/>
        <w:t>Notice of caveat</w:t>
      </w:r>
      <w:bookmarkEnd w:id="52"/>
      <w:bookmarkEnd w:id="53"/>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54" w:name="_Toc391647931"/>
      <w:bookmarkStart w:id="55" w:name="_Toc423446905"/>
      <w:r>
        <w:rPr>
          <w:rStyle w:val="CharSectno"/>
        </w:rPr>
        <w:t>17</w:t>
      </w:r>
      <w:r>
        <w:t>.</w:t>
      </w:r>
      <w:r>
        <w:tab/>
        <w:t>Copies of documents</w:t>
      </w:r>
      <w:bookmarkEnd w:id="54"/>
      <w:bookmarkEnd w:id="55"/>
    </w:p>
    <w:p>
      <w:pPr>
        <w:pStyle w:val="Subsection"/>
      </w:pPr>
      <w:r>
        <w:tab/>
      </w:r>
      <w:r>
        <w:tab/>
        <w:t>The Minister or an inspector may take a copy of a document produced to the Minister or inspector under section 370.</w:t>
      </w:r>
    </w:p>
    <w:p>
      <w:pPr>
        <w:pStyle w:val="Heading5"/>
      </w:pPr>
      <w:bookmarkStart w:id="56" w:name="_Toc391647932"/>
      <w:bookmarkStart w:id="57" w:name="_Toc423446906"/>
      <w:r>
        <w:rPr>
          <w:rStyle w:val="CharSectno"/>
        </w:rPr>
        <w:t>18</w:t>
      </w:r>
      <w:r>
        <w:t>.</w:t>
      </w:r>
      <w:r>
        <w:tab/>
        <w:t>Discharge of security</w:t>
      </w:r>
      <w:bookmarkEnd w:id="56"/>
      <w:bookmarkEnd w:id="57"/>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58" w:name="_Toc391647933"/>
      <w:bookmarkStart w:id="59" w:name="_Toc423446907"/>
      <w:r>
        <w:rPr>
          <w:rStyle w:val="CharSectno"/>
        </w:rPr>
        <w:t>19</w:t>
      </w:r>
      <w:r>
        <w:t>.</w:t>
      </w:r>
      <w:r>
        <w:tab/>
        <w:t>Licence fees (s. 425(2))</w:t>
      </w:r>
      <w:bookmarkEnd w:id="58"/>
      <w:bookmarkEnd w:id="59"/>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60" w:name="_Toc391647934"/>
      <w:bookmarkStart w:id="61" w:name="_Toc423446908"/>
      <w:r>
        <w:rPr>
          <w:rStyle w:val="CharSectno"/>
        </w:rPr>
        <w:t>20</w:t>
      </w:r>
      <w:r>
        <w:t>.</w:t>
      </w:r>
      <w:r>
        <w:tab/>
        <w:t>Other fees</w:t>
      </w:r>
      <w:bookmarkEnd w:id="60"/>
      <w:bookmarkEnd w:id="61"/>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2" w:name="_Toc391647935"/>
      <w:bookmarkStart w:id="63" w:name="_Toc423362845"/>
      <w:bookmarkStart w:id="64" w:name="_Toc423446909"/>
      <w:r>
        <w:rPr>
          <w:rStyle w:val="CharSchNo"/>
        </w:rPr>
        <w:t>Schedule 1</w:t>
      </w:r>
      <w:r>
        <w:rPr>
          <w:rStyle w:val="CharSDivNo"/>
        </w:rPr>
        <w:t> </w:t>
      </w:r>
      <w:r>
        <w:t>—</w:t>
      </w:r>
      <w:r>
        <w:rPr>
          <w:rStyle w:val="CharSDivText"/>
        </w:rPr>
        <w:t> </w:t>
      </w:r>
      <w:r>
        <w:rPr>
          <w:rStyle w:val="CharSchText"/>
        </w:rPr>
        <w:t>Australian Fiducial Network geodetic stations</w:t>
      </w:r>
      <w:bookmarkEnd w:id="62"/>
      <w:bookmarkEnd w:id="63"/>
      <w:bookmarkEnd w:id="6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65" w:name="_Toc391647936"/>
      <w:bookmarkStart w:id="66" w:name="_Toc423362846"/>
      <w:bookmarkStart w:id="67" w:name="_Toc423446910"/>
      <w:r>
        <w:rPr>
          <w:rStyle w:val="CharSchNo"/>
        </w:rPr>
        <w:t>Schedule 2</w:t>
      </w:r>
      <w:r>
        <w:rPr>
          <w:rStyle w:val="CharSDivNo"/>
        </w:rPr>
        <w:t> </w:t>
      </w:r>
      <w:r>
        <w:t>—</w:t>
      </w:r>
      <w:r>
        <w:rPr>
          <w:rStyle w:val="CharSDivText"/>
        </w:rPr>
        <w:t> </w:t>
      </w:r>
      <w:r>
        <w:rPr>
          <w:rStyle w:val="CharSchText"/>
        </w:rPr>
        <w:t>Fees</w:t>
      </w:r>
      <w:bookmarkEnd w:id="65"/>
      <w:bookmarkEnd w:id="66"/>
      <w:bookmarkEnd w:id="67"/>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22.30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55.80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139.45</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139.45</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139.45</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5.60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5.60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55.80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139.45</w:t>
            </w:r>
          </w:p>
        </w:tc>
      </w:tr>
    </w:tbl>
    <w:p>
      <w:pPr>
        <w:pStyle w:val="yFootnotesection"/>
      </w:pPr>
      <w:r>
        <w:tab/>
        <w:t>[Schedule 2 inserted in Gazette 22 Jun 2012 p. 2796; amended in Gazette 26 Jul 2013 p. 3355-6; 20 Jun 2014 p. 2039; 26 Jun 2015 p. 2256</w:t>
      </w:r>
      <w:r>
        <w:noBreakHyphen/>
        <w:t>7; 24 Jun 2016 p. 2338.]</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69" w:name="_Toc391647937"/>
      <w:bookmarkStart w:id="70" w:name="_Toc423362847"/>
      <w:bookmarkStart w:id="71" w:name="_Toc423446911"/>
      <w:r>
        <w:t>Notes</w:t>
      </w:r>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Pr>
          <w:snapToGrid w:val="0"/>
        </w:rPr>
        <w:t xml:space="preserve"> and includes the amendments made by the other written laws referred to in the following table.  </w:t>
      </w:r>
    </w:p>
    <w:p>
      <w:pPr>
        <w:pStyle w:val="nHeading3"/>
      </w:pPr>
      <w:bookmarkStart w:id="72" w:name="_Toc391647938"/>
      <w:bookmarkStart w:id="73" w:name="_Toc423446912"/>
      <w:r>
        <w:t>Compilation table</w:t>
      </w:r>
      <w:bookmarkEnd w:id="72"/>
      <w:bookmarkEnd w:id="7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Offshore Minerals Regulations 2010</w:t>
            </w:r>
          </w:p>
        </w:tc>
        <w:tc>
          <w:tcPr>
            <w:tcW w:w="1276" w:type="dxa"/>
            <w:tcBorders>
              <w:bottom w:val="nil"/>
            </w:tcBorders>
          </w:tcPr>
          <w:p>
            <w:pPr>
              <w:pStyle w:val="nTable"/>
              <w:spacing w:after="40"/>
            </w:pPr>
            <w:r>
              <w:t>17 Dec 2010 p. 6379-96</w:t>
            </w:r>
          </w:p>
        </w:tc>
        <w:tc>
          <w:tcPr>
            <w:tcW w:w="2693" w:type="dxa"/>
            <w:tcBorders>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tcBorders>
          </w:tcPr>
          <w:p>
            <w:pPr>
              <w:pStyle w:val="nTable"/>
              <w:spacing w:after="40"/>
            </w:pPr>
            <w:r>
              <w:rPr>
                <w:i/>
              </w:rPr>
              <w:t>Mining and Offshore Minerals Regulations Amendment (Fees and Rents) Regulations 2016</w:t>
            </w:r>
            <w:r>
              <w:t xml:space="preserve"> Pt. 3</w:t>
            </w:r>
          </w:p>
        </w:tc>
        <w:tc>
          <w:tcPr>
            <w:tcW w:w="1276" w:type="dxa"/>
            <w:tcBorders>
              <w:top w:val="nil"/>
            </w:tcBorders>
          </w:tcPr>
          <w:p>
            <w:pPr>
              <w:pStyle w:val="nTable"/>
              <w:spacing w:after="40"/>
            </w:pPr>
            <w:r>
              <w:t>24 Jun 2016 p. 2335</w:t>
            </w:r>
            <w:r>
              <w:noBreakHyphen/>
              <w:t>8</w:t>
            </w:r>
          </w:p>
        </w:tc>
        <w:tc>
          <w:tcPr>
            <w:tcW w:w="2693" w:type="dxa"/>
            <w:tcBorders>
              <w:top w:val="nil"/>
            </w:tcBorders>
          </w:tcPr>
          <w:p>
            <w:pPr>
              <w:pStyle w:val="nTable"/>
              <w:spacing w:after="40"/>
              <w:rPr>
                <w:rFonts w:ascii="Times" w:hAnsi="Times"/>
                <w:bCs/>
                <w:snapToGrid w:val="0"/>
                <w:spacing w:val="-2"/>
              </w:rPr>
            </w:pPr>
            <w:r>
              <w:rPr>
                <w:rFonts w:ascii="Times" w:hAnsi="Times"/>
                <w:bCs/>
                <w:snapToGrid w:val="0"/>
                <w:spacing w:val="-2"/>
              </w:rPr>
              <w:t>1 Jul 2016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5" w:name="_Toc423446913"/>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00"/>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2788</Words>
  <Characters>13578</Characters>
  <Application>Microsoft Office Word</Application>
  <DocSecurity>0</DocSecurity>
  <Lines>522</Lines>
  <Paragraphs>409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2010 - 00-f0-00</dc:title>
  <dc:subject/>
  <dc:creator/>
  <cp:keywords/>
  <dc:description/>
  <cp:lastModifiedBy>svcMRProcess</cp:lastModifiedBy>
  <cp:revision>4</cp:revision>
  <cp:lastPrinted>2010-11-23T08:33:00Z</cp:lastPrinted>
  <dcterms:created xsi:type="dcterms:W3CDTF">2016-07-04T08:43:00Z</dcterms:created>
  <dcterms:modified xsi:type="dcterms:W3CDTF">2016-07-04T08:43:00Z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AsAtDate">
    <vt:lpwstr>01 Jul 2016</vt:lpwstr>
  </property>
  <property fmtid="{D5CDD505-2E9C-101B-9397-08002B2CF9AE}" pid="6" name="Suffix">
    <vt:lpwstr>00-f0-00</vt:lpwstr>
  </property>
  <property fmtid="{D5CDD505-2E9C-101B-9397-08002B2CF9AE}" pid="7" name="CommencementDate">
    <vt:lpwstr>20160701</vt:lpwstr>
  </property>
</Properties>
</file>