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Health Funding Pool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Health Funding Pool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_Toc455414740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_Toc455414741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_Toc455414742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Administrator of the National Health Funding Pool</w:t>
      </w:r>
    </w:p>
    <w:p>
      <w:pPr>
        <w:pStyle w:val="TOC8"/>
        <w:rPr>
          <w:rFonts w:asciiTheme="minorHAnsi" w:eastAsiaTheme="minorEastAsia" w:hAnsiTheme="minorHAnsi" w:cstheme="minorBidi"/>
          <w:szCs w:val="22"/>
        </w:rPr>
      </w:pPr>
      <w:r>
        <w:t>4.</w:t>
      </w:r>
      <w:r>
        <w:tab/>
        <w:t>The office of Administrator</w:t>
      </w:r>
      <w:r>
        <w:tab/>
      </w:r>
      <w:r>
        <w:fldChar w:fldCharType="begin"/>
      </w:r>
      <w:r>
        <w:instrText xml:space="preserve"> PAGEREF _Toc455414744 \h </w:instrText>
      </w:r>
      <w:r>
        <w:fldChar w:fldCharType="separate"/>
      </w:r>
      <w:r>
        <w:t>5</w:t>
      </w:r>
      <w:r>
        <w:fldChar w:fldCharType="end"/>
      </w:r>
    </w:p>
    <w:p>
      <w:pPr>
        <w:pStyle w:val="TOC8"/>
        <w:rPr>
          <w:rFonts w:asciiTheme="minorHAnsi" w:eastAsiaTheme="minorEastAsia" w:hAnsiTheme="minorHAnsi" w:cstheme="minorBidi"/>
          <w:szCs w:val="22"/>
        </w:rPr>
      </w:pPr>
      <w:r>
        <w:t>5.</w:t>
      </w:r>
      <w:r>
        <w:tab/>
        <w:t>Appointment of Administrator</w:t>
      </w:r>
      <w:r>
        <w:tab/>
      </w:r>
      <w:r>
        <w:fldChar w:fldCharType="begin"/>
      </w:r>
      <w:r>
        <w:instrText xml:space="preserve"> PAGEREF _Toc455414745 \h </w:instrText>
      </w:r>
      <w:r>
        <w:fldChar w:fldCharType="separate"/>
      </w:r>
      <w:r>
        <w:t>5</w:t>
      </w:r>
      <w:r>
        <w:fldChar w:fldCharType="end"/>
      </w:r>
    </w:p>
    <w:p>
      <w:pPr>
        <w:pStyle w:val="TOC8"/>
        <w:rPr>
          <w:rFonts w:asciiTheme="minorHAnsi" w:eastAsiaTheme="minorEastAsia" w:hAnsiTheme="minorHAnsi" w:cstheme="minorBidi"/>
          <w:szCs w:val="22"/>
        </w:rPr>
      </w:pPr>
      <w:r>
        <w:t>6.</w:t>
      </w:r>
      <w:r>
        <w:tab/>
        <w:t>Suspension of Administrator</w:t>
      </w:r>
      <w:r>
        <w:tab/>
      </w:r>
      <w:r>
        <w:fldChar w:fldCharType="begin"/>
      </w:r>
      <w:r>
        <w:instrText xml:space="preserve"> PAGEREF _Toc455414746 \h </w:instrText>
      </w:r>
      <w:r>
        <w:fldChar w:fldCharType="separate"/>
      </w:r>
      <w:r>
        <w:t>6</w:t>
      </w:r>
      <w:r>
        <w:fldChar w:fldCharType="end"/>
      </w:r>
    </w:p>
    <w:p>
      <w:pPr>
        <w:pStyle w:val="TOC8"/>
        <w:rPr>
          <w:rFonts w:asciiTheme="minorHAnsi" w:eastAsiaTheme="minorEastAsia" w:hAnsiTheme="minorHAnsi" w:cstheme="minorBidi"/>
          <w:szCs w:val="22"/>
        </w:rPr>
      </w:pPr>
      <w:r>
        <w:t>7.</w:t>
      </w:r>
      <w:r>
        <w:tab/>
        <w:t>Removal or resignation of Administrator</w:t>
      </w:r>
      <w:r>
        <w:tab/>
      </w:r>
      <w:r>
        <w:fldChar w:fldCharType="begin"/>
      </w:r>
      <w:r>
        <w:instrText xml:space="preserve"> PAGEREF _Toc455414747 \h </w:instrText>
      </w:r>
      <w:r>
        <w:fldChar w:fldCharType="separate"/>
      </w:r>
      <w:r>
        <w:t>7</w:t>
      </w:r>
      <w:r>
        <w:fldChar w:fldCharType="end"/>
      </w:r>
    </w:p>
    <w:p>
      <w:pPr>
        <w:pStyle w:val="TOC8"/>
        <w:rPr>
          <w:rFonts w:asciiTheme="minorHAnsi" w:eastAsiaTheme="minorEastAsia" w:hAnsiTheme="minorHAnsi" w:cstheme="minorBidi"/>
          <w:szCs w:val="22"/>
        </w:rPr>
      </w:pPr>
      <w:r>
        <w:t>8.</w:t>
      </w:r>
      <w:r>
        <w:tab/>
        <w:t>Acting Administrator</w:t>
      </w:r>
      <w:r>
        <w:tab/>
      </w:r>
      <w:r>
        <w:fldChar w:fldCharType="begin"/>
      </w:r>
      <w:r>
        <w:instrText xml:space="preserve"> PAGEREF _Toc455414748 \h </w:instrText>
      </w:r>
      <w:r>
        <w:fldChar w:fldCharType="separate"/>
      </w:r>
      <w:r>
        <w:t>7</w:t>
      </w:r>
      <w:r>
        <w:fldChar w:fldCharType="end"/>
      </w:r>
    </w:p>
    <w:p>
      <w:pPr>
        <w:pStyle w:val="TOC8"/>
        <w:rPr>
          <w:rFonts w:asciiTheme="minorHAnsi" w:eastAsiaTheme="minorEastAsia" w:hAnsiTheme="minorHAnsi" w:cstheme="minorBidi"/>
          <w:szCs w:val="22"/>
        </w:rPr>
      </w:pPr>
      <w:r>
        <w:t>9.</w:t>
      </w:r>
      <w:r>
        <w:tab/>
        <w:t>Provision of staff and facilities for Administrator</w:t>
      </w:r>
      <w:r>
        <w:tab/>
      </w:r>
      <w:r>
        <w:fldChar w:fldCharType="begin"/>
      </w:r>
      <w:r>
        <w:instrText xml:space="preserve"> PAGEREF _Toc455414749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Administrator</w:t>
      </w:r>
      <w:r>
        <w:tab/>
      </w:r>
      <w:r>
        <w:fldChar w:fldCharType="begin"/>
      </w:r>
      <w:r>
        <w:instrText xml:space="preserve"> PAGEREF _Toc455414750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State Pool Accounts — the National Health Funding Pool</w:t>
      </w:r>
    </w:p>
    <w:p>
      <w:pPr>
        <w:pStyle w:val="TOC8"/>
        <w:rPr>
          <w:rFonts w:asciiTheme="minorHAnsi" w:eastAsiaTheme="minorEastAsia" w:hAnsiTheme="minorHAnsi" w:cstheme="minorBidi"/>
          <w:szCs w:val="22"/>
        </w:rPr>
      </w:pPr>
      <w:r>
        <w:t>11.</w:t>
      </w:r>
      <w:r>
        <w:tab/>
        <w:t xml:space="preserve">Establishment of State Pool Account </w:t>
      </w:r>
      <w:r>
        <w:noBreakHyphen/>
        <w:t xml:space="preserve"> Special Purpose Account</w:t>
      </w:r>
      <w:r>
        <w:tab/>
      </w:r>
      <w:r>
        <w:fldChar w:fldCharType="begin"/>
      </w:r>
      <w:r>
        <w:instrText xml:space="preserve"> PAGEREF _Toc455414752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Establishment of State Pool Account </w:t>
      </w:r>
      <w:r>
        <w:noBreakHyphen/>
        <w:t xml:space="preserve"> Bank Account</w:t>
      </w:r>
      <w:r>
        <w:tab/>
      </w:r>
      <w:r>
        <w:fldChar w:fldCharType="begin"/>
      </w:r>
      <w:r>
        <w:instrText xml:space="preserve"> PAGEREF _Toc455414753 \h </w:instrText>
      </w:r>
      <w:r>
        <w:fldChar w:fldCharType="separate"/>
      </w:r>
      <w:r>
        <w:t>11</w:t>
      </w:r>
      <w:r>
        <w:fldChar w:fldCharType="end"/>
      </w:r>
    </w:p>
    <w:p>
      <w:pPr>
        <w:pStyle w:val="TOC8"/>
        <w:rPr>
          <w:rFonts w:asciiTheme="minorHAnsi" w:eastAsiaTheme="minorEastAsia" w:hAnsiTheme="minorHAnsi" w:cstheme="minorBidi"/>
          <w:szCs w:val="22"/>
        </w:rPr>
      </w:pPr>
      <w:r>
        <w:t>13.</w:t>
      </w:r>
      <w:r>
        <w:tab/>
        <w:t>Administration of State Pool Account</w:t>
      </w:r>
      <w:r>
        <w:tab/>
      </w:r>
      <w:r>
        <w:fldChar w:fldCharType="begin"/>
      </w:r>
      <w:r>
        <w:instrText xml:space="preserve"> PAGEREF _Toc455414754 \h </w:instrText>
      </w:r>
      <w:r>
        <w:fldChar w:fldCharType="separate"/>
      </w:r>
      <w:r>
        <w:t>11</w:t>
      </w:r>
      <w:r>
        <w:fldChar w:fldCharType="end"/>
      </w:r>
    </w:p>
    <w:p>
      <w:pPr>
        <w:pStyle w:val="TOC8"/>
        <w:rPr>
          <w:rFonts w:asciiTheme="minorHAnsi" w:eastAsiaTheme="minorEastAsia" w:hAnsiTheme="minorHAnsi" w:cstheme="minorBidi"/>
          <w:szCs w:val="22"/>
        </w:rPr>
      </w:pPr>
      <w:r>
        <w:t>14.</w:t>
      </w:r>
      <w:r>
        <w:tab/>
        <w:t>Payments from State Pool Account</w:t>
      </w:r>
      <w:r>
        <w:tab/>
      </w:r>
      <w:r>
        <w:fldChar w:fldCharType="begin"/>
      </w:r>
      <w:r>
        <w:instrText xml:space="preserve"> PAGEREF _Toc455414755 \h </w:instrText>
      </w:r>
      <w:r>
        <w:fldChar w:fldCharType="separate"/>
      </w:r>
      <w:r>
        <w:t>12</w:t>
      </w:r>
      <w:r>
        <w:fldChar w:fldCharType="end"/>
      </w:r>
    </w:p>
    <w:p>
      <w:pPr>
        <w:pStyle w:val="TOC8"/>
        <w:rPr>
          <w:rFonts w:asciiTheme="minorHAnsi" w:eastAsiaTheme="minorEastAsia" w:hAnsiTheme="minorHAnsi" w:cstheme="minorBidi"/>
          <w:szCs w:val="22"/>
        </w:rPr>
      </w:pPr>
      <w:r>
        <w:t>15.</w:t>
      </w:r>
      <w:r>
        <w:tab/>
        <w:t>Distribution of Commonwealth funding</w:t>
      </w:r>
      <w:r>
        <w:tab/>
      </w:r>
      <w:r>
        <w:fldChar w:fldCharType="begin"/>
      </w:r>
      <w:r>
        <w:instrText xml:space="preserve"> PAGEREF _Toc455414756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State Managed Funds</w:t>
      </w:r>
    </w:p>
    <w:p>
      <w:pPr>
        <w:pStyle w:val="TOC8"/>
        <w:rPr>
          <w:rFonts w:asciiTheme="minorHAnsi" w:eastAsiaTheme="minorEastAsia" w:hAnsiTheme="minorHAnsi" w:cstheme="minorBidi"/>
          <w:szCs w:val="22"/>
        </w:rPr>
      </w:pPr>
      <w:r>
        <w:t>16.</w:t>
      </w:r>
      <w:r>
        <w:tab/>
        <w:t>State Managed Funds</w:t>
      </w:r>
      <w:r>
        <w:tab/>
      </w:r>
      <w:r>
        <w:fldChar w:fldCharType="begin"/>
      </w:r>
      <w:r>
        <w:instrText xml:space="preserve"> PAGEREF _Toc455414758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management and reporting</w:t>
      </w:r>
    </w:p>
    <w:p>
      <w:pPr>
        <w:pStyle w:val="TOC8"/>
        <w:rPr>
          <w:rFonts w:asciiTheme="minorHAnsi" w:eastAsiaTheme="minorEastAsia" w:hAnsiTheme="minorHAnsi" w:cstheme="minorBidi"/>
          <w:szCs w:val="22"/>
        </w:rPr>
      </w:pPr>
      <w:r>
        <w:t>17.</w:t>
      </w:r>
      <w:r>
        <w:tab/>
        <w:t>Financial management obligations of Administrator</w:t>
      </w:r>
      <w:r>
        <w:tab/>
      </w:r>
      <w:r>
        <w:fldChar w:fldCharType="begin"/>
      </w:r>
      <w:r>
        <w:instrText xml:space="preserve"> PAGEREF _Toc455414760 \h </w:instrText>
      </w:r>
      <w:r>
        <w:fldChar w:fldCharType="separate"/>
      </w:r>
      <w:r>
        <w:t>16</w:t>
      </w:r>
      <w:r>
        <w:fldChar w:fldCharType="end"/>
      </w:r>
    </w:p>
    <w:p>
      <w:pPr>
        <w:pStyle w:val="TOC8"/>
        <w:rPr>
          <w:rFonts w:asciiTheme="minorHAnsi" w:eastAsiaTheme="minorEastAsia" w:hAnsiTheme="minorHAnsi" w:cstheme="minorBidi"/>
          <w:szCs w:val="22"/>
        </w:rPr>
      </w:pPr>
      <w:r>
        <w:t>18.</w:t>
      </w:r>
      <w:r>
        <w:tab/>
        <w:t>Monthly reports by Administrator</w:t>
      </w:r>
      <w:r>
        <w:tab/>
      </w:r>
      <w:r>
        <w:fldChar w:fldCharType="begin"/>
      </w:r>
      <w:r>
        <w:instrText xml:space="preserve"> PAGEREF _Toc455414761 \h </w:instrText>
      </w:r>
      <w:r>
        <w:fldChar w:fldCharType="separate"/>
      </w:r>
      <w:r>
        <w:t>16</w:t>
      </w:r>
      <w:r>
        <w:fldChar w:fldCharType="end"/>
      </w:r>
    </w:p>
    <w:p>
      <w:pPr>
        <w:pStyle w:val="TOC8"/>
        <w:rPr>
          <w:rFonts w:asciiTheme="minorHAnsi" w:eastAsiaTheme="minorEastAsia" w:hAnsiTheme="minorHAnsi" w:cstheme="minorBidi"/>
          <w:szCs w:val="22"/>
        </w:rPr>
      </w:pPr>
      <w:r>
        <w:t>19.</w:t>
      </w:r>
      <w:r>
        <w:tab/>
        <w:t>Annual report by Administrator</w:t>
      </w:r>
      <w:r>
        <w:tab/>
      </w:r>
      <w:r>
        <w:fldChar w:fldCharType="begin"/>
      </w:r>
      <w:r>
        <w:instrText xml:space="preserve"> PAGEREF _Toc455414762 \h </w:instrText>
      </w:r>
      <w:r>
        <w:fldChar w:fldCharType="separate"/>
      </w:r>
      <w:r>
        <w:t>17</w:t>
      </w:r>
      <w:r>
        <w:fldChar w:fldCharType="end"/>
      </w:r>
    </w:p>
    <w:p>
      <w:pPr>
        <w:pStyle w:val="TOC8"/>
        <w:rPr>
          <w:rFonts w:asciiTheme="minorHAnsi" w:eastAsiaTheme="minorEastAsia" w:hAnsiTheme="minorHAnsi" w:cstheme="minorBidi"/>
          <w:szCs w:val="22"/>
        </w:rPr>
      </w:pPr>
      <w:r>
        <w:t>20.</w:t>
      </w:r>
      <w:r>
        <w:tab/>
        <w:t>Administrator to prepare financial statements for State Pool Accounts</w:t>
      </w:r>
      <w:r>
        <w:tab/>
      </w:r>
      <w:r>
        <w:fldChar w:fldCharType="begin"/>
      </w:r>
      <w:r>
        <w:instrText xml:space="preserve"> PAGEREF _Toc455414763 \h </w:instrText>
      </w:r>
      <w:r>
        <w:fldChar w:fldCharType="separate"/>
      </w:r>
      <w:r>
        <w:t>18</w:t>
      </w:r>
      <w:r>
        <w:fldChar w:fldCharType="end"/>
      </w:r>
    </w:p>
    <w:p>
      <w:pPr>
        <w:pStyle w:val="TOC8"/>
        <w:rPr>
          <w:rFonts w:asciiTheme="minorHAnsi" w:eastAsiaTheme="minorEastAsia" w:hAnsiTheme="minorHAnsi" w:cstheme="minorBidi"/>
          <w:szCs w:val="22"/>
        </w:rPr>
      </w:pPr>
      <w:r>
        <w:t>21.</w:t>
      </w:r>
      <w:r>
        <w:tab/>
        <w:t>Audit of financial statements</w:t>
      </w:r>
      <w:r>
        <w:tab/>
      </w:r>
      <w:r>
        <w:fldChar w:fldCharType="begin"/>
      </w:r>
      <w:r>
        <w:instrText xml:space="preserve"> PAGEREF _Toc455414764 \h </w:instrText>
      </w:r>
      <w:r>
        <w:fldChar w:fldCharType="separate"/>
      </w:r>
      <w:r>
        <w:t>18</w:t>
      </w:r>
      <w:r>
        <w:fldChar w:fldCharType="end"/>
      </w:r>
    </w:p>
    <w:p>
      <w:pPr>
        <w:pStyle w:val="TOC8"/>
        <w:rPr>
          <w:rFonts w:asciiTheme="minorHAnsi" w:eastAsiaTheme="minorEastAsia" w:hAnsiTheme="minorHAnsi" w:cstheme="minorBidi"/>
          <w:szCs w:val="22"/>
        </w:rPr>
      </w:pPr>
      <w:r>
        <w:t>22.</w:t>
      </w:r>
      <w:r>
        <w:tab/>
        <w:t>Performance audits</w:t>
      </w:r>
      <w:r>
        <w:tab/>
      </w:r>
      <w:r>
        <w:fldChar w:fldCharType="begin"/>
      </w:r>
      <w:r>
        <w:instrText xml:space="preserve"> PAGEREF _Toc455414765 \h </w:instrText>
      </w:r>
      <w:r>
        <w:fldChar w:fldCharType="separate"/>
      </w:r>
      <w:r>
        <w:t>19</w:t>
      </w:r>
      <w:r>
        <w:fldChar w:fldCharType="end"/>
      </w:r>
    </w:p>
    <w:p>
      <w:pPr>
        <w:pStyle w:val="TOC8"/>
        <w:rPr>
          <w:rFonts w:asciiTheme="minorHAnsi" w:eastAsiaTheme="minorEastAsia" w:hAnsiTheme="minorHAnsi" w:cstheme="minorBidi"/>
          <w:szCs w:val="22"/>
        </w:rPr>
      </w:pPr>
      <w:r>
        <w:t>23.</w:t>
      </w:r>
      <w:r>
        <w:tab/>
        <w:t>States to provide Administrator with information about State Managed Funds</w:t>
      </w:r>
      <w:r>
        <w:tab/>
      </w:r>
      <w:r>
        <w:fldChar w:fldCharType="begin"/>
      </w:r>
      <w:r>
        <w:instrText xml:space="preserve"> PAGEREF _Toc455414766 \h </w:instrText>
      </w:r>
      <w:r>
        <w:fldChar w:fldCharType="separate"/>
      </w:r>
      <w:r>
        <w:t>19</w:t>
      </w:r>
      <w:r>
        <w:fldChar w:fldCharType="end"/>
      </w:r>
    </w:p>
    <w:p>
      <w:pPr>
        <w:pStyle w:val="TOC8"/>
        <w:rPr>
          <w:rFonts w:asciiTheme="minorHAnsi" w:eastAsiaTheme="minorEastAsia" w:hAnsiTheme="minorHAnsi" w:cstheme="minorBidi"/>
          <w:szCs w:val="22"/>
        </w:rPr>
      </w:pPr>
      <w:r>
        <w:t>24.</w:t>
      </w:r>
      <w:r>
        <w:tab/>
        <w:t>Provision of other information</w:t>
      </w:r>
      <w:r>
        <w:tab/>
      </w:r>
      <w:r>
        <w:fldChar w:fldCharType="begin"/>
      </w:r>
      <w:r>
        <w:instrText xml:space="preserve"> PAGEREF _Toc455414767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tab/>
        <w:t>Exclusion of legislation of this jurisdiction</w:t>
      </w:r>
      <w:r>
        <w:tab/>
      </w:r>
      <w:r>
        <w:fldChar w:fldCharType="begin"/>
      </w:r>
      <w:r>
        <w:instrText xml:space="preserve"> PAGEREF _Toc455414769 \h </w:instrText>
      </w:r>
      <w:r>
        <w:fldChar w:fldCharType="separate"/>
      </w:r>
      <w:r>
        <w:t>21</w:t>
      </w:r>
      <w:r>
        <w:fldChar w:fldCharType="end"/>
      </w:r>
    </w:p>
    <w:p>
      <w:pPr>
        <w:pStyle w:val="TOC8"/>
        <w:rPr>
          <w:rFonts w:asciiTheme="minorHAnsi" w:eastAsiaTheme="minorEastAsia" w:hAnsiTheme="minorHAnsi" w:cstheme="minorBidi"/>
          <w:szCs w:val="22"/>
        </w:rPr>
      </w:pPr>
      <w:r>
        <w:t>26.</w:t>
      </w:r>
      <w:r>
        <w:tab/>
        <w:t>Application of Commonwealth Acts</w:t>
      </w:r>
      <w:r>
        <w:tab/>
      </w:r>
      <w:r>
        <w:fldChar w:fldCharType="begin"/>
      </w:r>
      <w:r>
        <w:instrText xml:space="preserve"> PAGEREF _Toc455414770 \h </w:instrText>
      </w:r>
      <w:r>
        <w:fldChar w:fldCharType="separate"/>
      </w:r>
      <w:r>
        <w:t>21</w:t>
      </w:r>
      <w:r>
        <w:fldChar w:fldCharType="end"/>
      </w:r>
    </w:p>
    <w:p>
      <w:pPr>
        <w:pStyle w:val="TOC8"/>
        <w:rPr>
          <w:rFonts w:asciiTheme="minorHAnsi" w:eastAsiaTheme="minorEastAsia" w:hAnsiTheme="minorHAnsi" w:cstheme="minorBidi"/>
          <w:szCs w:val="22"/>
        </w:rPr>
      </w:pPr>
      <w:r>
        <w:t>27.</w:t>
      </w:r>
      <w:r>
        <w:tab/>
        <w:t>Extraterritorial operation of Act</w:t>
      </w:r>
      <w:r>
        <w:tab/>
      </w:r>
      <w:r>
        <w:fldChar w:fldCharType="begin"/>
      </w:r>
      <w:r>
        <w:instrText xml:space="preserve"> PAGEREF _Toc455414771 \h </w:instrText>
      </w:r>
      <w:r>
        <w:fldChar w:fldCharType="separate"/>
      </w:r>
      <w:r>
        <w:t>22</w:t>
      </w:r>
      <w:r>
        <w:fldChar w:fldCharType="end"/>
      </w:r>
    </w:p>
    <w:p>
      <w:pPr>
        <w:pStyle w:val="TOC8"/>
        <w:rPr>
          <w:rFonts w:asciiTheme="minorHAnsi" w:eastAsiaTheme="minorEastAsia" w:hAnsiTheme="minorHAnsi" w:cstheme="minorBidi"/>
          <w:szCs w:val="22"/>
        </w:rPr>
      </w:pPr>
      <w:r>
        <w:t>28.</w:t>
      </w:r>
      <w:r>
        <w:tab/>
        <w:t>Act binds the State</w:t>
      </w:r>
      <w:r>
        <w:tab/>
      </w:r>
      <w:r>
        <w:fldChar w:fldCharType="begin"/>
      </w:r>
      <w:r>
        <w:instrText xml:space="preserve"> PAGEREF _Toc455414772 \h </w:instrText>
      </w:r>
      <w:r>
        <w:fldChar w:fldCharType="separate"/>
      </w:r>
      <w:r>
        <w:t>22</w:t>
      </w:r>
      <w:r>
        <w:fldChar w:fldCharType="end"/>
      </w:r>
    </w:p>
    <w:p>
      <w:pPr>
        <w:pStyle w:val="TOC8"/>
        <w:rPr>
          <w:rFonts w:asciiTheme="minorHAnsi" w:eastAsiaTheme="minorEastAsia" w:hAnsiTheme="minorHAnsi" w:cstheme="minorBidi"/>
          <w:szCs w:val="22"/>
        </w:rPr>
      </w:pPr>
      <w:r>
        <w:t>29.</w:t>
      </w:r>
      <w:r>
        <w:tab/>
        <w:t>Delegation of functions of responsible Minister</w:t>
      </w:r>
      <w:r>
        <w:tab/>
      </w:r>
      <w:r>
        <w:fldChar w:fldCharType="begin"/>
      </w:r>
      <w:r>
        <w:instrText xml:space="preserve"> PAGEREF _Toc455414773 \h </w:instrText>
      </w:r>
      <w:r>
        <w:fldChar w:fldCharType="separate"/>
      </w:r>
      <w:r>
        <w:t>22</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_Toc455414774 \h </w:instrText>
      </w:r>
      <w:r>
        <w:fldChar w:fldCharType="separate"/>
      </w:r>
      <w:r>
        <w:t>22</w:t>
      </w:r>
      <w:r>
        <w:fldChar w:fldCharType="end"/>
      </w:r>
    </w:p>
    <w:p>
      <w:pPr>
        <w:pStyle w:val="TOC8"/>
        <w:rPr>
          <w:rFonts w:asciiTheme="minorHAnsi" w:eastAsiaTheme="minorEastAsia" w:hAnsiTheme="minorHAnsi" w:cstheme="minorBidi"/>
          <w:szCs w:val="22"/>
        </w:rPr>
      </w:pPr>
      <w:r>
        <w:t>31.</w:t>
      </w:r>
      <w:r>
        <w:tab/>
        <w:t>Transitional and validation provisions</w:t>
      </w:r>
      <w:r>
        <w:tab/>
      </w:r>
      <w:r>
        <w:fldChar w:fldCharType="begin"/>
      </w:r>
      <w:r>
        <w:instrText xml:space="preserve"> PAGEREF _Toc455414775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Hospitals and Health Services Act 1927</w:t>
      </w:r>
      <w:r>
        <w:t>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_Toc455414777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21 amended</w:t>
      </w:r>
      <w:r>
        <w:tab/>
      </w:r>
      <w:r>
        <w:fldChar w:fldCharType="begin"/>
      </w:r>
      <w:r>
        <w:instrText xml:space="preserve"> PAGEREF _Toc455414778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Hospital Fund Act 1930</w:t>
      </w:r>
      <w:r>
        <w:t xml:space="preserve"> repealed</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34.</w:t>
      </w:r>
      <w:r>
        <w:tab/>
      </w:r>
      <w:r>
        <w:rPr>
          <w:i/>
        </w:rPr>
        <w:t>Hospital Fund Act 1930</w:t>
      </w:r>
      <w:r>
        <w:t xml:space="preserve"> repealed</w:t>
      </w:r>
      <w:r>
        <w:tab/>
      </w:r>
      <w:r>
        <w:fldChar w:fldCharType="begin"/>
      </w:r>
      <w:r>
        <w:instrText xml:space="preserve"> PAGEREF _Toc455414781 \h </w:instrText>
      </w:r>
      <w:r>
        <w:fldChar w:fldCharType="separate"/>
      </w:r>
      <w:r>
        <w:t>25</w:t>
      </w:r>
      <w:r>
        <w:fldChar w:fldCharType="end"/>
      </w:r>
    </w:p>
    <w:p>
      <w:pPr>
        <w:pStyle w:val="TOC8"/>
        <w:rPr>
          <w:rFonts w:asciiTheme="minorHAnsi" w:eastAsiaTheme="minorEastAsia" w:hAnsiTheme="minorHAnsi" w:cstheme="minorBidi"/>
          <w:szCs w:val="22"/>
        </w:rPr>
      </w:pPr>
      <w:r>
        <w:t>35.</w:t>
      </w:r>
      <w:r>
        <w:tab/>
        <w:t>Funds to be transferred</w:t>
      </w:r>
      <w:r>
        <w:tab/>
      </w:r>
      <w:r>
        <w:fldChar w:fldCharType="begin"/>
      </w:r>
      <w:r>
        <w:instrText xml:space="preserve"> PAGEREF _Toc455414782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Lotteries Commission Act 1990</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_Toc455414784 \h </w:instrText>
      </w:r>
      <w:r>
        <w:fldChar w:fldCharType="separate"/>
      </w:r>
      <w:r>
        <w:t>26</w:t>
      </w:r>
      <w:r>
        <w:fldChar w:fldCharType="end"/>
      </w:r>
    </w:p>
    <w:p>
      <w:pPr>
        <w:pStyle w:val="TOC8"/>
        <w:rPr>
          <w:rFonts w:asciiTheme="minorHAnsi" w:eastAsiaTheme="minorEastAsia" w:hAnsiTheme="minorHAnsi" w:cstheme="minorBidi"/>
          <w:szCs w:val="22"/>
        </w:rPr>
      </w:pPr>
      <w:r>
        <w:t>37.</w:t>
      </w:r>
      <w:r>
        <w:tab/>
        <w:t>Section 22 amended</w:t>
      </w:r>
      <w:r>
        <w:tab/>
      </w:r>
      <w:r>
        <w:fldChar w:fldCharType="begin"/>
      </w:r>
      <w:r>
        <w:instrText xml:space="preserve"> PAGEREF _Toc455414785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_Toc455414787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National Health Funding Pool Act 2012</w:t>
      </w:r>
    </w:p>
    <w:p>
      <w:pPr>
        <w:pStyle w:val="LongTitle"/>
      </w:pPr>
      <w:bookmarkStart w:id="3" w:name="BillCited"/>
      <w:bookmarkEnd w:id="3"/>
      <w:r>
        <w:t xml:space="preserve">An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2969847"/>
      <w:bookmarkStart w:id="5" w:name="_Toc421549733"/>
      <w:bookmarkStart w:id="6" w:name="_Toc421549783"/>
      <w:bookmarkStart w:id="7" w:name="_Toc435779822"/>
      <w:bookmarkStart w:id="8" w:name="_Toc436128377"/>
      <w:bookmarkStart w:id="9" w:name="_Toc452556701"/>
      <w:bookmarkStart w:id="10" w:name="_Toc45541473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402969848"/>
      <w:bookmarkStart w:id="12" w:name="_Toc455414740"/>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3" w:name="_Toc402969849"/>
      <w:bookmarkStart w:id="14" w:name="_Toc455414741"/>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02969850"/>
      <w:bookmarkStart w:id="16" w:name="_Toc455414742"/>
      <w:r>
        <w:rPr>
          <w:rStyle w:val="CharSectno"/>
        </w:rPr>
        <w:t>3</w:t>
      </w:r>
      <w:r>
        <w:t>.</w:t>
      </w:r>
      <w:r>
        <w:tab/>
        <w:t>Terms used</w:t>
      </w:r>
      <w:bookmarkEnd w:id="15"/>
      <w:bookmarkEnd w:id="16"/>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provision of this Act in which the expression occurs (or of the corresponding provision of the laws of the Commonwealth and the other States);</w:t>
      </w:r>
    </w:p>
    <w:p>
      <w:pPr>
        <w:pStyle w:val="PermNoteHeading"/>
      </w:pPr>
      <w:r>
        <w:tab/>
        <w:t>Note:</w:t>
      </w:r>
    </w:p>
    <w:p>
      <w:pPr>
        <w:pStyle w:val="PermNoteText"/>
      </w:pPr>
      <w:r>
        <w:tab/>
      </w:r>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7" w:name="_Toc402969851"/>
      <w:bookmarkStart w:id="18" w:name="_Toc421549737"/>
      <w:bookmarkStart w:id="19" w:name="_Toc421549787"/>
      <w:bookmarkStart w:id="20" w:name="_Toc435779826"/>
      <w:bookmarkStart w:id="21" w:name="_Toc436128381"/>
      <w:bookmarkStart w:id="22" w:name="_Toc452556705"/>
      <w:bookmarkStart w:id="23" w:name="_Toc455414743"/>
      <w:r>
        <w:rPr>
          <w:rStyle w:val="CharPartNo"/>
        </w:rPr>
        <w:t>Part 2</w:t>
      </w:r>
      <w:r>
        <w:rPr>
          <w:rStyle w:val="CharDivNo"/>
        </w:rPr>
        <w:t> </w:t>
      </w:r>
      <w:r>
        <w:t>—</w:t>
      </w:r>
      <w:r>
        <w:rPr>
          <w:rStyle w:val="CharDivText"/>
        </w:rPr>
        <w:t> </w:t>
      </w:r>
      <w:r>
        <w:rPr>
          <w:rStyle w:val="CharPartText"/>
        </w:rPr>
        <w:t>Administrator of the National Health Funding Pool</w:t>
      </w:r>
      <w:bookmarkEnd w:id="17"/>
      <w:bookmarkEnd w:id="18"/>
      <w:bookmarkEnd w:id="19"/>
      <w:bookmarkEnd w:id="20"/>
      <w:bookmarkEnd w:id="21"/>
      <w:bookmarkEnd w:id="22"/>
      <w:bookmarkEnd w:id="23"/>
    </w:p>
    <w:p>
      <w:pPr>
        <w:pStyle w:val="Heading5"/>
      </w:pPr>
      <w:bookmarkStart w:id="24" w:name="_Toc402969852"/>
      <w:bookmarkStart w:id="25" w:name="_Toc455414744"/>
      <w:r>
        <w:rPr>
          <w:rStyle w:val="CharSectno"/>
        </w:rPr>
        <w:t>4</w:t>
      </w:r>
      <w:r>
        <w:t>.</w:t>
      </w:r>
      <w:r>
        <w:tab/>
        <w:t>The office of Administrator</w:t>
      </w:r>
      <w:bookmarkEnd w:id="24"/>
      <w:bookmarkEnd w:id="25"/>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6" w:name="_Toc402969853"/>
      <w:bookmarkStart w:id="27" w:name="_Toc455414745"/>
      <w:r>
        <w:rPr>
          <w:rStyle w:val="CharSectno"/>
        </w:rPr>
        <w:t>5</w:t>
      </w:r>
      <w:r>
        <w:t>.</w:t>
      </w:r>
      <w:r>
        <w:tab/>
        <w:t>Appointment of Administrator</w:t>
      </w:r>
      <w:bookmarkEnd w:id="26"/>
      <w:bookmarkEnd w:id="27"/>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8" w:name="_Toc402969854"/>
      <w:bookmarkStart w:id="29" w:name="_Toc455414746"/>
      <w:r>
        <w:rPr>
          <w:rStyle w:val="CharSectno"/>
        </w:rPr>
        <w:t>6</w:t>
      </w:r>
      <w:r>
        <w:t>.</w:t>
      </w:r>
      <w:r>
        <w:tab/>
        <w:t>Suspension of Administrator</w:t>
      </w:r>
      <w:bookmarkEnd w:id="28"/>
      <w:bookmarkEnd w:id="29"/>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30" w:name="_Toc402969855"/>
      <w:bookmarkStart w:id="31" w:name="_Toc455414747"/>
      <w:r>
        <w:rPr>
          <w:rStyle w:val="CharSectno"/>
        </w:rPr>
        <w:t>7</w:t>
      </w:r>
      <w:r>
        <w:t>.</w:t>
      </w:r>
      <w:r>
        <w:tab/>
        <w:t>Removal or resignation of Administrator</w:t>
      </w:r>
      <w:bookmarkEnd w:id="30"/>
      <w:bookmarkEnd w:id="31"/>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2" w:name="_Toc402969856"/>
      <w:bookmarkStart w:id="33" w:name="_Toc455414748"/>
      <w:r>
        <w:rPr>
          <w:rStyle w:val="CharSectno"/>
        </w:rPr>
        <w:t>8</w:t>
      </w:r>
      <w:r>
        <w:t>.</w:t>
      </w:r>
      <w:r>
        <w:tab/>
        <w:t>Acting Administrator</w:t>
      </w:r>
      <w:bookmarkEnd w:id="32"/>
      <w:bookmarkEnd w:id="33"/>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pPr>
      <w:r>
        <w:tab/>
        <w:t>Note:</w:t>
      </w:r>
    </w:p>
    <w:p>
      <w:pPr>
        <w:pStyle w:val="PermNoteText"/>
      </w:pPr>
      <w:r>
        <w:tab/>
      </w:r>
      <w:r>
        <w:tab/>
        <w:t>The applied provisions of Schedule 7 to the Health Practitioner National Law (clause 27) contain additional provisions relating to acting appointments that have effect subject to this section.</w:t>
      </w:r>
    </w:p>
    <w:p>
      <w:pPr>
        <w:pStyle w:val="Heading5"/>
      </w:pPr>
      <w:bookmarkStart w:id="34" w:name="_Toc402969857"/>
      <w:bookmarkStart w:id="35" w:name="_Toc455414749"/>
      <w:r>
        <w:rPr>
          <w:rStyle w:val="CharSectno"/>
        </w:rPr>
        <w:t>9</w:t>
      </w:r>
      <w:r>
        <w:t>.</w:t>
      </w:r>
      <w:r>
        <w:tab/>
        <w:t>Provision of staff and facilities for Administrator</w:t>
      </w:r>
      <w:bookmarkEnd w:id="34"/>
      <w:bookmarkEnd w:id="35"/>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36" w:name="_Toc402969858"/>
      <w:bookmarkStart w:id="37" w:name="_Toc455414750"/>
      <w:r>
        <w:rPr>
          <w:rStyle w:val="CharSectno"/>
        </w:rPr>
        <w:t>10</w:t>
      </w:r>
      <w:r>
        <w:t>.</w:t>
      </w:r>
      <w:r>
        <w:tab/>
        <w:t>Functions of Administrator</w:t>
      </w:r>
      <w:bookmarkEnd w:id="36"/>
      <w:bookmarkEnd w:id="37"/>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pPr>
      <w:r>
        <w:tab/>
        <w:t>Note:</w:t>
      </w:r>
    </w:p>
    <w:p>
      <w:pPr>
        <w:pStyle w:val="PermNoteText"/>
      </w:pPr>
      <w:r>
        <w:tab/>
      </w:r>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38" w:name="_Toc402969859"/>
      <w:bookmarkStart w:id="39" w:name="_Toc421549745"/>
      <w:bookmarkStart w:id="40" w:name="_Toc421549795"/>
      <w:bookmarkStart w:id="41" w:name="_Toc435779834"/>
      <w:bookmarkStart w:id="42" w:name="_Toc436128389"/>
      <w:bookmarkStart w:id="43" w:name="_Toc452556713"/>
      <w:bookmarkStart w:id="44" w:name="_Toc455414751"/>
      <w:r>
        <w:rPr>
          <w:rStyle w:val="CharPartNo"/>
        </w:rPr>
        <w:t>Part 3</w:t>
      </w:r>
      <w:r>
        <w:rPr>
          <w:rStyle w:val="CharDivNo"/>
        </w:rPr>
        <w:t> </w:t>
      </w:r>
      <w:r>
        <w:t>—</w:t>
      </w:r>
      <w:r>
        <w:rPr>
          <w:rStyle w:val="CharDivText"/>
        </w:rPr>
        <w:t> </w:t>
      </w:r>
      <w:r>
        <w:rPr>
          <w:rStyle w:val="CharPartText"/>
        </w:rPr>
        <w:t>State Pool Accounts — the National Health Funding Pool</w:t>
      </w:r>
      <w:bookmarkEnd w:id="38"/>
      <w:bookmarkEnd w:id="39"/>
      <w:bookmarkEnd w:id="40"/>
      <w:bookmarkEnd w:id="41"/>
      <w:bookmarkEnd w:id="42"/>
      <w:bookmarkEnd w:id="43"/>
      <w:bookmarkEnd w:id="44"/>
    </w:p>
    <w:p>
      <w:pPr>
        <w:pStyle w:val="Heading5"/>
      </w:pPr>
      <w:bookmarkStart w:id="45" w:name="_Toc402969860"/>
      <w:bookmarkStart w:id="46" w:name="_Toc455414752"/>
      <w:r>
        <w:rPr>
          <w:rStyle w:val="CharSectno"/>
        </w:rPr>
        <w:t>11</w:t>
      </w:r>
      <w:r>
        <w:t>.</w:t>
      </w:r>
      <w:r>
        <w:tab/>
        <w:t xml:space="preserve">Establishment of State Pool Account </w:t>
      </w:r>
      <w:r>
        <w:noBreakHyphen/>
        <w:t xml:space="preserve"> Special Purpose Account</w:t>
      </w:r>
      <w:bookmarkEnd w:id="45"/>
      <w:bookmarkEnd w:id="46"/>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47" w:name="_Toc402969861"/>
      <w:bookmarkStart w:id="48" w:name="_Toc455414753"/>
      <w:r>
        <w:rPr>
          <w:rStyle w:val="CharSectno"/>
        </w:rPr>
        <w:t>12</w:t>
      </w:r>
      <w:r>
        <w:t>.</w:t>
      </w:r>
      <w:r>
        <w:tab/>
        <w:t xml:space="preserve">Establishment of State Pool Account </w:t>
      </w:r>
      <w:r>
        <w:noBreakHyphen/>
        <w:t xml:space="preserve"> Bank Account</w:t>
      </w:r>
      <w:bookmarkEnd w:id="47"/>
      <w:bookmarkEnd w:id="48"/>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49" w:name="_Toc402969862"/>
      <w:bookmarkStart w:id="50" w:name="_Toc455414754"/>
      <w:r>
        <w:rPr>
          <w:rStyle w:val="CharSectno"/>
        </w:rPr>
        <w:t>13</w:t>
      </w:r>
      <w:r>
        <w:t>.</w:t>
      </w:r>
      <w:r>
        <w:tab/>
        <w:t>Administration of State Pool Account</w:t>
      </w:r>
      <w:bookmarkEnd w:id="49"/>
      <w:bookmarkEnd w:id="50"/>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51" w:name="_Toc402969863"/>
      <w:bookmarkStart w:id="52" w:name="_Toc455414755"/>
      <w:r>
        <w:rPr>
          <w:rStyle w:val="CharSectno"/>
        </w:rPr>
        <w:t>14</w:t>
      </w:r>
      <w:r>
        <w:t>.</w:t>
      </w:r>
      <w:r>
        <w:tab/>
        <w:t>Payments from State Pool Account</w:t>
      </w:r>
      <w:bookmarkEnd w:id="51"/>
      <w:bookmarkEnd w:id="52"/>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53" w:name="_Toc402969864"/>
      <w:bookmarkStart w:id="54" w:name="_Toc455414756"/>
      <w:r>
        <w:rPr>
          <w:rStyle w:val="CharSectno"/>
        </w:rPr>
        <w:t>15</w:t>
      </w:r>
      <w:r>
        <w:t>.</w:t>
      </w:r>
      <w:r>
        <w:tab/>
        <w:t>Distribution of Commonwealth funding</w:t>
      </w:r>
      <w:bookmarkEnd w:id="53"/>
      <w:bookmarkEnd w:id="54"/>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55" w:name="_Toc402969865"/>
      <w:bookmarkStart w:id="56" w:name="_Toc421549751"/>
      <w:bookmarkStart w:id="57" w:name="_Toc421549801"/>
      <w:bookmarkStart w:id="58" w:name="_Toc435779840"/>
      <w:bookmarkStart w:id="59" w:name="_Toc436128395"/>
      <w:bookmarkStart w:id="60" w:name="_Toc452556719"/>
      <w:bookmarkStart w:id="61" w:name="_Toc455414757"/>
      <w:r>
        <w:rPr>
          <w:rStyle w:val="CharPartNo"/>
        </w:rPr>
        <w:t>Part 4</w:t>
      </w:r>
      <w:r>
        <w:rPr>
          <w:rStyle w:val="CharDivNo"/>
        </w:rPr>
        <w:t> </w:t>
      </w:r>
      <w:r>
        <w:t>—</w:t>
      </w:r>
      <w:r>
        <w:rPr>
          <w:rStyle w:val="CharDivText"/>
        </w:rPr>
        <w:t> </w:t>
      </w:r>
      <w:r>
        <w:rPr>
          <w:rStyle w:val="CharPartText"/>
        </w:rPr>
        <w:t>State Managed Funds</w:t>
      </w:r>
      <w:bookmarkEnd w:id="55"/>
      <w:bookmarkEnd w:id="56"/>
      <w:bookmarkEnd w:id="57"/>
      <w:bookmarkEnd w:id="58"/>
      <w:bookmarkEnd w:id="59"/>
      <w:bookmarkEnd w:id="60"/>
      <w:bookmarkEnd w:id="61"/>
    </w:p>
    <w:p>
      <w:pPr>
        <w:pStyle w:val="Heading5"/>
      </w:pPr>
      <w:bookmarkStart w:id="62" w:name="_Toc402969866"/>
      <w:bookmarkStart w:id="63" w:name="_Toc455414758"/>
      <w:r>
        <w:rPr>
          <w:rStyle w:val="CharSectno"/>
        </w:rPr>
        <w:t>16</w:t>
      </w:r>
      <w:r>
        <w:t>.</w:t>
      </w:r>
      <w:r>
        <w:tab/>
        <w:t>State Managed Funds</w:t>
      </w:r>
      <w:bookmarkEnd w:id="62"/>
      <w:bookmarkEnd w:id="63"/>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Health Services Act 2016</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2014</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Footnotesection"/>
      </w:pPr>
      <w:r>
        <w:tab/>
        <w:t>[Section 16 amended: No. 25 of 2014 s. 73; No. 11 of 2016 s. 297.]</w:t>
      </w:r>
    </w:p>
    <w:p>
      <w:pPr>
        <w:pStyle w:val="Heading2"/>
      </w:pPr>
      <w:bookmarkStart w:id="64" w:name="_Toc402969867"/>
      <w:bookmarkStart w:id="65" w:name="_Toc421549753"/>
      <w:bookmarkStart w:id="66" w:name="_Toc421549803"/>
      <w:bookmarkStart w:id="67" w:name="_Toc435779842"/>
      <w:bookmarkStart w:id="68" w:name="_Toc436128397"/>
      <w:bookmarkStart w:id="69" w:name="_Toc452556721"/>
      <w:bookmarkStart w:id="70" w:name="_Toc455414759"/>
      <w:r>
        <w:rPr>
          <w:rStyle w:val="CharPartNo"/>
        </w:rPr>
        <w:t>Part 5</w:t>
      </w:r>
      <w:r>
        <w:rPr>
          <w:rStyle w:val="CharDivNo"/>
        </w:rPr>
        <w:t> </w:t>
      </w:r>
      <w:r>
        <w:t>—</w:t>
      </w:r>
      <w:r>
        <w:rPr>
          <w:rStyle w:val="CharDivText"/>
        </w:rPr>
        <w:t> </w:t>
      </w:r>
      <w:r>
        <w:rPr>
          <w:rStyle w:val="CharPartText"/>
        </w:rPr>
        <w:t>Financial management and reporting</w:t>
      </w:r>
      <w:bookmarkEnd w:id="64"/>
      <w:bookmarkEnd w:id="65"/>
      <w:bookmarkEnd w:id="66"/>
      <w:bookmarkEnd w:id="67"/>
      <w:bookmarkEnd w:id="68"/>
      <w:bookmarkEnd w:id="69"/>
      <w:bookmarkEnd w:id="70"/>
    </w:p>
    <w:p>
      <w:pPr>
        <w:pStyle w:val="Heading5"/>
      </w:pPr>
      <w:bookmarkStart w:id="71" w:name="_Toc402969868"/>
      <w:bookmarkStart w:id="72" w:name="_Toc455414760"/>
      <w:r>
        <w:rPr>
          <w:rStyle w:val="CharSectno"/>
        </w:rPr>
        <w:t>17</w:t>
      </w:r>
      <w:r>
        <w:t>.</w:t>
      </w:r>
      <w:r>
        <w:tab/>
        <w:t>Financial management obligations of Administrator</w:t>
      </w:r>
      <w:bookmarkEnd w:id="71"/>
      <w:bookmarkEnd w:id="72"/>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73" w:name="_Toc402969869"/>
      <w:bookmarkStart w:id="74" w:name="_Toc455414761"/>
      <w:r>
        <w:rPr>
          <w:rStyle w:val="CharSectno"/>
        </w:rPr>
        <w:t>18</w:t>
      </w:r>
      <w:r>
        <w:t>.</w:t>
      </w:r>
      <w:r>
        <w:tab/>
        <w:t>Monthly reports by Administrator</w:t>
      </w:r>
      <w:bookmarkEnd w:id="73"/>
      <w:bookmarkEnd w:id="74"/>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75" w:name="_Toc402969870"/>
      <w:bookmarkStart w:id="76" w:name="_Toc455414762"/>
      <w:r>
        <w:rPr>
          <w:rStyle w:val="CharSectno"/>
        </w:rPr>
        <w:t>19</w:t>
      </w:r>
      <w:r>
        <w:t>.</w:t>
      </w:r>
      <w:r>
        <w:tab/>
        <w:t>Annual report by Administrator</w:t>
      </w:r>
      <w:bookmarkEnd w:id="75"/>
      <w:bookmarkEnd w:id="76"/>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77" w:name="_Toc402969871"/>
      <w:bookmarkStart w:id="78" w:name="_Toc455414763"/>
      <w:r>
        <w:rPr>
          <w:rStyle w:val="CharSectno"/>
        </w:rPr>
        <w:t>20</w:t>
      </w:r>
      <w:r>
        <w:t>.</w:t>
      </w:r>
      <w:r>
        <w:tab/>
        <w:t>Administrator to prepare financial statements for State Pool Accounts</w:t>
      </w:r>
      <w:bookmarkEnd w:id="77"/>
      <w:bookmarkEnd w:id="78"/>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79" w:name="_Toc402969872"/>
      <w:bookmarkStart w:id="80" w:name="_Toc455414764"/>
      <w:r>
        <w:rPr>
          <w:rStyle w:val="CharSectno"/>
        </w:rPr>
        <w:t>21</w:t>
      </w:r>
      <w:r>
        <w:t>.</w:t>
      </w:r>
      <w:r>
        <w:tab/>
        <w:t>Audit of financial statements</w:t>
      </w:r>
      <w:bookmarkEnd w:id="79"/>
      <w:bookmarkEnd w:id="80"/>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81" w:name="_Toc402969873"/>
      <w:bookmarkStart w:id="82" w:name="_Toc455414765"/>
      <w:r>
        <w:rPr>
          <w:rStyle w:val="CharSectno"/>
        </w:rPr>
        <w:t>22</w:t>
      </w:r>
      <w:r>
        <w:t>.</w:t>
      </w:r>
      <w:r>
        <w:tab/>
        <w:t>Performance audits</w:t>
      </w:r>
      <w:bookmarkEnd w:id="81"/>
      <w:bookmarkEnd w:id="82"/>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83" w:name="_Toc402969874"/>
      <w:bookmarkStart w:id="84" w:name="_Toc455414766"/>
      <w:r>
        <w:rPr>
          <w:rStyle w:val="CharSectno"/>
        </w:rPr>
        <w:t>23</w:t>
      </w:r>
      <w:r>
        <w:t>.</w:t>
      </w:r>
      <w:r>
        <w:tab/>
        <w:t>States to provide Administrator with information about State Managed Funds</w:t>
      </w:r>
      <w:bookmarkEnd w:id="83"/>
      <w:bookmarkEnd w:id="84"/>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85" w:name="_Toc402969875"/>
      <w:bookmarkStart w:id="86" w:name="_Toc455414767"/>
      <w:r>
        <w:rPr>
          <w:rStyle w:val="CharSectno"/>
        </w:rPr>
        <w:t>24</w:t>
      </w:r>
      <w:r>
        <w:t>.</w:t>
      </w:r>
      <w:r>
        <w:tab/>
        <w:t>Provision of other information</w:t>
      </w:r>
      <w:bookmarkEnd w:id="85"/>
      <w:bookmarkEnd w:id="86"/>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87" w:name="_Toc402969876"/>
      <w:bookmarkStart w:id="88" w:name="_Toc421549762"/>
      <w:bookmarkStart w:id="89" w:name="_Toc421549812"/>
      <w:bookmarkStart w:id="90" w:name="_Toc435779851"/>
      <w:bookmarkStart w:id="91" w:name="_Toc436128406"/>
      <w:bookmarkStart w:id="92" w:name="_Toc452556730"/>
      <w:bookmarkStart w:id="93" w:name="_Toc455414768"/>
      <w:r>
        <w:rPr>
          <w:rStyle w:val="CharPartNo"/>
        </w:rPr>
        <w:t>Part 6</w:t>
      </w:r>
      <w:r>
        <w:rPr>
          <w:rStyle w:val="CharDivNo"/>
        </w:rPr>
        <w:t> </w:t>
      </w:r>
      <w:r>
        <w:t>—</w:t>
      </w:r>
      <w:r>
        <w:rPr>
          <w:rStyle w:val="CharDivText"/>
        </w:rPr>
        <w:t> </w:t>
      </w:r>
      <w:r>
        <w:rPr>
          <w:rStyle w:val="CharPartText"/>
        </w:rPr>
        <w:t>Miscellaneous</w:t>
      </w:r>
      <w:bookmarkEnd w:id="87"/>
      <w:bookmarkEnd w:id="88"/>
      <w:bookmarkEnd w:id="89"/>
      <w:bookmarkEnd w:id="90"/>
      <w:bookmarkEnd w:id="91"/>
      <w:bookmarkEnd w:id="92"/>
      <w:bookmarkEnd w:id="93"/>
    </w:p>
    <w:p>
      <w:pPr>
        <w:pStyle w:val="Heading5"/>
      </w:pPr>
      <w:bookmarkStart w:id="94" w:name="_Toc402969877"/>
      <w:bookmarkStart w:id="95" w:name="_Toc455414769"/>
      <w:r>
        <w:rPr>
          <w:rStyle w:val="CharSectno"/>
        </w:rPr>
        <w:t>25</w:t>
      </w:r>
      <w:r>
        <w:t>.</w:t>
      </w:r>
      <w:r>
        <w:tab/>
        <w:t>Exclusion of legislation of this jurisdiction</w:t>
      </w:r>
      <w:bookmarkEnd w:id="94"/>
      <w:bookmarkEnd w:id="95"/>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96" w:name="_Toc402969878"/>
      <w:bookmarkStart w:id="97" w:name="_Toc455414770"/>
      <w:r>
        <w:rPr>
          <w:rStyle w:val="CharSectno"/>
        </w:rPr>
        <w:t>26</w:t>
      </w:r>
      <w:r>
        <w:t>.</w:t>
      </w:r>
      <w:r>
        <w:tab/>
        <w:t>Application of Commonwealth Acts</w:t>
      </w:r>
      <w:bookmarkEnd w:id="96"/>
      <w:bookmarkEnd w:id="97"/>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98" w:name="_Toc402969879"/>
      <w:bookmarkStart w:id="99" w:name="_Toc455414771"/>
      <w:r>
        <w:rPr>
          <w:rStyle w:val="CharSectno"/>
        </w:rPr>
        <w:t>27</w:t>
      </w:r>
      <w:r>
        <w:t>.</w:t>
      </w:r>
      <w:r>
        <w:tab/>
        <w:t>Extraterritorial operation of Act</w:t>
      </w:r>
      <w:bookmarkEnd w:id="98"/>
      <w:bookmarkEnd w:id="99"/>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00" w:name="_Toc402969880"/>
      <w:bookmarkStart w:id="101" w:name="_Toc455414772"/>
      <w:r>
        <w:rPr>
          <w:rStyle w:val="CharSectno"/>
        </w:rPr>
        <w:t>28</w:t>
      </w:r>
      <w:r>
        <w:t>.</w:t>
      </w:r>
      <w:r>
        <w:tab/>
        <w:t>Act binds the State</w:t>
      </w:r>
      <w:bookmarkEnd w:id="100"/>
      <w:bookmarkEnd w:id="101"/>
    </w:p>
    <w:p>
      <w:pPr>
        <w:pStyle w:val="Subsection"/>
      </w:pPr>
      <w:r>
        <w:tab/>
      </w:r>
      <w:r>
        <w:tab/>
        <w:t>This Act binds the State and, so far as the legislative power of the State permits, the Crown in all its other capacities.</w:t>
      </w:r>
    </w:p>
    <w:p>
      <w:pPr>
        <w:pStyle w:val="Heading5"/>
      </w:pPr>
      <w:bookmarkStart w:id="102" w:name="_Toc402969881"/>
      <w:bookmarkStart w:id="103" w:name="_Toc455414773"/>
      <w:r>
        <w:rPr>
          <w:rStyle w:val="CharSectno"/>
        </w:rPr>
        <w:t>29</w:t>
      </w:r>
      <w:r>
        <w:t>.</w:t>
      </w:r>
      <w:r>
        <w:tab/>
        <w:t>Delegation of functions of responsible Minister</w:t>
      </w:r>
      <w:bookmarkEnd w:id="102"/>
      <w:bookmarkEnd w:id="103"/>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04" w:name="_Toc402969882"/>
      <w:bookmarkStart w:id="105" w:name="_Toc455414774"/>
      <w:r>
        <w:rPr>
          <w:rStyle w:val="CharSectno"/>
        </w:rPr>
        <w:t>30</w:t>
      </w:r>
      <w:r>
        <w:t>.</w:t>
      </w:r>
      <w:r>
        <w:tab/>
        <w:t>Regulations</w:t>
      </w:r>
      <w:bookmarkEnd w:id="104"/>
      <w:bookmarkEnd w:id="1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06" w:name="_Toc402969883"/>
      <w:bookmarkStart w:id="107" w:name="_Toc455414775"/>
      <w:r>
        <w:rPr>
          <w:rStyle w:val="CharSectno"/>
        </w:rPr>
        <w:t>31</w:t>
      </w:r>
      <w:r>
        <w:t>.</w:t>
      </w:r>
      <w:r>
        <w:tab/>
        <w:t>Transitional and validation provisions</w:t>
      </w:r>
      <w:bookmarkEnd w:id="106"/>
      <w:bookmarkEnd w:id="107"/>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08" w:name="_Toc402969884"/>
      <w:bookmarkStart w:id="109" w:name="_Toc421549770"/>
      <w:bookmarkStart w:id="110" w:name="_Toc421549820"/>
      <w:bookmarkStart w:id="111" w:name="_Toc435779859"/>
      <w:bookmarkStart w:id="112" w:name="_Toc436128414"/>
      <w:bookmarkStart w:id="113" w:name="_Toc452556738"/>
      <w:bookmarkStart w:id="114" w:name="_Toc455414776"/>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08"/>
      <w:bookmarkEnd w:id="109"/>
      <w:bookmarkEnd w:id="110"/>
      <w:bookmarkEnd w:id="111"/>
      <w:bookmarkEnd w:id="112"/>
      <w:bookmarkEnd w:id="113"/>
      <w:bookmarkEnd w:id="114"/>
    </w:p>
    <w:p>
      <w:pPr>
        <w:pStyle w:val="Heading5"/>
      </w:pPr>
      <w:bookmarkStart w:id="115" w:name="_Toc402969885"/>
      <w:bookmarkStart w:id="116" w:name="_Toc455414777"/>
      <w:r>
        <w:rPr>
          <w:rStyle w:val="CharSectno"/>
        </w:rPr>
        <w:t>32</w:t>
      </w:r>
      <w:r>
        <w:t>.</w:t>
      </w:r>
      <w:r>
        <w:tab/>
        <w:t>Act amended</w:t>
      </w:r>
      <w:bookmarkEnd w:id="115"/>
      <w:bookmarkEnd w:id="116"/>
    </w:p>
    <w:p>
      <w:pPr>
        <w:pStyle w:val="Subsection"/>
      </w:pPr>
      <w:r>
        <w:tab/>
      </w:r>
      <w:r>
        <w:tab/>
        <w:t xml:space="preserve">This Part amends the </w:t>
      </w:r>
      <w:r>
        <w:rPr>
          <w:i/>
        </w:rPr>
        <w:t>Hospitals and Health Services Act 1927</w:t>
      </w:r>
      <w:r>
        <w:t>.</w:t>
      </w:r>
    </w:p>
    <w:p>
      <w:pPr>
        <w:pStyle w:val="Heading5"/>
      </w:pPr>
      <w:bookmarkStart w:id="117" w:name="_Toc402969886"/>
      <w:bookmarkStart w:id="118" w:name="_Toc455414778"/>
      <w:r>
        <w:rPr>
          <w:rStyle w:val="CharSectno"/>
        </w:rPr>
        <w:t>33</w:t>
      </w:r>
      <w:r>
        <w:t>.</w:t>
      </w:r>
      <w:r>
        <w:tab/>
        <w:t>Section 21 amended</w:t>
      </w:r>
      <w:bookmarkEnd w:id="117"/>
      <w:bookmarkEnd w:id="118"/>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19" w:name="_Toc402969887"/>
      <w:bookmarkStart w:id="120" w:name="_Toc421549773"/>
      <w:bookmarkStart w:id="121" w:name="_Toc421549823"/>
      <w:bookmarkStart w:id="122" w:name="_Toc435779862"/>
      <w:bookmarkStart w:id="123" w:name="_Toc436128417"/>
      <w:bookmarkStart w:id="124" w:name="_Toc452556741"/>
      <w:bookmarkStart w:id="125" w:name="_Toc455414779"/>
      <w:r>
        <w:rPr>
          <w:rStyle w:val="CharPartNo"/>
        </w:rPr>
        <w:t>Part 8</w:t>
      </w:r>
      <w:r>
        <w:t> — </w:t>
      </w:r>
      <w:r>
        <w:rPr>
          <w:rStyle w:val="CharPartText"/>
          <w:i/>
        </w:rPr>
        <w:t>Hospital Fund Act 1930</w:t>
      </w:r>
      <w:r>
        <w:rPr>
          <w:rStyle w:val="CharPartText"/>
        </w:rPr>
        <w:t xml:space="preserve"> repealed</w:t>
      </w:r>
      <w:bookmarkEnd w:id="119"/>
      <w:bookmarkEnd w:id="120"/>
      <w:bookmarkEnd w:id="121"/>
      <w:bookmarkEnd w:id="122"/>
      <w:bookmarkEnd w:id="123"/>
      <w:bookmarkEnd w:id="124"/>
      <w:bookmarkEnd w:id="125"/>
    </w:p>
    <w:p>
      <w:pPr>
        <w:pStyle w:val="Heading3"/>
      </w:pPr>
      <w:bookmarkStart w:id="126" w:name="_Toc402969888"/>
      <w:bookmarkStart w:id="127" w:name="_Toc421549774"/>
      <w:bookmarkStart w:id="128" w:name="_Toc421549824"/>
      <w:bookmarkStart w:id="129" w:name="_Toc435779863"/>
      <w:bookmarkStart w:id="130" w:name="_Toc436128418"/>
      <w:bookmarkStart w:id="131" w:name="_Toc452556742"/>
      <w:bookmarkStart w:id="132" w:name="_Toc455414780"/>
      <w:r>
        <w:rPr>
          <w:rStyle w:val="CharDivNo"/>
        </w:rPr>
        <w:t>Division 1</w:t>
      </w:r>
      <w:r>
        <w:t> — </w:t>
      </w:r>
      <w:r>
        <w:rPr>
          <w:rStyle w:val="CharDivText"/>
        </w:rPr>
        <w:t>Repeal</w:t>
      </w:r>
      <w:bookmarkEnd w:id="126"/>
      <w:bookmarkEnd w:id="127"/>
      <w:bookmarkEnd w:id="128"/>
      <w:bookmarkEnd w:id="129"/>
      <w:bookmarkEnd w:id="130"/>
      <w:bookmarkEnd w:id="131"/>
      <w:bookmarkEnd w:id="132"/>
    </w:p>
    <w:p>
      <w:pPr>
        <w:pStyle w:val="Heading5"/>
      </w:pPr>
      <w:bookmarkStart w:id="133" w:name="_Toc402969889"/>
      <w:bookmarkStart w:id="134" w:name="_Toc455414781"/>
      <w:r>
        <w:rPr>
          <w:rStyle w:val="CharSectno"/>
        </w:rPr>
        <w:t>34</w:t>
      </w:r>
      <w:r>
        <w:t>.</w:t>
      </w:r>
      <w:r>
        <w:tab/>
      </w:r>
      <w:r>
        <w:rPr>
          <w:i/>
        </w:rPr>
        <w:t>Hospital Fund Act 1930</w:t>
      </w:r>
      <w:r>
        <w:t xml:space="preserve"> repealed</w:t>
      </w:r>
      <w:bookmarkEnd w:id="133"/>
      <w:bookmarkEnd w:id="134"/>
    </w:p>
    <w:p>
      <w:pPr>
        <w:pStyle w:val="Subsection"/>
        <w:spacing w:before="100"/>
      </w:pPr>
      <w:r>
        <w:tab/>
      </w:r>
      <w:r>
        <w:tab/>
        <w:t xml:space="preserve">The </w:t>
      </w:r>
      <w:r>
        <w:rPr>
          <w:i/>
        </w:rPr>
        <w:t>Hospital Fund Act 1930</w:t>
      </w:r>
      <w:r>
        <w:t xml:space="preserve"> is repealed.</w:t>
      </w:r>
    </w:p>
    <w:p>
      <w:pPr>
        <w:pStyle w:val="Heading5"/>
        <w:spacing w:before="120"/>
      </w:pPr>
      <w:bookmarkStart w:id="135" w:name="_Toc402969890"/>
      <w:bookmarkStart w:id="136" w:name="_Toc455414782"/>
      <w:r>
        <w:rPr>
          <w:rStyle w:val="CharSectno"/>
        </w:rPr>
        <w:t>35</w:t>
      </w:r>
      <w:r>
        <w:t>.</w:t>
      </w:r>
      <w:r>
        <w:tab/>
        <w:t>Funds to be transferred</w:t>
      </w:r>
      <w:bookmarkEnd w:id="135"/>
      <w:bookmarkEnd w:id="136"/>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37" w:name="_Toc402969891"/>
      <w:bookmarkStart w:id="138" w:name="_Toc421549777"/>
      <w:bookmarkStart w:id="139" w:name="_Toc421549827"/>
      <w:bookmarkStart w:id="140" w:name="_Toc435779866"/>
      <w:bookmarkStart w:id="141" w:name="_Toc436128421"/>
      <w:bookmarkStart w:id="142" w:name="_Toc452556745"/>
      <w:bookmarkStart w:id="143" w:name="_Toc455414783"/>
      <w:r>
        <w:rPr>
          <w:rStyle w:val="CharDivNo"/>
        </w:rPr>
        <w:t>Division 2</w:t>
      </w:r>
      <w:r>
        <w:t> — </w:t>
      </w:r>
      <w:r>
        <w:rPr>
          <w:rStyle w:val="CharDivText"/>
          <w:i/>
        </w:rPr>
        <w:t>Lotteries Commission Act 1990</w:t>
      </w:r>
      <w:r>
        <w:rPr>
          <w:rStyle w:val="CharDivText"/>
        </w:rPr>
        <w:t xml:space="preserve"> amended</w:t>
      </w:r>
      <w:bookmarkEnd w:id="137"/>
      <w:bookmarkEnd w:id="138"/>
      <w:bookmarkEnd w:id="139"/>
      <w:bookmarkEnd w:id="140"/>
      <w:bookmarkEnd w:id="141"/>
      <w:bookmarkEnd w:id="142"/>
      <w:bookmarkEnd w:id="143"/>
    </w:p>
    <w:p>
      <w:pPr>
        <w:pStyle w:val="Heading5"/>
      </w:pPr>
      <w:bookmarkStart w:id="144" w:name="_Toc402969892"/>
      <w:bookmarkStart w:id="145" w:name="_Toc455414784"/>
      <w:r>
        <w:rPr>
          <w:rStyle w:val="CharSectno"/>
        </w:rPr>
        <w:t>36</w:t>
      </w:r>
      <w:r>
        <w:t>.</w:t>
      </w:r>
      <w:r>
        <w:tab/>
        <w:t>Act amended</w:t>
      </w:r>
      <w:bookmarkEnd w:id="144"/>
      <w:bookmarkEnd w:id="145"/>
    </w:p>
    <w:p>
      <w:pPr>
        <w:pStyle w:val="Subsection"/>
      </w:pPr>
      <w:r>
        <w:tab/>
      </w:r>
      <w:r>
        <w:tab/>
        <w:t xml:space="preserve">This Division amends the </w:t>
      </w:r>
      <w:r>
        <w:rPr>
          <w:i/>
        </w:rPr>
        <w:t>Lotteries Commission Act 1990</w:t>
      </w:r>
      <w:r>
        <w:t>.</w:t>
      </w:r>
    </w:p>
    <w:p>
      <w:pPr>
        <w:pStyle w:val="Heading5"/>
      </w:pPr>
      <w:bookmarkStart w:id="146" w:name="_Toc402969893"/>
      <w:bookmarkStart w:id="147" w:name="_Toc455414785"/>
      <w:r>
        <w:rPr>
          <w:rStyle w:val="CharSectno"/>
        </w:rPr>
        <w:t>37</w:t>
      </w:r>
      <w:r>
        <w:t>.</w:t>
      </w:r>
      <w:r>
        <w:tab/>
        <w:t>Section 22 amended</w:t>
      </w:r>
      <w:bookmarkEnd w:id="146"/>
      <w:bookmarkEnd w:id="147"/>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4"/>
          <w:headerReference w:type="default" r:id="rId25"/>
          <w:headerReference w:type="first" r:id="rId26"/>
          <w:type w:val="evenPage"/>
          <w:pgSz w:w="11907" w:h="16840" w:code="9"/>
          <w:pgMar w:top="2376" w:right="2404" w:bottom="3544" w:left="2404" w:header="709" w:footer="3380" w:gutter="0"/>
          <w:pgNumType w:start="1"/>
          <w:cols w:space="720"/>
          <w:noEndnote/>
          <w:docGrid w:linePitch="78"/>
        </w:sectPr>
      </w:pPr>
    </w:p>
    <w:p>
      <w:pPr>
        <w:pStyle w:val="nHeading2"/>
      </w:pPr>
      <w:bookmarkStart w:id="148" w:name="_Toc402969894"/>
      <w:bookmarkStart w:id="149" w:name="_Toc421549780"/>
      <w:bookmarkStart w:id="150" w:name="_Toc421549830"/>
      <w:bookmarkStart w:id="151" w:name="_Toc435779869"/>
      <w:bookmarkStart w:id="152" w:name="_Toc436128424"/>
      <w:bookmarkStart w:id="153" w:name="_Toc452556748"/>
      <w:bookmarkStart w:id="154" w:name="_Toc455414786"/>
      <w:r>
        <w:t>Notes</w:t>
      </w:r>
      <w:bookmarkEnd w:id="148"/>
      <w:bookmarkEnd w:id="149"/>
      <w:bookmarkEnd w:id="150"/>
      <w:bookmarkEnd w:id="151"/>
      <w:bookmarkEnd w:id="152"/>
      <w:bookmarkEnd w:id="153"/>
      <w:bookmarkEnd w:id="154"/>
    </w:p>
    <w:p>
      <w:pPr>
        <w:pStyle w:val="nSubsection"/>
      </w:pPr>
      <w:r>
        <w:rPr>
          <w:vertAlign w:val="superscript"/>
        </w:rPr>
        <w:t>1</w:t>
      </w:r>
      <w:r>
        <w:tab/>
        <w:t xml:space="preserve">This is a compilation of the </w:t>
      </w:r>
      <w:r>
        <w:rPr>
          <w:i/>
          <w:noProof/>
        </w:rPr>
        <w:t>National Health Funding Pool Act 2012</w:t>
      </w:r>
      <w:r>
        <w:t xml:space="preserve"> and includes the amendments made by the other written laws referred to in the following table.</w:t>
      </w:r>
    </w:p>
    <w:p>
      <w:pPr>
        <w:pStyle w:val="nHeading3"/>
        <w:rPr>
          <w:snapToGrid w:val="0"/>
        </w:rPr>
      </w:pPr>
      <w:bookmarkStart w:id="155" w:name="_Toc402969895"/>
      <w:bookmarkStart w:id="156" w:name="_Toc455414787"/>
      <w:r>
        <w:rPr>
          <w:snapToGrid w:val="0"/>
        </w:rPr>
        <w:t>Compilation table</w:t>
      </w:r>
      <w:bookmarkEnd w:id="155"/>
      <w:bookmarkEnd w:id="1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rPr>
            </w:pPr>
            <w:r>
              <w:rPr>
                <w:i/>
              </w:rPr>
              <w:t>National Health Funding Pool Act 2012</w:t>
            </w:r>
          </w:p>
        </w:tc>
        <w:tc>
          <w:tcPr>
            <w:tcW w:w="1134" w:type="dxa"/>
            <w:tcBorders>
              <w:top w:val="single" w:sz="8" w:space="0" w:color="auto"/>
              <w:bottom w:val="nil"/>
            </w:tcBorders>
          </w:tcPr>
          <w:p>
            <w:pPr>
              <w:pStyle w:val="nTable"/>
              <w:spacing w:after="40"/>
            </w:pPr>
            <w:r>
              <w:t>44 of 2012</w:t>
            </w:r>
          </w:p>
        </w:tc>
        <w:tc>
          <w:tcPr>
            <w:tcW w:w="1134" w:type="dxa"/>
            <w:tcBorders>
              <w:top w:val="single" w:sz="8" w:space="0" w:color="auto"/>
              <w:bottom w:val="nil"/>
            </w:tcBorders>
          </w:tcPr>
          <w:p>
            <w:pPr>
              <w:pStyle w:val="nTable"/>
              <w:spacing w:after="40"/>
            </w:pPr>
            <w:r>
              <w:t>20 Nov 2012</w:t>
            </w:r>
          </w:p>
        </w:tc>
        <w:tc>
          <w:tcPr>
            <w:tcW w:w="2552" w:type="dxa"/>
            <w:tcBorders>
              <w:top w:val="single" w:sz="8" w:space="0" w:color="auto"/>
              <w:bottom w:val="nil"/>
            </w:tcBorders>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r>
        <w:tc>
          <w:tcPr>
            <w:tcW w:w="2268" w:type="dxa"/>
            <w:tcBorders>
              <w:top w:val="nil"/>
              <w:bottom w:val="nil"/>
              <w:right w:val="nil"/>
            </w:tcBorders>
          </w:tcPr>
          <w:p>
            <w:pPr>
              <w:pStyle w:val="nTable"/>
              <w:spacing w:after="40"/>
              <w:rPr>
                <w:i/>
              </w:rPr>
            </w:pPr>
            <w:r>
              <w:rPr>
                <w:i/>
              </w:rPr>
              <w:t xml:space="preserve">Mental Health Legislation Amendment Act 2014 </w:t>
            </w:r>
            <w:r>
              <w:t>Pt. 4 Div. 4 Subdiv. 17</w:t>
            </w:r>
          </w:p>
        </w:tc>
        <w:tc>
          <w:tcPr>
            <w:tcW w:w="1134" w:type="dxa"/>
            <w:tcBorders>
              <w:top w:val="nil"/>
              <w:left w:val="nil"/>
              <w:bottom w:val="nil"/>
              <w:right w:val="nil"/>
            </w:tcBorders>
          </w:tcPr>
          <w:p>
            <w:pPr>
              <w:pStyle w:val="nTable"/>
              <w:spacing w:after="40"/>
            </w:pPr>
            <w: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single" w:sz="2" w:space="0" w:color="auto"/>
              <w:right w:val="nil"/>
            </w:tcBorders>
          </w:tcPr>
          <w:p>
            <w:pPr>
              <w:pStyle w:val="nTable"/>
              <w:spacing w:after="40"/>
              <w:rPr>
                <w:i/>
              </w:rPr>
            </w:pPr>
            <w:r>
              <w:rPr>
                <w:i/>
                <w:snapToGrid w:val="0"/>
              </w:rPr>
              <w:t>Health Services Act 2016</w:t>
            </w:r>
            <w:r>
              <w:rPr>
                <w:snapToGrid w:val="0"/>
              </w:rPr>
              <w:t xml:space="preserve"> s. 297</w:t>
            </w:r>
          </w:p>
        </w:tc>
        <w:tc>
          <w:tcPr>
            <w:tcW w:w="1134" w:type="dxa"/>
            <w:tcBorders>
              <w:top w:val="nil"/>
              <w:left w:val="nil"/>
              <w:bottom w:val="single" w:sz="2" w:space="0" w:color="auto"/>
              <w:right w:val="nil"/>
            </w:tcBorders>
          </w:tcPr>
          <w:p>
            <w:pPr>
              <w:pStyle w:val="nTable"/>
              <w:spacing w:after="40"/>
            </w:pPr>
            <w:r>
              <w:t>11 of 2016</w:t>
            </w:r>
          </w:p>
        </w:tc>
        <w:tc>
          <w:tcPr>
            <w:tcW w:w="1134" w:type="dxa"/>
            <w:tcBorders>
              <w:top w:val="nil"/>
              <w:left w:val="nil"/>
              <w:bottom w:val="single" w:sz="2" w:space="0" w:color="auto"/>
              <w:right w:val="nil"/>
            </w:tcBorders>
          </w:tcPr>
          <w:p>
            <w:pPr>
              <w:pStyle w:val="nTable"/>
              <w:spacing w:after="40"/>
            </w:pPr>
            <w:r>
              <w:t>26 May 2016</w:t>
            </w:r>
          </w:p>
        </w:tc>
        <w:tc>
          <w:tcPr>
            <w:tcW w:w="2552" w:type="dxa"/>
            <w:tcBorders>
              <w:top w:val="nil"/>
              <w:left w:val="nil"/>
              <w:bottom w:val="single" w:sz="2" w:space="0" w:color="auto"/>
            </w:tcBorders>
          </w:tcPr>
          <w:p>
            <w:pPr>
              <w:pStyle w:val="nTable"/>
              <w:spacing w:after="40"/>
            </w:pPr>
            <w:r>
              <w:t xml:space="preserve">1 Jul 2016 (see s. 2(b) and </w:t>
            </w:r>
            <w:r>
              <w:rPr>
                <w:i/>
              </w:rPr>
              <w:t>Gazette</w:t>
            </w:r>
            <w:r>
              <w:t xml:space="preserve"> 24 Jun 2016 p. 2291)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58" w:name="_Toc421549833"/>
      <w:bookmarkStart w:id="159" w:name="_Toc435779871"/>
      <w:bookmarkStart w:id="160" w:name="_Toc436128426"/>
      <w:bookmarkStart w:id="161" w:name="_Toc452556751"/>
      <w:bookmarkStart w:id="162" w:name="_Toc455414788"/>
      <w:r>
        <w:rPr>
          <w:sz w:val="28"/>
        </w:rPr>
        <w:t>Defined terms</w:t>
      </w:r>
      <w:bookmarkEnd w:id="158"/>
      <w:bookmarkEnd w:id="159"/>
      <w:bookmarkEnd w:id="160"/>
      <w:bookmarkEnd w:id="161"/>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3(1)</w:t>
      </w:r>
    </w:p>
    <w:p>
      <w:pPr>
        <w:pStyle w:val="DefinedTerms"/>
      </w:pPr>
      <w:r>
        <w:t>CEO</w:t>
      </w:r>
      <w:r>
        <w:tab/>
        <w:t>3(1)</w:t>
      </w:r>
    </w:p>
    <w:p>
      <w:pPr>
        <w:pStyle w:val="DefinedTerms"/>
      </w:pPr>
      <w:r>
        <w:t>COAG</w:t>
      </w:r>
      <w:r>
        <w:tab/>
        <w:t>3(1)</w:t>
      </w:r>
    </w:p>
    <w:p>
      <w:pPr>
        <w:pStyle w:val="DefinedTerms"/>
      </w:pPr>
      <w:r>
        <w:t>commencement day</w:t>
      </w:r>
      <w:r>
        <w:tab/>
        <w:t>35(1)</w:t>
      </w:r>
    </w:p>
    <w:p>
      <w:pPr>
        <w:pStyle w:val="DefinedTerms"/>
      </w:pPr>
      <w:r>
        <w:t>Hospital Fund</w:t>
      </w:r>
      <w:r>
        <w:tab/>
        <w:t>35(1)</w:t>
      </w:r>
    </w:p>
    <w:p>
      <w:pPr>
        <w:pStyle w:val="DefinedTerms"/>
      </w:pPr>
      <w:r>
        <w:t>local hospital network</w:t>
      </w:r>
      <w:r>
        <w:tab/>
        <w:t>3(1)</w:t>
      </w:r>
    </w:p>
    <w:p>
      <w:pPr>
        <w:pStyle w:val="DefinedTerms"/>
      </w:pPr>
      <w:r>
        <w:t>National Health Funding Pool</w:t>
      </w:r>
      <w:r>
        <w:tab/>
        <w:t>3(1)</w:t>
      </w:r>
    </w:p>
    <w:p>
      <w:pPr>
        <w:pStyle w:val="DefinedTerms"/>
      </w:pPr>
      <w:r>
        <w:t>National Health Reform Agreement</w:t>
      </w:r>
      <w:r>
        <w:tab/>
        <w:t>3(1)</w:t>
      </w:r>
    </w:p>
    <w:p>
      <w:pPr>
        <w:pStyle w:val="DefinedTerms"/>
      </w:pPr>
      <w:r>
        <w:t>performance audit</w:t>
      </w:r>
      <w:r>
        <w:tab/>
        <w:t>22(1)</w:t>
      </w:r>
    </w:p>
    <w:p>
      <w:pPr>
        <w:pStyle w:val="DefinedTerms"/>
      </w:pPr>
      <w:r>
        <w:t>responsible Minister</w:t>
      </w:r>
      <w:r>
        <w:tab/>
        <w:t>3(1)</w:t>
      </w:r>
    </w:p>
    <w:p>
      <w:pPr>
        <w:pStyle w:val="DefinedTerms"/>
      </w:pPr>
      <w:r>
        <w:t>Standing Council on Health</w:t>
      </w:r>
      <w:r>
        <w:tab/>
        <w:t>3(1)</w:t>
      </w:r>
    </w:p>
    <w:p>
      <w:pPr>
        <w:pStyle w:val="DefinedTerms"/>
      </w:pPr>
      <w:r>
        <w:t>State</w:t>
      </w:r>
      <w:r>
        <w:tab/>
        <w:t>3(1)</w:t>
      </w:r>
    </w:p>
    <w:p>
      <w:pPr>
        <w:pStyle w:val="DefinedTerms"/>
      </w:pPr>
      <w:r>
        <w:t>State Managed Fund</w:t>
      </w:r>
      <w:r>
        <w:tab/>
        <w:t>3(1)</w:t>
      </w:r>
    </w:p>
    <w:p>
      <w:pPr>
        <w:pStyle w:val="DefinedTerms"/>
      </w:pPr>
      <w:r>
        <w:t>State Pool Account</w:t>
      </w:r>
      <w:r>
        <w:tab/>
        <w:t>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6056</Words>
  <Characters>30528</Characters>
  <Application>Microsoft Office Word</Application>
  <DocSecurity>0</DocSecurity>
  <Lines>848</Lines>
  <Paragraphs>457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2012 - 00-g0-01</dc:title>
  <dc:subject/>
  <dc:creator/>
  <cp:keywords/>
  <dc:description/>
  <cp:lastModifiedBy>svcMRProcess</cp:lastModifiedBy>
  <cp:revision>4</cp:revision>
  <cp:lastPrinted>2012-12-13T03:21:00Z</cp:lastPrinted>
  <dcterms:created xsi:type="dcterms:W3CDTF">2019-01-22T06:48:00Z</dcterms:created>
  <dcterms:modified xsi:type="dcterms:W3CDTF">2019-01-22T06:48:00Z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DocumentType">
    <vt:lpwstr>Act</vt:lpwstr>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00-g0-01</vt:lpwstr>
  </property>
</Properties>
</file>