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_Toc455416229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_Toc455416230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ab/>
        <w:t>Code of practice prescribed</w:t>
      </w:r>
      <w:r>
        <w:tab/>
      </w:r>
      <w:r>
        <w:fldChar w:fldCharType="begin"/>
      </w:r>
      <w:r>
        <w:instrText xml:space="preserve"> PAGEREF _Toc455416231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and boxed and shaded paragraphs in the code of practice</w:t>
      </w:r>
      <w:r>
        <w:tab/>
      </w:r>
      <w:r>
        <w:fldChar w:fldCharType="begin"/>
      </w:r>
      <w:r>
        <w:instrText xml:space="preserve"> PAGEREF _Toc455416232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w:t>
      </w:r>
      <w:r>
        <w:t> </w:t>
      </w:r>
      <w:r>
        <w:rPr>
          <w:i/>
        </w:rPr>
        <w:t>2) 2014</w:t>
      </w:r>
      <w:r>
        <w:t> repealed</w:t>
      </w:r>
      <w:r>
        <w:tab/>
      </w:r>
      <w:r>
        <w:fldChar w:fldCharType="begin"/>
      </w:r>
      <w:r>
        <w:instrText xml:space="preserve"> PAGEREF _Toc455416233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Code of Fair Practice for Retirement Villages 2015</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_Toc455416236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_Toc455416237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_Toc455416238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_Toc455416239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_Toc455416240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_Toc455416242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_Toc455416243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_Toc455416244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_Toc455416245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_Toc455416246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service contract</w:t>
      </w:r>
    </w:p>
    <w:p>
      <w:pPr>
        <w:pStyle w:val="TOC8"/>
        <w:rPr>
          <w:rFonts w:asciiTheme="minorHAnsi" w:eastAsiaTheme="minorEastAsia" w:hAnsiTheme="minorHAnsi" w:cstheme="minorBidi"/>
          <w:szCs w:val="22"/>
        </w:rPr>
      </w:pPr>
      <w:r>
        <w:t>11.</w:t>
      </w:r>
      <w:r>
        <w:tab/>
        <w:t>Before entering into a service contract</w:t>
      </w:r>
      <w:r>
        <w:tab/>
      </w:r>
      <w:r>
        <w:fldChar w:fldCharType="begin"/>
      </w:r>
      <w:r>
        <w:instrText xml:space="preserve"> PAGEREF _Toc455416248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_Toc455416250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_Toc455416251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_Toc455416253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_Toc455416254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_Toc455416255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_Toc455416256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_Toc455416257 \h </w:instrText>
      </w:r>
      <w:r>
        <w:fldChar w:fldCharType="separate"/>
      </w:r>
      <w:r>
        <w:t>24</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_Toc455416258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_Toc455416259 \h </w:instrText>
      </w:r>
      <w:r>
        <w:fldChar w:fldCharType="separate"/>
      </w:r>
      <w:r>
        <w:t>27</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_Toc455416260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_Toc455416261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_Toc455416262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_Toc455416263 \h </w:instrText>
      </w:r>
      <w:r>
        <w:fldChar w:fldCharType="separate"/>
      </w:r>
      <w:r>
        <w:t>30</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_Toc455416264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_Toc455416265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_Toc455416266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_Toc455416267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_Toc455416269 \h </w:instrText>
      </w:r>
      <w:r>
        <w:fldChar w:fldCharType="separate"/>
      </w:r>
      <w:r>
        <w:t>40</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_Toc455416270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_Toc455416271 \h </w:instrText>
      </w:r>
      <w:r>
        <w:fldChar w:fldCharType="separate"/>
      </w:r>
      <w:r>
        <w:t>42</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_Toc455416272 \h </w:instrText>
      </w:r>
      <w:r>
        <w:fldChar w:fldCharType="separate"/>
      </w:r>
      <w:r>
        <w:t>45</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_Toc455416273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_Toc455416275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_Toc455416277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Transitional and saving</w:t>
      </w:r>
    </w:p>
    <w:p>
      <w:pPr>
        <w:pStyle w:val="TOC8"/>
        <w:rPr>
          <w:rFonts w:asciiTheme="minorHAnsi" w:eastAsiaTheme="minorEastAsia" w:hAnsiTheme="minorHAnsi" w:cstheme="minorBidi"/>
          <w:szCs w:val="22"/>
        </w:rPr>
      </w:pPr>
      <w:r>
        <w:t>36.</w:t>
      </w:r>
      <w:r>
        <w:tab/>
        <w:t>Residence and service contracts</w:t>
      </w:r>
      <w:r>
        <w:tab/>
      </w:r>
      <w:r>
        <w:fldChar w:fldCharType="begin"/>
      </w:r>
      <w:r>
        <w:instrText xml:space="preserve"> PAGEREF _Toc455416279 \h </w:instrText>
      </w:r>
      <w:r>
        <w:fldChar w:fldCharType="separate"/>
      </w:r>
      <w:r>
        <w:t>50</w:t>
      </w:r>
      <w:r>
        <w:fldChar w:fldCharType="end"/>
      </w:r>
    </w:p>
    <w:p>
      <w:pPr>
        <w:pStyle w:val="TOC8"/>
        <w:rPr>
          <w:rFonts w:asciiTheme="minorHAnsi" w:eastAsiaTheme="minorEastAsia" w:hAnsiTheme="minorHAnsi" w:cstheme="minorBidi"/>
          <w:szCs w:val="22"/>
        </w:rPr>
      </w:pPr>
      <w:r>
        <w:t>37.</w:t>
      </w:r>
      <w:r>
        <w:tab/>
        <w:t>When accounting and financial reporting provisions start to apply to existing retirement villages</w:t>
      </w:r>
      <w:r>
        <w:tab/>
      </w:r>
      <w:r>
        <w:fldChar w:fldCharType="begin"/>
      </w:r>
      <w:r>
        <w:instrText xml:space="preserve"> PAGEREF _Toc455416280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_Toc455416284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Code) Regulations 2015</w:t>
      </w:r>
    </w:p>
    <w:p>
      <w:pPr>
        <w:pStyle w:val="Heading5"/>
      </w:pPr>
      <w:bookmarkStart w:id="3" w:name="_Toc455416229"/>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5" w:name="_Toc45541623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6" w:name="_Toc455416231"/>
      <w:r>
        <w:rPr>
          <w:rStyle w:val="CharSectno"/>
        </w:rPr>
        <w:t>3</w:t>
      </w:r>
      <w:r>
        <w:t>.</w:t>
      </w:r>
      <w:r>
        <w:rPr>
          <w:snapToGrid w:val="0"/>
        </w:rPr>
        <w:tab/>
        <w:t>Code of practice prescribed</w:t>
      </w:r>
      <w:bookmarkEnd w:id="6"/>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2018</w:t>
      </w:r>
      <w:r>
        <w:rPr>
          <w:vertAlign w:val="superscript"/>
        </w:rPr>
        <w:t> 2</w:t>
      </w:r>
      <w:r>
        <w:t>.</w:t>
      </w:r>
    </w:p>
    <w:p>
      <w:pPr>
        <w:pStyle w:val="Footnotesection"/>
      </w:pPr>
      <w:r>
        <w:tab/>
        <w:t>[Regulation 3 amended in Gazette 6 Oct 2015 p. 3965.]</w:t>
      </w:r>
    </w:p>
    <w:p>
      <w:pPr>
        <w:pStyle w:val="Heading5"/>
      </w:pPr>
      <w:bookmarkStart w:id="7" w:name="_Toc455416232"/>
      <w:r>
        <w:rPr>
          <w:rStyle w:val="CharSectno"/>
        </w:rPr>
        <w:t>4</w:t>
      </w:r>
      <w:r>
        <w:t>.</w:t>
      </w:r>
      <w:r>
        <w:tab/>
        <w:t>Terms used and boxed and shaded paragraphs in the code of practice</w:t>
      </w:r>
      <w:bookmarkEnd w:id="7"/>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8" w:name="_Toc455416233"/>
      <w:r>
        <w:rPr>
          <w:rStyle w:val="CharSectno"/>
        </w:rPr>
        <w:t>5</w:t>
      </w:r>
      <w:r>
        <w:t>.</w:t>
      </w:r>
      <w:r>
        <w:tab/>
      </w:r>
      <w:r>
        <w:rPr>
          <w:i/>
        </w:rPr>
        <w:t>Fair Trading (Retirement Villages Interim Code) Regulations (No.</w:t>
      </w:r>
      <w:r>
        <w:t> </w:t>
      </w:r>
      <w:r>
        <w:rPr>
          <w:i/>
        </w:rPr>
        <w:t>2) 2014</w:t>
      </w:r>
      <w:r>
        <w:t> repealed</w:t>
      </w:r>
      <w:bookmarkEnd w:id="8"/>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435097167"/>
      <w:bookmarkStart w:id="10" w:name="_Toc435097802"/>
      <w:bookmarkStart w:id="11" w:name="_Toc455404069"/>
      <w:bookmarkStart w:id="12" w:name="_Toc455416234"/>
      <w:r>
        <w:rPr>
          <w:rStyle w:val="CharSchNo"/>
        </w:rPr>
        <w:t>Schedule 1</w:t>
      </w:r>
      <w:r>
        <w:rPr>
          <w:rStyle w:val="CharSDivNo"/>
        </w:rPr>
        <w:t> </w:t>
      </w:r>
      <w:r>
        <w:t>—</w:t>
      </w:r>
      <w:r>
        <w:rPr>
          <w:rStyle w:val="CharSDivText"/>
        </w:rPr>
        <w:t> </w:t>
      </w:r>
      <w:r>
        <w:rPr>
          <w:rStyle w:val="CharSchText"/>
          <w:i/>
        </w:rPr>
        <w:t>Code of Fair Practice for Retirement Villages 2015</w:t>
      </w:r>
      <w:bookmarkEnd w:id="9"/>
      <w:bookmarkEnd w:id="10"/>
      <w:bookmarkEnd w:id="11"/>
      <w:bookmarkEnd w:id="12"/>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14" w:name="_Toc435097168"/>
      <w:bookmarkStart w:id="15" w:name="_Toc435097803"/>
      <w:bookmarkStart w:id="16" w:name="_Toc455404070"/>
      <w:bookmarkStart w:id="17" w:name="_Toc455416235"/>
      <w:r>
        <w:rPr>
          <w:rStyle w:val="CharSDivNo"/>
        </w:rPr>
        <w:t>Division 1</w:t>
      </w:r>
      <w:r>
        <w:t> — </w:t>
      </w:r>
      <w:r>
        <w:rPr>
          <w:rStyle w:val="CharSDivText"/>
        </w:rPr>
        <w:t>Preliminary</w:t>
      </w:r>
      <w:bookmarkEnd w:id="14"/>
      <w:bookmarkEnd w:id="15"/>
      <w:bookmarkEnd w:id="16"/>
      <w:bookmarkEnd w:id="17"/>
    </w:p>
    <w:p>
      <w:pPr>
        <w:pStyle w:val="yHeading5"/>
      </w:pPr>
      <w:bookmarkStart w:id="18" w:name="_Toc455416236"/>
      <w:r>
        <w:rPr>
          <w:rStyle w:val="CharSClsNo"/>
        </w:rPr>
        <w:t>1</w:t>
      </w:r>
      <w:r>
        <w:t>.</w:t>
      </w:r>
      <w:r>
        <w:tab/>
        <w:t>Citation</w:t>
      </w:r>
      <w:bookmarkEnd w:id="18"/>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19" w:name="endcomma"/>
      <w:bookmarkEnd w:id="19"/>
      <w:r>
        <w:rPr>
          <w:szCs w:val="22"/>
        </w:rPr>
        <w:t xml:space="preserve"> </w:t>
      </w:r>
      <w:bookmarkStart w:id="20" w:name="comma"/>
      <w:bookmarkEnd w:id="20"/>
      <w:r>
        <w:rPr>
          <w:szCs w:val="22"/>
        </w:rPr>
        <w:t>means a day other than a Saturday, a Sunday or a public holiday.</w:t>
      </w:r>
    </w:p>
    <w:p>
      <w:pPr>
        <w:pStyle w:val="yHeading5"/>
      </w:pPr>
      <w:bookmarkStart w:id="21" w:name="_Toc455416237"/>
      <w:r>
        <w:rPr>
          <w:rStyle w:val="CharSClsNo"/>
        </w:rPr>
        <w:t>2</w:t>
      </w:r>
      <w:r>
        <w:t>.</w:t>
      </w:r>
      <w:r>
        <w:tab/>
        <w:t>Application</w:t>
      </w:r>
      <w:bookmarkEnd w:id="21"/>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2" w:name="_Toc455416238"/>
      <w:r>
        <w:rPr>
          <w:rStyle w:val="CharSClsNo"/>
        </w:rPr>
        <w:t>3</w:t>
      </w:r>
      <w:r>
        <w:t>.</w:t>
      </w:r>
      <w:r>
        <w:tab/>
        <w:t>General principles</w:t>
      </w:r>
      <w:bookmarkEnd w:id="22"/>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3" w:name="_Toc455416239"/>
      <w:r>
        <w:rPr>
          <w:rStyle w:val="CharSClsNo"/>
        </w:rPr>
        <w:t>4</w:t>
      </w:r>
      <w:r>
        <w:t>.</w:t>
      </w:r>
      <w:r>
        <w:tab/>
        <w:t>Objectives of Code</w:t>
      </w:r>
      <w:bookmarkEnd w:id="23"/>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24" w:name="_Toc455416240"/>
      <w:r>
        <w:rPr>
          <w:rStyle w:val="CharSClsNo"/>
        </w:rPr>
        <w:t>5</w:t>
      </w:r>
      <w:r>
        <w:t>.</w:t>
      </w:r>
      <w:r>
        <w:tab/>
        <w:t>Resident’s rights</w:t>
      </w:r>
      <w:bookmarkEnd w:id="24"/>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25" w:name="_Toc435097174"/>
      <w:bookmarkStart w:id="26" w:name="_Toc435097809"/>
      <w:bookmarkStart w:id="27" w:name="_Toc455404076"/>
      <w:bookmarkStart w:id="28" w:name="_Toc455416241"/>
      <w:r>
        <w:rPr>
          <w:rStyle w:val="CharSDivNo"/>
        </w:rPr>
        <w:t>Division 2</w:t>
      </w:r>
      <w:r>
        <w:t> — </w:t>
      </w:r>
      <w:r>
        <w:rPr>
          <w:rStyle w:val="CharSDivText"/>
        </w:rPr>
        <w:t>Advertising and promotion of retirement villages</w:t>
      </w:r>
      <w:bookmarkEnd w:id="25"/>
      <w:bookmarkEnd w:id="26"/>
      <w:bookmarkEnd w:id="27"/>
      <w:bookmarkEnd w:id="28"/>
    </w:p>
    <w:p>
      <w:pPr>
        <w:pStyle w:val="yHeading5"/>
      </w:pPr>
      <w:bookmarkStart w:id="29" w:name="_Toc455416242"/>
      <w:r>
        <w:rPr>
          <w:rStyle w:val="CharSClsNo"/>
        </w:rPr>
        <w:t>6</w:t>
      </w:r>
      <w:r>
        <w:t>.</w:t>
      </w:r>
      <w:r>
        <w:tab/>
        <w:t>General</w:t>
      </w:r>
      <w:bookmarkEnd w:id="29"/>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30" w:name="_Toc455416243"/>
      <w:r>
        <w:rPr>
          <w:rStyle w:val="CharSClsNo"/>
        </w:rPr>
        <w:t>7</w:t>
      </w:r>
      <w:r>
        <w:t>.</w:t>
      </w:r>
      <w:r>
        <w:tab/>
        <w:t>Retirement village developments</w:t>
      </w:r>
      <w:bookmarkEnd w:id="30"/>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31" w:name="_Toc455416244"/>
      <w:r>
        <w:rPr>
          <w:rStyle w:val="CharSClsNo"/>
        </w:rPr>
        <w:t>8</w:t>
      </w:r>
      <w:r>
        <w:t>.</w:t>
      </w:r>
      <w:r>
        <w:tab/>
        <w:t>Proposed amenities and services</w:t>
      </w:r>
      <w:bookmarkEnd w:id="3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32" w:name="_Toc455416245"/>
      <w:r>
        <w:rPr>
          <w:rStyle w:val="CharSClsNo"/>
        </w:rPr>
        <w:t>9</w:t>
      </w:r>
      <w:r>
        <w:t>.</w:t>
      </w:r>
      <w:r>
        <w:tab/>
        <w:t>Approvals for facilities that provide residential aged care services</w:t>
      </w:r>
      <w:bookmarkEnd w:id="32"/>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33" w:name="_Toc455416246"/>
      <w:r>
        <w:rPr>
          <w:rStyle w:val="CharSClsNo"/>
        </w:rPr>
        <w:t>10</w:t>
      </w:r>
      <w:r>
        <w:t>.</w:t>
      </w:r>
      <w:r>
        <w:tab/>
        <w:t>Access to residential aged care services</w:t>
      </w:r>
      <w:bookmarkEnd w:id="33"/>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34" w:name="_Toc435097180"/>
      <w:bookmarkStart w:id="35" w:name="_Toc435097815"/>
      <w:bookmarkStart w:id="36" w:name="_Toc455404082"/>
      <w:bookmarkStart w:id="37" w:name="_Toc455416247"/>
      <w:r>
        <w:rPr>
          <w:rStyle w:val="CharSDivNo"/>
        </w:rPr>
        <w:t>Division 3</w:t>
      </w:r>
      <w:r>
        <w:t> — </w:t>
      </w:r>
      <w:r>
        <w:rPr>
          <w:rStyle w:val="CharSDivText"/>
        </w:rPr>
        <w:t>Prospective resident’s right to information before entering into a service contract</w:t>
      </w:r>
      <w:bookmarkEnd w:id="34"/>
      <w:bookmarkEnd w:id="35"/>
      <w:bookmarkEnd w:id="36"/>
      <w:bookmarkEnd w:id="37"/>
    </w:p>
    <w:p>
      <w:pPr>
        <w:pStyle w:val="yHeading5"/>
      </w:pPr>
      <w:bookmarkStart w:id="38" w:name="_Toc455416248"/>
      <w:r>
        <w:rPr>
          <w:rStyle w:val="CharSClsNo"/>
        </w:rPr>
        <w:t>11</w:t>
      </w:r>
      <w:r>
        <w:t>.</w:t>
      </w:r>
      <w:r>
        <w:tab/>
        <w:t>Before entering into a service contract</w:t>
      </w:r>
      <w:bookmarkEnd w:id="38"/>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39" w:name="_Toc435097182"/>
      <w:bookmarkStart w:id="40" w:name="_Toc435097817"/>
      <w:bookmarkStart w:id="41" w:name="_Toc455404084"/>
      <w:bookmarkStart w:id="42" w:name="_Toc455416249"/>
      <w:r>
        <w:rPr>
          <w:rStyle w:val="CharSDivNo"/>
        </w:rPr>
        <w:t>Division 4</w:t>
      </w:r>
      <w:r>
        <w:t> — </w:t>
      </w:r>
      <w:r>
        <w:rPr>
          <w:rStyle w:val="CharSDivText"/>
        </w:rPr>
        <w:t>Service contract</w:t>
      </w:r>
      <w:bookmarkEnd w:id="39"/>
      <w:bookmarkEnd w:id="40"/>
      <w:bookmarkEnd w:id="41"/>
      <w:bookmarkEnd w:id="42"/>
    </w:p>
    <w:p>
      <w:pPr>
        <w:pStyle w:val="yHeading5"/>
      </w:pPr>
      <w:bookmarkStart w:id="43" w:name="_Toc455416250"/>
      <w:r>
        <w:rPr>
          <w:rStyle w:val="CharSClsNo"/>
        </w:rPr>
        <w:t>12</w:t>
      </w:r>
      <w:r>
        <w:t>.</w:t>
      </w:r>
      <w:r>
        <w:tab/>
        <w:t>Legibility and presentation requirements</w:t>
      </w:r>
      <w:bookmarkEnd w:id="43"/>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44" w:name="_Toc455416251"/>
      <w:r>
        <w:rPr>
          <w:rStyle w:val="CharSClsNo"/>
          <w:szCs w:val="22"/>
        </w:rPr>
        <w:t>13</w:t>
      </w:r>
      <w:r>
        <w:rPr>
          <w:szCs w:val="22"/>
        </w:rPr>
        <w:t>.</w:t>
      </w:r>
      <w:r>
        <w:rPr>
          <w:szCs w:val="22"/>
        </w:rPr>
        <w:tab/>
        <w:t>Services</w:t>
      </w:r>
      <w:bookmarkEnd w:id="44"/>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45" w:name="_Toc435097185"/>
      <w:bookmarkStart w:id="46" w:name="_Toc435097820"/>
      <w:bookmarkStart w:id="47" w:name="_Toc455404087"/>
      <w:bookmarkStart w:id="48" w:name="_Toc455416252"/>
      <w:r>
        <w:rPr>
          <w:rStyle w:val="CharSDivNo"/>
        </w:rPr>
        <w:t>Division 5</w:t>
      </w:r>
      <w:r>
        <w:t> — </w:t>
      </w:r>
      <w:r>
        <w:rPr>
          <w:rStyle w:val="CharSDivText"/>
        </w:rPr>
        <w:t>Village management</w:t>
      </w:r>
      <w:bookmarkEnd w:id="45"/>
      <w:bookmarkEnd w:id="46"/>
      <w:bookmarkEnd w:id="47"/>
      <w:bookmarkEnd w:id="48"/>
    </w:p>
    <w:p>
      <w:pPr>
        <w:pStyle w:val="yHeading5"/>
      </w:pPr>
      <w:bookmarkStart w:id="49" w:name="_Toc455416253"/>
      <w:r>
        <w:rPr>
          <w:rStyle w:val="CharSClsNo"/>
        </w:rPr>
        <w:t>14</w:t>
      </w:r>
      <w:r>
        <w:t>.</w:t>
      </w:r>
      <w:r>
        <w:tab/>
        <w:t>Terms used</w:t>
      </w:r>
      <w:bookmarkEnd w:id="49"/>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50" w:name="_Toc455416254"/>
      <w:r>
        <w:rPr>
          <w:rStyle w:val="CharSClsNo"/>
          <w:szCs w:val="22"/>
        </w:rPr>
        <w:t>15</w:t>
      </w:r>
      <w:r>
        <w:rPr>
          <w:szCs w:val="22"/>
        </w:rPr>
        <w:t>.</w:t>
      </w:r>
      <w:r>
        <w:rPr>
          <w:szCs w:val="22"/>
        </w:rPr>
        <w:tab/>
        <w:t>Special resolutions</w:t>
      </w:r>
      <w:bookmarkEnd w:id="50"/>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51" w:name="_Toc455416255"/>
      <w:r>
        <w:rPr>
          <w:rStyle w:val="CharSClsNo"/>
          <w:szCs w:val="22"/>
        </w:rPr>
        <w:t>16</w:t>
      </w:r>
      <w:r>
        <w:rPr>
          <w:szCs w:val="22"/>
        </w:rPr>
        <w:t>.</w:t>
      </w:r>
      <w:r>
        <w:rPr>
          <w:szCs w:val="22"/>
        </w:rPr>
        <w:tab/>
        <w:t>Management procedures and resident consultation</w:t>
      </w:r>
      <w:bookmarkEnd w:id="51"/>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52" w:name="_Toc455416256"/>
      <w:r>
        <w:rPr>
          <w:rStyle w:val="CharSClsNo"/>
          <w:szCs w:val="22"/>
        </w:rPr>
        <w:t>17</w:t>
      </w:r>
      <w:r>
        <w:rPr>
          <w:szCs w:val="22"/>
        </w:rPr>
        <w:t>.</w:t>
      </w:r>
      <w:r>
        <w:rPr>
          <w:szCs w:val="22"/>
        </w:rPr>
        <w:tab/>
        <w:t>Village budget</w:t>
      </w:r>
      <w:bookmarkEnd w:id="52"/>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Footnotesection"/>
      </w:pPr>
      <w:r>
        <w:tab/>
        <w:t>[Clause 17 amended in Gazette 30 Jun 2016 p. 2716.]</w:t>
      </w:r>
    </w:p>
    <w:p>
      <w:pPr>
        <w:pStyle w:val="yHeading5"/>
        <w:rPr>
          <w:szCs w:val="22"/>
        </w:rPr>
      </w:pPr>
      <w:bookmarkStart w:id="53" w:name="_Toc455416257"/>
      <w:r>
        <w:rPr>
          <w:rStyle w:val="CharSClsNo"/>
          <w:szCs w:val="22"/>
        </w:rPr>
        <w:t>18</w:t>
      </w:r>
      <w:r>
        <w:rPr>
          <w:szCs w:val="22"/>
        </w:rPr>
        <w:t>.</w:t>
      </w:r>
      <w:r>
        <w:rPr>
          <w:szCs w:val="22"/>
        </w:rPr>
        <w:tab/>
        <w:t>Quarterly financial statements</w:t>
      </w:r>
      <w:bookmarkEnd w:id="53"/>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(e);</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pPr>
      <w:r>
        <w:tab/>
        <w:t>[Clause 18 amended in Gazette 6 Oct 2015 p. 3965.]</w:t>
      </w:r>
    </w:p>
    <w:p>
      <w:pPr>
        <w:pStyle w:val="yHeading5"/>
        <w:pageBreakBefore/>
        <w:spacing w:before="0"/>
        <w:rPr>
          <w:szCs w:val="22"/>
        </w:rPr>
      </w:pPr>
      <w:bookmarkStart w:id="54" w:name="_Toc455416258"/>
      <w:r>
        <w:rPr>
          <w:rStyle w:val="CharSClsNo"/>
          <w:szCs w:val="22"/>
        </w:rPr>
        <w:t>19</w:t>
      </w:r>
      <w:r>
        <w:rPr>
          <w:szCs w:val="22"/>
        </w:rPr>
        <w:t>.</w:t>
      </w:r>
      <w:r>
        <w:rPr>
          <w:szCs w:val="22"/>
        </w:rPr>
        <w:tab/>
        <w:t>Annual financial statements</w:t>
      </w:r>
      <w:bookmarkEnd w:id="54"/>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(e);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szCs w:val="22"/>
        </w:rPr>
      </w:pPr>
      <w:r>
        <w:tab/>
        <w:t>[Clause 19 amended in Gazette 6 Oct 2015 p. 3966.]</w:t>
      </w:r>
    </w:p>
    <w:p>
      <w:pPr>
        <w:pStyle w:val="yHeading5"/>
        <w:rPr>
          <w:szCs w:val="22"/>
        </w:rPr>
      </w:pPr>
      <w:bookmarkStart w:id="55" w:name="_Toc455416259"/>
      <w:r>
        <w:rPr>
          <w:rStyle w:val="CharSClsNo"/>
          <w:szCs w:val="22"/>
        </w:rPr>
        <w:t>20</w:t>
      </w:r>
      <w:r>
        <w:rPr>
          <w:szCs w:val="22"/>
        </w:rPr>
        <w:t>.</w:t>
      </w:r>
      <w:r>
        <w:rPr>
          <w:szCs w:val="22"/>
        </w:rPr>
        <w:tab/>
        <w:t>Budget surplus</w:t>
      </w:r>
      <w:bookmarkEnd w:id="55"/>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56" w:name="_Toc455416260"/>
      <w:r>
        <w:rPr>
          <w:rStyle w:val="CharSClsNo"/>
          <w:szCs w:val="22"/>
        </w:rPr>
        <w:t>21</w:t>
      </w:r>
      <w:r>
        <w:rPr>
          <w:szCs w:val="22"/>
        </w:rPr>
        <w:t>.</w:t>
      </w:r>
      <w:r>
        <w:rPr>
          <w:szCs w:val="22"/>
        </w:rPr>
        <w:tab/>
        <w:t>Marketing of residential premises</w:t>
      </w:r>
      <w:bookmarkEnd w:id="56"/>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57" w:name="_Toc455416261"/>
      <w:r>
        <w:rPr>
          <w:rStyle w:val="CharSClsNo"/>
          <w:szCs w:val="22"/>
        </w:rPr>
        <w:t>22</w:t>
      </w:r>
      <w:r>
        <w:rPr>
          <w:szCs w:val="22"/>
        </w:rPr>
        <w:t>.</w:t>
      </w:r>
      <w:r>
        <w:rPr>
          <w:szCs w:val="22"/>
        </w:rPr>
        <w:tab/>
        <w:t>Refurbishment of residential premises</w:t>
      </w:r>
      <w:bookmarkEnd w:id="57"/>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58" w:name="_Toc455416262"/>
      <w:r>
        <w:rPr>
          <w:rStyle w:val="CharSClsNo"/>
          <w:szCs w:val="22"/>
        </w:rPr>
        <w:t>23</w:t>
      </w:r>
      <w:r>
        <w:rPr>
          <w:szCs w:val="22"/>
        </w:rPr>
        <w:t>.</w:t>
      </w:r>
      <w:r>
        <w:rPr>
          <w:szCs w:val="22"/>
        </w:rPr>
        <w:tab/>
        <w:t>Residence rules</w:t>
      </w:r>
      <w:bookmarkEnd w:id="58"/>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59" w:name="_Toc455416263"/>
      <w:r>
        <w:rPr>
          <w:rStyle w:val="CharSClsNo"/>
          <w:szCs w:val="22"/>
        </w:rPr>
        <w:t>24</w:t>
      </w:r>
      <w:r>
        <w:rPr>
          <w:szCs w:val="22"/>
        </w:rPr>
        <w:t>.</w:t>
      </w:r>
      <w:r>
        <w:rPr>
          <w:szCs w:val="22"/>
        </w:rPr>
        <w:tab/>
        <w:t>Residents’ committee of retirement village residents</w:t>
      </w:r>
      <w:bookmarkEnd w:id="59"/>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szCs w:val="22"/>
        </w:rPr>
        <w:t>Associations Incorporation Act 1987</w:t>
      </w:r>
      <w:r>
        <w:rPr>
          <w:szCs w:val="22"/>
        </w:rP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Heading5"/>
        <w:rPr>
          <w:szCs w:val="22"/>
        </w:rPr>
      </w:pPr>
      <w:bookmarkStart w:id="60" w:name="_Toc455416264"/>
      <w:r>
        <w:rPr>
          <w:rStyle w:val="CharSClsNo"/>
          <w:szCs w:val="22"/>
        </w:rPr>
        <w:t>25</w:t>
      </w:r>
      <w:r>
        <w:rPr>
          <w:szCs w:val="22"/>
        </w:rPr>
        <w:t>.</w:t>
      </w:r>
      <w:r>
        <w:rPr>
          <w:szCs w:val="22"/>
        </w:rPr>
        <w:tab/>
        <w:t>Incorporated association formed to carry out function of residents’ committee</w:t>
      </w:r>
      <w:bookmarkEnd w:id="60"/>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szCs w:val="22"/>
        </w:rPr>
        <w:t xml:space="preserve">Associations Incorporation Act 1987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rPr>
          <w:szCs w:val="22"/>
        </w:rPr>
      </w:pPr>
      <w:bookmarkStart w:id="61" w:name="_Toc455416265"/>
      <w:r>
        <w:rPr>
          <w:rStyle w:val="CharSClsNo"/>
          <w:szCs w:val="22"/>
        </w:rPr>
        <w:t>26</w:t>
      </w:r>
      <w:r>
        <w:rPr>
          <w:szCs w:val="22"/>
        </w:rPr>
        <w:t>.</w:t>
      </w:r>
      <w:r>
        <w:rPr>
          <w:szCs w:val="22"/>
        </w:rPr>
        <w:tab/>
        <w:t>Residents’ meetings</w:t>
      </w:r>
      <w:bookmarkEnd w:id="61"/>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szCs w:val="22"/>
        </w:rPr>
        <w:t>Associations Incorporation Act 1987</w:t>
      </w:r>
      <w:r>
        <w:rPr>
          <w:szCs w:val="22"/>
        </w:rP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62" w:name="_Toc455416266"/>
      <w:r>
        <w:rPr>
          <w:rStyle w:val="CharSClsNo"/>
          <w:szCs w:val="22"/>
        </w:rPr>
        <w:t>27</w:t>
      </w:r>
      <w:r>
        <w:rPr>
          <w:szCs w:val="22"/>
        </w:rPr>
        <w:t>.</w:t>
      </w:r>
      <w:r>
        <w:rPr>
          <w:szCs w:val="22"/>
        </w:rPr>
        <w:tab/>
        <w:t>Proxy voting</w:t>
      </w:r>
      <w:bookmarkEnd w:id="62"/>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2.</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szCs w:val="22"/>
        </w:rPr>
      </w:pPr>
      <w:r>
        <w:tab/>
        <w:t>[Clause 27 amended in Gazette 6 Oct 2015 p. 3966.]</w:t>
      </w:r>
    </w:p>
    <w:p>
      <w:pPr>
        <w:pStyle w:val="yHeading5"/>
        <w:pageBreakBefore/>
        <w:spacing w:before="120"/>
        <w:rPr>
          <w:szCs w:val="22"/>
        </w:rPr>
      </w:pPr>
      <w:bookmarkStart w:id="63" w:name="_Toc455416267"/>
      <w:r>
        <w:rPr>
          <w:rStyle w:val="CharSClsNo"/>
          <w:szCs w:val="22"/>
        </w:rPr>
        <w:t>28</w:t>
      </w:r>
      <w:r>
        <w:rPr>
          <w:szCs w:val="22"/>
        </w:rPr>
        <w:t>.</w:t>
      </w:r>
      <w:r>
        <w:rPr>
          <w:szCs w:val="22"/>
        </w:rPr>
        <w:tab/>
        <w:t>Voting by secret ballot</w:t>
      </w:r>
      <w:bookmarkEnd w:id="63"/>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64" w:name="_Toc435097201"/>
      <w:bookmarkStart w:id="65" w:name="_Toc435097836"/>
      <w:bookmarkStart w:id="66" w:name="_Toc455404103"/>
      <w:bookmarkStart w:id="67" w:name="_Toc455416268"/>
      <w:r>
        <w:rPr>
          <w:rStyle w:val="CharSDivNo"/>
        </w:rPr>
        <w:t>Division 6</w:t>
      </w:r>
      <w:r>
        <w:t> — </w:t>
      </w:r>
      <w:r>
        <w:rPr>
          <w:rStyle w:val="CharSDivText"/>
        </w:rPr>
        <w:t>Dispute resolution</w:t>
      </w:r>
      <w:bookmarkEnd w:id="64"/>
      <w:bookmarkEnd w:id="65"/>
      <w:bookmarkEnd w:id="66"/>
      <w:bookmarkEnd w:id="67"/>
    </w:p>
    <w:p>
      <w:pPr>
        <w:pStyle w:val="yHeading5"/>
        <w:rPr>
          <w:szCs w:val="22"/>
        </w:rPr>
      </w:pPr>
      <w:bookmarkStart w:id="68" w:name="_Toc455416269"/>
      <w:r>
        <w:rPr>
          <w:rStyle w:val="CharSClsNo"/>
          <w:szCs w:val="22"/>
        </w:rPr>
        <w:t>29</w:t>
      </w:r>
      <w:r>
        <w:rPr>
          <w:szCs w:val="22"/>
        </w:rPr>
        <w:t>.</w:t>
      </w:r>
      <w:r>
        <w:rPr>
          <w:szCs w:val="22"/>
        </w:rPr>
        <w:tab/>
        <w:t>Terms used</w:t>
      </w:r>
      <w:bookmarkEnd w:id="68"/>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69" w:name="_Toc455416270"/>
      <w:r>
        <w:rPr>
          <w:rStyle w:val="CharSClsNo"/>
          <w:szCs w:val="22"/>
        </w:rPr>
        <w:t>30</w:t>
      </w:r>
      <w:r>
        <w:rPr>
          <w:szCs w:val="22"/>
        </w:rPr>
        <w:t>.</w:t>
      </w:r>
      <w:r>
        <w:rPr>
          <w:szCs w:val="22"/>
        </w:rPr>
        <w:tab/>
        <w:t>Village dispute resolution process</w:t>
      </w:r>
      <w:bookmarkEnd w:id="69"/>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70" w:name="_Toc455416271"/>
      <w:r>
        <w:rPr>
          <w:rStyle w:val="CharSClsNo"/>
          <w:szCs w:val="22"/>
        </w:rPr>
        <w:t>31</w:t>
      </w:r>
      <w:r>
        <w:rPr>
          <w:szCs w:val="22"/>
        </w:rPr>
        <w:t>.</w:t>
      </w:r>
      <w:r>
        <w:rPr>
          <w:szCs w:val="22"/>
        </w:rPr>
        <w:tab/>
        <w:t>Mediation of dispute</w:t>
      </w:r>
      <w:bookmarkEnd w:id="70"/>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71" w:name="_Toc455416272"/>
      <w:r>
        <w:rPr>
          <w:rStyle w:val="CharSClsNo"/>
          <w:szCs w:val="22"/>
        </w:rPr>
        <w:t>32</w:t>
      </w:r>
      <w:r>
        <w:rPr>
          <w:szCs w:val="22"/>
        </w:rPr>
        <w:t>.</w:t>
      </w:r>
      <w:r>
        <w:rPr>
          <w:szCs w:val="22"/>
        </w:rPr>
        <w:tab/>
        <w:t>Costs associated with dispute resolution process</w:t>
      </w:r>
      <w:bookmarkEnd w:id="71"/>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r>
      <w:r>
        <w:t xml:space="preserve">Subject to subclause (1), the costs </w:t>
      </w:r>
      <w:r>
        <w:rPr>
          <w:szCs w:val="22"/>
        </w:rPr>
        <w:t>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 xml:space="preserve">If the administering body of a retirement village incurs </w:t>
      </w:r>
      <w:r>
        <w:t>a share of costs under subclause (2), it must not recover any of that share from any resident or former resident (whether or not a party to a dispute).</w:t>
      </w:r>
    </w:p>
    <w:p>
      <w:pPr>
        <w:pStyle w:val="yFootnotesection"/>
      </w:pPr>
      <w:r>
        <w:tab/>
        <w:t>[Clause 32 amended in Gazette 30 Jun 2016 p. 2716.]</w:t>
      </w:r>
    </w:p>
    <w:p>
      <w:pPr>
        <w:pStyle w:val="yHeading5"/>
      </w:pPr>
      <w:bookmarkStart w:id="72" w:name="_Toc455416273"/>
      <w:r>
        <w:rPr>
          <w:rStyle w:val="CharSClsNo"/>
        </w:rPr>
        <w:t>33</w:t>
      </w:r>
      <w:r>
        <w:t>.</w:t>
      </w:r>
      <w:r>
        <w:tab/>
        <w:t>Costs associated with Commissioner</w:t>
      </w:r>
      <w:r>
        <w:noBreakHyphen/>
        <w:t>appointed mediation</w:t>
      </w:r>
      <w:bookmarkEnd w:id="72"/>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73" w:name="_Toc435097207"/>
      <w:bookmarkStart w:id="74" w:name="_Toc435097842"/>
      <w:bookmarkStart w:id="75" w:name="_Toc455404109"/>
      <w:bookmarkStart w:id="76" w:name="_Toc455416274"/>
      <w:r>
        <w:rPr>
          <w:rStyle w:val="CharSDivNo"/>
        </w:rPr>
        <w:t>Division 7</w:t>
      </w:r>
      <w:r>
        <w:t> — </w:t>
      </w:r>
      <w:r>
        <w:rPr>
          <w:rStyle w:val="CharSDivText"/>
        </w:rPr>
        <w:t>Termination of residence contracts</w:t>
      </w:r>
      <w:bookmarkEnd w:id="73"/>
      <w:bookmarkEnd w:id="74"/>
      <w:bookmarkEnd w:id="75"/>
      <w:bookmarkEnd w:id="76"/>
    </w:p>
    <w:p>
      <w:pPr>
        <w:pStyle w:val="yHeading5"/>
        <w:rPr>
          <w:szCs w:val="22"/>
        </w:rPr>
      </w:pPr>
      <w:bookmarkStart w:id="77" w:name="_Toc455416275"/>
      <w:r>
        <w:rPr>
          <w:rStyle w:val="CharSClsNo"/>
          <w:szCs w:val="22"/>
        </w:rPr>
        <w:t>34</w:t>
      </w:r>
      <w:r>
        <w:rPr>
          <w:szCs w:val="22"/>
        </w:rPr>
        <w:t>.</w:t>
      </w:r>
      <w:r>
        <w:rPr>
          <w:szCs w:val="22"/>
        </w:rPr>
        <w:tab/>
        <w:t>Notice of intention to terminate</w:t>
      </w:r>
      <w:bookmarkEnd w:id="77"/>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78" w:name="_Toc435097209"/>
      <w:bookmarkStart w:id="79" w:name="_Toc435097844"/>
      <w:bookmarkStart w:id="80" w:name="_Toc455404111"/>
      <w:bookmarkStart w:id="81" w:name="_Toc455416276"/>
      <w:r>
        <w:rPr>
          <w:rStyle w:val="CharSDivNo"/>
        </w:rPr>
        <w:t>Division 8</w:t>
      </w:r>
      <w:r>
        <w:t> — </w:t>
      </w:r>
      <w:r>
        <w:rPr>
          <w:rStyle w:val="CharSDivText"/>
        </w:rPr>
        <w:t>Service of documents</w:t>
      </w:r>
      <w:bookmarkEnd w:id="78"/>
      <w:bookmarkEnd w:id="79"/>
      <w:bookmarkEnd w:id="80"/>
      <w:bookmarkEnd w:id="81"/>
    </w:p>
    <w:p>
      <w:pPr>
        <w:pStyle w:val="yHeading5"/>
        <w:rPr>
          <w:szCs w:val="22"/>
        </w:rPr>
      </w:pPr>
      <w:bookmarkStart w:id="82" w:name="_Toc455416277"/>
      <w:r>
        <w:rPr>
          <w:rStyle w:val="CharSClsNo"/>
          <w:szCs w:val="22"/>
        </w:rPr>
        <w:t>35</w:t>
      </w:r>
      <w:r>
        <w:rPr>
          <w:szCs w:val="22"/>
        </w:rPr>
        <w:t>.</w:t>
      </w:r>
      <w:r>
        <w:rPr>
          <w:szCs w:val="22"/>
        </w:rPr>
        <w:tab/>
        <w:t>Service of documents</w:t>
      </w:r>
      <w:bookmarkEnd w:id="82"/>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Footnotesection"/>
        <w:rPr>
          <w:szCs w:val="22"/>
        </w:rPr>
      </w:pPr>
      <w:r>
        <w:tab/>
        <w:t>[Clause 35 amended in Gazette 6 Oct 2015 p. 3966.]</w:t>
      </w:r>
    </w:p>
    <w:p>
      <w:pPr>
        <w:pStyle w:val="yHeading3"/>
      </w:pPr>
      <w:bookmarkStart w:id="83" w:name="_Toc435097211"/>
      <w:bookmarkStart w:id="84" w:name="_Toc435097846"/>
      <w:bookmarkStart w:id="85" w:name="_Toc455404113"/>
      <w:bookmarkStart w:id="86" w:name="_Toc455416278"/>
      <w:r>
        <w:rPr>
          <w:rStyle w:val="CharSDivNo"/>
        </w:rPr>
        <w:t>Division 9</w:t>
      </w:r>
      <w:r>
        <w:t> — </w:t>
      </w:r>
      <w:r>
        <w:rPr>
          <w:rStyle w:val="CharSDivText"/>
        </w:rPr>
        <w:t>Transitional and saving</w:t>
      </w:r>
      <w:bookmarkEnd w:id="83"/>
      <w:bookmarkEnd w:id="84"/>
      <w:bookmarkEnd w:id="85"/>
      <w:bookmarkEnd w:id="86"/>
    </w:p>
    <w:p>
      <w:pPr>
        <w:pStyle w:val="yHeading5"/>
      </w:pPr>
      <w:bookmarkStart w:id="87" w:name="_Toc455416279"/>
      <w:r>
        <w:rPr>
          <w:rStyle w:val="CharSClsNo"/>
        </w:rPr>
        <w:t>36</w:t>
      </w:r>
      <w:r>
        <w:t>.</w:t>
      </w:r>
      <w:r>
        <w:tab/>
        <w:t>Residence and service contracts</w:t>
      </w:r>
      <w:bookmarkEnd w:id="87"/>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88" w:name="_Toc455416280"/>
      <w:r>
        <w:rPr>
          <w:rStyle w:val="CharSClsNo"/>
        </w:rPr>
        <w:t>37</w:t>
      </w:r>
      <w:r>
        <w:t>.</w:t>
      </w:r>
      <w:r>
        <w:tab/>
        <w:t>When accounting and financial reporting provisions start to apply to existing retirement villages</w:t>
      </w:r>
      <w:bookmarkEnd w:id="88"/>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89" w:name="_Toc435097214"/>
      <w:bookmarkStart w:id="90" w:name="_Toc435097849"/>
      <w:bookmarkStart w:id="91" w:name="_Toc455404116"/>
      <w:bookmarkStart w:id="92" w:name="_Toc455416281"/>
      <w:r>
        <w:rPr>
          <w:rStyle w:val="CharSchNo"/>
        </w:rPr>
        <w:t>Appendix 1</w:t>
      </w:r>
      <w:r>
        <w:rPr>
          <w:rStyle w:val="CharSDivNo"/>
        </w:rPr>
        <w:t> </w:t>
      </w:r>
      <w:r>
        <w:t>—</w:t>
      </w:r>
      <w:r>
        <w:rPr>
          <w:rStyle w:val="CharSDivText"/>
        </w:rPr>
        <w:t> </w:t>
      </w:r>
      <w:r>
        <w:rPr>
          <w:rStyle w:val="CharSchText"/>
        </w:rPr>
        <w:t>Checklist for prospective resident</w:t>
      </w:r>
      <w:bookmarkEnd w:id="89"/>
      <w:bookmarkEnd w:id="90"/>
      <w:bookmarkEnd w:id="91"/>
      <w:bookmarkEnd w:id="92"/>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93" w:name="_Toc435097215"/>
      <w:bookmarkStart w:id="94" w:name="_Toc435097850"/>
      <w:bookmarkStart w:id="95" w:name="_Toc455404117"/>
      <w:bookmarkStart w:id="96" w:name="_Toc455416282"/>
      <w:r>
        <w:rPr>
          <w:rStyle w:val="CharSchNo"/>
        </w:rPr>
        <w:t>Appendix 2</w:t>
      </w:r>
      <w:r>
        <w:rPr>
          <w:rStyle w:val="CharSDivNo"/>
        </w:rPr>
        <w:t> </w:t>
      </w:r>
      <w:r>
        <w:t>—</w:t>
      </w:r>
      <w:r>
        <w:rPr>
          <w:rStyle w:val="CharSDivText"/>
        </w:rPr>
        <w:t> </w:t>
      </w:r>
      <w:r>
        <w:rPr>
          <w:rStyle w:val="CharSchText"/>
        </w:rPr>
        <w:t>Form of appointment of proxy</w:t>
      </w:r>
      <w:bookmarkEnd w:id="93"/>
      <w:bookmarkEnd w:id="94"/>
      <w:bookmarkEnd w:id="95"/>
      <w:bookmarkEnd w:id="96"/>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97" w:name="_Toc435097216"/>
      <w:bookmarkStart w:id="98" w:name="_Toc435097851"/>
      <w:bookmarkStart w:id="99" w:name="_Toc455404118"/>
      <w:bookmarkStart w:id="100" w:name="_Toc455416283"/>
      <w:r>
        <w:t>Notes</w:t>
      </w:r>
      <w:bookmarkEnd w:id="97"/>
      <w:bookmarkEnd w:id="98"/>
      <w:bookmarkEnd w:id="99"/>
      <w:bookmarkEnd w:id="100"/>
    </w:p>
    <w:p>
      <w:pPr>
        <w:pStyle w:val="nSubsection"/>
      </w:pPr>
      <w:r>
        <w:rPr>
          <w:vertAlign w:val="superscript"/>
        </w:rPr>
        <w:t>1</w:t>
      </w:r>
      <w:r>
        <w:tab/>
        <w:t xml:space="preserve">This is a compilation of the </w:t>
      </w:r>
      <w:r>
        <w:rPr>
          <w:i/>
          <w:noProof/>
        </w:rPr>
        <w:t>Fair Trading (Retirement Villages Code) Regulations 2015</w:t>
      </w:r>
      <w:r>
        <w:t xml:space="preserve"> and includes the amendments made by the other written laws referred to in the following table.</w:t>
      </w:r>
    </w:p>
    <w:p>
      <w:pPr>
        <w:pStyle w:val="nHeading3"/>
      </w:pPr>
      <w:bookmarkStart w:id="101" w:name="_Toc455416284"/>
      <w:r>
        <w:t>Compilation table</w:t>
      </w:r>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c>
          <w:tcPr>
            <w:tcW w:w="3118" w:type="dxa"/>
            <w:tcBorders>
              <w:top w:val="nil"/>
              <w:bottom w:val="nil"/>
            </w:tcBorders>
          </w:tcPr>
          <w:p>
            <w:pPr>
              <w:pStyle w:val="nTable"/>
              <w:spacing w:after="40"/>
              <w:rPr>
                <w:i/>
                <w:noProof/>
              </w:rPr>
            </w:pPr>
            <w:r>
              <w:rPr>
                <w:i/>
                <w:noProof/>
              </w:rPr>
              <w:t>Fair Trading (Retirement Villages Code) Amendment Regulations 2015</w:t>
            </w:r>
          </w:p>
        </w:tc>
        <w:tc>
          <w:tcPr>
            <w:tcW w:w="1276" w:type="dxa"/>
            <w:tcBorders>
              <w:top w:val="nil"/>
              <w:bottom w:val="nil"/>
            </w:tcBorders>
          </w:tcPr>
          <w:p>
            <w:pPr>
              <w:pStyle w:val="nTable"/>
              <w:spacing w:after="40"/>
            </w:pPr>
            <w:r>
              <w:t>6 Oct 2015 p. 3965</w:t>
            </w:r>
            <w:r>
              <w:noBreakHyphen/>
              <w:t>6</w:t>
            </w:r>
          </w:p>
        </w:tc>
        <w:tc>
          <w:tcPr>
            <w:tcW w:w="2693" w:type="dxa"/>
            <w:tcBorders>
              <w:top w:val="nil"/>
              <w:bottom w:val="nil"/>
            </w:tcBorders>
          </w:tcPr>
          <w:p>
            <w:pPr>
              <w:pStyle w:val="nTable"/>
              <w:spacing w:after="40"/>
              <w:rPr>
                <w:snapToGrid w:val="0"/>
              </w:rPr>
            </w:pPr>
            <w:r>
              <w:rPr>
                <w:bCs/>
                <w:snapToGrid w:val="0"/>
                <w:spacing w:val="-2"/>
              </w:rPr>
              <w:t>r. 1 and 2: 6 Oct 2015 (see r. 2(a));</w:t>
            </w:r>
            <w:r>
              <w:rPr>
                <w:bCs/>
                <w:snapToGrid w:val="0"/>
                <w:spacing w:val="-2"/>
              </w:rPr>
              <w:br/>
              <w:t>Regulations other than r. 1 and 2: 7 Oct 2015 (see r. 2(b))</w:t>
            </w:r>
          </w:p>
        </w:tc>
      </w:tr>
      <w:tr>
        <w:tc>
          <w:tcPr>
            <w:tcW w:w="3118" w:type="dxa"/>
            <w:tcBorders>
              <w:top w:val="nil"/>
              <w:bottom w:val="single" w:sz="4" w:space="0" w:color="auto"/>
            </w:tcBorders>
          </w:tcPr>
          <w:p>
            <w:pPr>
              <w:pStyle w:val="nTable"/>
              <w:spacing w:after="40"/>
              <w:rPr>
                <w:noProof/>
              </w:rPr>
            </w:pPr>
            <w:r>
              <w:rPr>
                <w:i/>
              </w:rPr>
              <w:t>Retirement Villages Regulations Amendment Regulations 2016</w:t>
            </w:r>
            <w:r>
              <w:t xml:space="preserve"> Pt. 2</w:t>
            </w:r>
          </w:p>
        </w:tc>
        <w:tc>
          <w:tcPr>
            <w:tcW w:w="1276" w:type="dxa"/>
            <w:tcBorders>
              <w:top w:val="nil"/>
              <w:bottom w:val="single" w:sz="4" w:space="0" w:color="auto"/>
            </w:tcBorders>
          </w:tcPr>
          <w:p>
            <w:pPr>
              <w:pStyle w:val="nTable"/>
              <w:spacing w:after="40"/>
            </w:pPr>
            <w:r>
              <w:t>30 Jun 2016 p. 2713</w:t>
            </w:r>
            <w:r>
              <w:noBreakHyphen/>
              <w:t>34</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2016 (see r. 2(b))</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2018 (see r. 3(2)).</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03" w:name="_Toc435097218"/>
      <w:bookmarkStart w:id="104" w:name="_Toc435097853"/>
      <w:bookmarkStart w:id="105" w:name="_Toc455404120"/>
      <w:bookmarkStart w:id="106" w:name="_Toc455416285"/>
      <w:r>
        <w:rPr>
          <w:sz w:val="28"/>
        </w:rPr>
        <w:t>Defined terms</w:t>
      </w:r>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new accounting and financial reporting requirements</w:t>
      </w:r>
      <w:r>
        <w:tab/>
        <w:t>Sch. 1 cl. 37(1)</w:t>
      </w:r>
    </w:p>
    <w:p>
      <w:pPr>
        <w:pStyle w:val="DefinedTerms"/>
      </w:pPr>
      <w:r>
        <w:t>notes</w:t>
      </w:r>
      <w:r>
        <w:tab/>
        <w:t>Sch. 1 cl. 14(1)</w:t>
      </w:r>
    </w:p>
    <w:p>
      <w:pPr>
        <w:pStyle w:val="DefinedTerms"/>
      </w:pPr>
      <w:r>
        <w:t>owner</w:t>
      </w:r>
      <w:r>
        <w:tab/>
        <w:t>Sch. 1 cl. 1</w:t>
      </w:r>
    </w:p>
    <w:p>
      <w:pPr>
        <w:pStyle w:val="DefinedTerms"/>
      </w:pPr>
      <w:r>
        <w:t>personal representative</w:t>
      </w:r>
      <w:r>
        <w:tab/>
        <w:t>Sch. 1 cl. 14(1), Sch. 1 cl.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Sch. 1 cl. 29</w:t>
      </w:r>
    </w:p>
    <w:p>
      <w:pPr>
        <w:pStyle w:val="DefinedTerms"/>
      </w:pPr>
      <w:r>
        <w:t>voting resident</w:t>
      </w:r>
      <w:r>
        <w:tab/>
        <w:t>Sch. 1 cl. 27(1)</w:t>
      </w:r>
    </w:p>
    <w:p>
      <w:pPr>
        <w:pStyle w:val="DefinedTerms"/>
        <w:keepNext/>
      </w:pPr>
      <w:r>
        <w:t>withdrawal notice</w:t>
      </w:r>
      <w:r>
        <w:tab/>
        <w:t>Sch. 1 cl. 31(15)</w:t>
      </w:r>
    </w:p>
    <w:p>
      <w:pPr>
        <w:pStyle w:val="DefinedTerms"/>
        <w:keepNext/>
      </w:pPr>
      <w:r>
        <w:t>working day</w:t>
      </w:r>
      <w:r>
        <w:tab/>
        <w:t>Sch. 1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15A2A1E"/>
    <w:lvl w:ilvl="0">
      <w:start w:val="1"/>
      <w:numFmt w:val="decimal"/>
      <w:lvlText w:val="%1."/>
      <w:lvlJc w:val="left"/>
      <w:pPr>
        <w:tabs>
          <w:tab w:val="num" w:pos="643"/>
        </w:tabs>
        <w:ind w:left="643" w:hanging="360"/>
      </w:pPr>
    </w:lvl>
  </w:abstractNum>
  <w:abstractNum w:abstractNumId="1">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83E2D3D6"/>
    <w:lvl w:ilvl="0">
      <w:start w:val="1"/>
      <w:numFmt w:val="decimal"/>
      <w:lvlText w:val="%1."/>
      <w:lvlJc w:val="left"/>
      <w:pPr>
        <w:tabs>
          <w:tab w:val="num" w:pos="360"/>
        </w:tabs>
        <w:ind w:left="360" w:hanging="360"/>
      </w:pPr>
    </w:lvl>
  </w:abstractNum>
  <w:abstractNum w:abstractNumId="6">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1D7FC5"/>
    <w:multiLevelType w:val="singleLevel"/>
    <w:tmpl w:val="0C09000F"/>
    <w:lvl w:ilvl="0">
      <w:start w:val="1"/>
      <w:numFmt w:val="decimal"/>
      <w:lvlText w:val="%1."/>
      <w:lvlJc w:val="left"/>
      <w:pPr>
        <w:tabs>
          <w:tab w:val="num" w:pos="360"/>
        </w:tabs>
        <w:ind w:left="360" w:hanging="360"/>
      </w:p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936"/>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CDE9-6AE8-44F0-902A-41811BCB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15740</Words>
  <Characters>81063</Characters>
  <Application>Microsoft Office Word</Application>
  <DocSecurity>0</DocSecurity>
  <Lines>1930</Lines>
  <Paragraphs>997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2015 - 00-d0-01</dc:title>
  <dc:subject/>
  <dc:creator/>
  <cp:keywords/>
  <dc:description/>
  <cp:lastModifiedBy>svcMRProcess</cp:lastModifiedBy>
  <cp:revision>4</cp:revision>
  <cp:lastPrinted>2015-03-03T03:38:00Z</cp:lastPrinted>
  <dcterms:created xsi:type="dcterms:W3CDTF">2018-09-19T18:37:00Z</dcterms:created>
  <dcterms:modified xsi:type="dcterms:W3CDTF">2018-09-19T18:37:00Z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Jul 2016</vt:lpwstr>
  </property>
  <property fmtid="{D5CDD505-2E9C-101B-9397-08002B2CF9AE}" pid="3" name="Suffix">
    <vt:lpwstr>00-d0-01</vt:lpwstr>
  </property>
  <property fmtid="{D5CDD505-2E9C-101B-9397-08002B2CF9AE}" pid="4" name="DocumentType">
    <vt:lpwstr>Reg</vt:lpwstr>
  </property>
  <property fmtid="{D5CDD505-2E9C-101B-9397-08002B2CF9AE}" pid="5" name="CommencementDate">
    <vt:lpwstr>20160701</vt:lpwstr>
  </property>
</Properties>
</file>