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THE 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Form for Result of Sample Analysis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Form for Result of Sample Analysis Regulations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_Toc472583104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_Toc472583105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THE HEALTH ACT 1911</w:t>
      </w:r>
    </w:p>
    <w:p>
      <w:pPr>
        <w:pStyle w:val="MiscellaneousBody"/>
        <w:spacing w:before="0"/>
        <w:jc w:val="right"/>
        <w:rPr>
          <w:snapToGrid w:val="0"/>
        </w:rPr>
      </w:pPr>
      <w:r>
        <w:rPr>
          <w:snapToGrid w:val="0"/>
        </w:rPr>
        <w:t xml:space="preserve">Colonial Secretary's Office, </w:t>
      </w:r>
    </w:p>
    <w:p>
      <w:pPr>
        <w:pStyle w:val="MiscellaneousBody"/>
        <w:spacing w:before="0"/>
        <w:jc w:val="right"/>
        <w:rPr>
          <w:snapToGrid w:val="0"/>
        </w:rPr>
      </w:pPr>
      <w:r>
        <w:rPr>
          <w:snapToGrid w:val="0"/>
        </w:rPr>
        <w:t>Perth, 15th September 1911.</w:t>
      </w:r>
    </w:p>
    <w:p>
      <w:pPr>
        <w:pStyle w:val="MiscellaneousBody"/>
        <w:spacing w:before="0"/>
        <w:jc w:val="right"/>
        <w:rPr>
          <w:snapToGrid w:val="0"/>
        </w:rPr>
      </w:pPr>
      <w:r>
        <w:rPr>
          <w:snapToGrid w:val="0"/>
        </w:rPr>
        <w:t>4357/11.</w:t>
      </w:r>
    </w:p>
    <w:p>
      <w:pPr>
        <w:pStyle w:val="MadeBy"/>
        <w:rPr>
          <w:snapToGrid w:val="0"/>
        </w:rPr>
      </w:pPr>
      <w:r>
        <w:rPr>
          <w:snapToGrid w:val="0"/>
        </w:rPr>
        <w:t>HIS Excellency the Governor in Council has been pleased to make the following Regulations under “</w:t>
      </w:r>
      <w:r>
        <w:rPr>
          <w:i/>
          <w:snapToGrid w:val="0"/>
        </w:rPr>
        <w:t>The Health Act 1911</w:t>
      </w:r>
      <w:r>
        <w:rPr>
          <w:snapToGrid w:val="0"/>
        </w:rPr>
        <w:t>”.</w:t>
      </w:r>
    </w:p>
    <w:p>
      <w:pPr>
        <w:pStyle w:val="MiscellaneousBody"/>
        <w:spacing w:before="0"/>
        <w:jc w:val="right"/>
        <w:rPr>
          <w:snapToGrid w:val="0"/>
        </w:rPr>
      </w:pPr>
      <w:r>
        <w:rPr>
          <w:snapToGrid w:val="0"/>
        </w:rPr>
        <w:t xml:space="preserve">F. D. NORTH, </w:t>
      </w:r>
    </w:p>
    <w:p>
      <w:pPr>
        <w:pStyle w:val="MiscellaneousBody"/>
        <w:spacing w:before="0"/>
        <w:jc w:val="right"/>
        <w:rPr>
          <w:snapToGrid w:val="0"/>
        </w:rPr>
      </w:pPr>
      <w:r>
        <w:rPr>
          <w:snapToGrid w:val="0"/>
        </w:rPr>
        <w:t>Under Secretary.</w:t>
      </w:r>
    </w:p>
    <w:p>
      <w:pPr>
        <w:pStyle w:val="NameofActReg"/>
      </w:pPr>
      <w:r>
        <w:t>Form for Result of Sample Analysis Regulations</w:t>
      </w:r>
    </w:p>
    <w:p>
      <w:pPr>
        <w:pStyle w:val="Preamble"/>
        <w:rPr>
          <w:snapToGrid w:val="0"/>
        </w:rPr>
      </w:pPr>
      <w:r>
        <w:rPr>
          <w:snapToGrid w:val="0"/>
        </w:rPr>
        <w:t>Prescribing the Form to be used by an Analyst in giving the Result of his Analysis and Examination of a Sample.</w:t>
      </w:r>
    </w:p>
    <w:p>
      <w:pPr>
        <w:pStyle w:val="Preamble"/>
        <w:rPr>
          <w:snapToGrid w:val="0"/>
        </w:rPr>
      </w:pPr>
      <w:r>
        <w:rPr>
          <w:snapToGrid w:val="0"/>
        </w:rPr>
        <w:t>In pursuance of the powers and authorities conferred by “</w:t>
      </w:r>
      <w:r>
        <w:rPr>
          <w:i/>
          <w:snapToGrid w:val="0"/>
        </w:rPr>
        <w:t>The Health Act 1911</w:t>
      </w:r>
      <w:r>
        <w:rPr>
          <w:snapToGrid w:val="0"/>
        </w:rPr>
        <w:t>,” His Excellency the Governor of Western Australia, by and with the advice and consent of the Executive Council thereof doth make the following Regulation: — </w:t>
      </w:r>
    </w:p>
    <w:p>
      <w:pPr>
        <w:pStyle w:val="Preamble"/>
        <w:rPr>
          <w:snapToGrid w:val="0"/>
        </w:rPr>
      </w:pPr>
      <w:r>
        <w:rPr>
          <w:snapToGrid w:val="0"/>
        </w:rPr>
        <w:t>The form to be used by an Analyst in giving the result of his analysis and examination of any food, drug, or disinfectant shall be as set out in the schedule hereto:</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 w:name="_Toc378252324"/>
      <w:bookmarkStart w:id="4" w:name="_Toc418676667"/>
      <w:bookmarkStart w:id="5" w:name="_Toc418676742"/>
      <w:bookmarkStart w:id="6" w:name="_Toc472583102"/>
      <w:r>
        <w:t>Schedule</w:t>
      </w:r>
      <w:bookmarkEnd w:id="3"/>
      <w:bookmarkEnd w:id="4"/>
      <w:bookmarkEnd w:id="5"/>
      <w:bookmarkEnd w:id="6"/>
      <w:r>
        <w:t xml:space="preserve"> </w:t>
      </w:r>
    </w:p>
    <w:p>
      <w:pPr>
        <w:pStyle w:val="yTable"/>
        <w:jc w:val="center"/>
        <w:rPr>
          <w:i/>
          <w:snapToGrid w:val="0"/>
        </w:rPr>
      </w:pPr>
      <w:r>
        <w:rPr>
          <w:i/>
          <w:snapToGrid w:val="0"/>
        </w:rPr>
        <w:t>The Health Act 1911</w:t>
      </w:r>
    </w:p>
    <w:p>
      <w:pPr>
        <w:pStyle w:val="yTable"/>
        <w:jc w:val="center"/>
        <w:rPr>
          <w:snapToGrid w:val="0"/>
        </w:rPr>
      </w:pPr>
      <w:r>
        <w:rPr>
          <w:snapToGrid w:val="0"/>
        </w:rPr>
        <w:t>Section 189, Subsection 7</w:t>
      </w:r>
    </w:p>
    <w:p>
      <w:pPr>
        <w:pStyle w:val="yTable"/>
        <w:jc w:val="center"/>
        <w:rPr>
          <w:i/>
          <w:snapToGrid w:val="0"/>
        </w:rPr>
      </w:pPr>
      <w:r>
        <w:rPr>
          <w:i/>
          <w:snapToGrid w:val="0"/>
        </w:rPr>
        <w:t>Form of Certificate to be given by an Analyst</w:t>
      </w:r>
    </w:p>
    <w:p>
      <w:pPr>
        <w:pStyle w:val="yTable"/>
        <w:rPr>
          <w:snapToGrid w:val="0"/>
        </w:rPr>
      </w:pPr>
      <w:r>
        <w:rPr>
          <w:snapToGrid w:val="0"/>
        </w:rPr>
        <w:t>To * ………………………………………………</w:t>
      </w:r>
    </w:p>
    <w:p>
      <w:pPr>
        <w:pStyle w:val="yTable"/>
        <w:tabs>
          <w:tab w:val="left" w:pos="462"/>
        </w:tabs>
        <w:rPr>
          <w:snapToGrid w:val="0"/>
        </w:rPr>
      </w:pPr>
      <w:r>
        <w:rPr>
          <w:snapToGrid w:val="0"/>
        </w:rPr>
        <w:tab/>
        <w:t>………………………………………………</w:t>
      </w:r>
    </w:p>
    <w:p>
      <w:pPr>
        <w:pStyle w:val="yTable"/>
        <w:rPr>
          <w:snapToGrid w:val="0"/>
        </w:rPr>
      </w:pPr>
      <w:r>
        <w:rPr>
          <w:snapToGrid w:val="0"/>
        </w:rPr>
        <w:t>I, the undersigned, being an Analyst registered under the provisions of the above Act, do hereby certify that I received on the . . . . . . . . day of</w:t>
      </w:r>
    </w:p>
    <w:p>
      <w:pPr>
        <w:pStyle w:val="yTable"/>
        <w:rPr>
          <w:snapToGrid w:val="0"/>
        </w:rPr>
      </w:pPr>
      <w:r>
        <w:rPr>
          <w:snapToGrid w:val="0"/>
        </w:rPr>
        <w:t xml:space="preserve">………………………….. from †……………………………….. a sample of </w:t>
      </w:r>
    </w:p>
    <w:p>
      <w:pPr>
        <w:pStyle w:val="yTable"/>
        <w:rPr>
          <w:snapToGrid w:val="0"/>
        </w:rPr>
      </w:pPr>
      <w:r>
        <w:rPr>
          <w:snapToGrid w:val="0"/>
        </w:rPr>
        <w:t>………………………………………..</w:t>
      </w:r>
    </w:p>
    <w:tbl>
      <w:tblPr>
        <w:tblW w:w="0" w:type="auto"/>
        <w:tblLayout w:type="fixed"/>
        <w:tblLook w:val="0000" w:firstRow="0" w:lastRow="0" w:firstColumn="0" w:lastColumn="0" w:noHBand="0" w:noVBand="0"/>
      </w:tblPr>
      <w:tblGrid>
        <w:gridCol w:w="2943"/>
        <w:gridCol w:w="709"/>
        <w:gridCol w:w="2551"/>
        <w:gridCol w:w="709"/>
      </w:tblGrid>
      <w:tr>
        <w:tc>
          <w:tcPr>
            <w:tcW w:w="2943" w:type="dxa"/>
          </w:tcPr>
          <w:p>
            <w:pPr>
              <w:pStyle w:val="yTable"/>
              <w:rPr>
                <w:snapToGrid w:val="0"/>
              </w:rPr>
            </w:pPr>
          </w:p>
          <w:p>
            <w:pPr>
              <w:pStyle w:val="yTable"/>
              <w:rPr>
                <w:snapToGrid w:val="0"/>
              </w:rPr>
            </w:pPr>
          </w:p>
          <w:p>
            <w:pPr>
              <w:pStyle w:val="yTable"/>
              <w:rPr>
                <w:snapToGrid w:val="0"/>
              </w:rPr>
            </w:pPr>
            <w:r>
              <w:rPr>
                <w:snapToGrid w:val="0"/>
              </w:rPr>
              <w:t>for analysis, which then</w:t>
            </w:r>
          </w:p>
        </w:tc>
        <w:tc>
          <w:tcPr>
            <w:tcW w:w="709" w:type="dxa"/>
          </w:tcPr>
          <w:p>
            <w:pPr>
              <w:pStyle w:val="yTable"/>
              <w:spacing w:before="0"/>
              <w:rPr>
                <w:snapToGrid w:val="0"/>
                <w:sz w:val="24"/>
              </w:rPr>
            </w:pPr>
            <w:r>
              <w:object w:dxaOrig="22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78pt" o:ole="" fillcolor="window">
                  <v:imagedata r:id="rId25" o:title=""/>
                </v:shape>
                <o:OLEObject Type="Embed" ProgID="MSPhotoEd.3" ShapeID="_x0000_i1025" DrawAspect="Content" ObjectID="_1546326162" r:id="rId26"/>
              </w:object>
            </w:r>
          </w:p>
        </w:tc>
        <w:tc>
          <w:tcPr>
            <w:tcW w:w="2551" w:type="dxa"/>
          </w:tcPr>
          <w:p>
            <w:pPr>
              <w:pStyle w:val="yTable"/>
              <w:tabs>
                <w:tab w:val="left" w:pos="2835"/>
                <w:tab w:val="left" w:pos="3402"/>
                <w:tab w:val="left" w:pos="6804"/>
              </w:tabs>
              <w:rPr>
                <w:snapToGrid w:val="0"/>
              </w:rPr>
            </w:pPr>
            <w:r>
              <w:rPr>
                <w:snapToGrid w:val="0"/>
              </w:rPr>
              <w:t>weighed ……………</w:t>
            </w:r>
          </w:p>
          <w:p>
            <w:pPr>
              <w:pStyle w:val="yTable"/>
              <w:tabs>
                <w:tab w:val="left" w:pos="2835"/>
                <w:tab w:val="left" w:pos="3402"/>
                <w:tab w:val="left" w:pos="6804"/>
              </w:tabs>
              <w:rPr>
                <w:snapToGrid w:val="0"/>
              </w:rPr>
            </w:pPr>
          </w:p>
          <w:p>
            <w:pPr>
              <w:pStyle w:val="yTable"/>
              <w:tabs>
                <w:tab w:val="left" w:pos="2835"/>
                <w:tab w:val="left" w:pos="3402"/>
                <w:tab w:val="left" w:pos="6804"/>
              </w:tabs>
              <w:rPr>
                <w:snapToGrid w:val="0"/>
              </w:rPr>
            </w:pPr>
            <w:r>
              <w:rPr>
                <w:snapToGrid w:val="0"/>
              </w:rPr>
              <w:t xml:space="preserve">           ‡</w:t>
            </w:r>
          </w:p>
          <w:p>
            <w:pPr>
              <w:pStyle w:val="yTable"/>
              <w:rPr>
                <w:snapToGrid w:val="0"/>
              </w:rPr>
            </w:pPr>
          </w:p>
          <w:p>
            <w:pPr>
              <w:pStyle w:val="yTable"/>
              <w:rPr>
                <w:snapToGrid w:val="0"/>
              </w:rPr>
            </w:pPr>
            <w:r>
              <w:rPr>
                <w:snapToGrid w:val="0"/>
              </w:rPr>
              <w:t>measured ……………</w:t>
            </w:r>
          </w:p>
        </w:tc>
        <w:tc>
          <w:tcPr>
            <w:tcW w:w="709" w:type="dxa"/>
          </w:tcPr>
          <w:p>
            <w:pPr>
              <w:pStyle w:val="yTable"/>
              <w:spacing w:before="0"/>
              <w:rPr>
                <w:snapToGrid w:val="0"/>
                <w:sz w:val="24"/>
              </w:rPr>
            </w:pPr>
            <w:r>
              <w:rPr>
                <w:noProof/>
                <w:sz w:val="24"/>
              </w:rPr>
              <w:drawing>
                <wp:inline distT="0" distB="0" distL="0" distR="0">
                  <wp:extent cx="142240" cy="962025"/>
                  <wp:effectExtent l="0" t="0" r="0" b="9525"/>
                  <wp:docPr id="2" name="Picture 2" descr="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240" cy="962025"/>
                          </a:xfrm>
                          <a:prstGeom prst="rect">
                            <a:avLst/>
                          </a:prstGeom>
                          <a:noFill/>
                          <a:ln>
                            <a:noFill/>
                          </a:ln>
                        </pic:spPr>
                      </pic:pic>
                    </a:graphicData>
                  </a:graphic>
                </wp:inline>
              </w:drawing>
            </w:r>
          </w:p>
        </w:tc>
      </w:tr>
    </w:tbl>
    <w:p>
      <w:pPr>
        <w:pStyle w:val="yTable"/>
        <w:rPr>
          <w:snapToGrid w:val="0"/>
        </w:rPr>
      </w:pPr>
      <w:r>
        <w:rPr>
          <w:snapToGrid w:val="0"/>
        </w:rPr>
        <w:t>and which bore the following marks ………………………………………., and declare the result of my analysis to be follows: — </w:t>
      </w:r>
    </w:p>
    <w:p>
      <w:pPr>
        <w:pStyle w:val="yTable"/>
        <w:rPr>
          <w:snapToGrid w:val="0"/>
        </w:rPr>
      </w:pPr>
      <w:r>
        <w:rPr>
          <w:snapToGrid w:val="0"/>
        </w:rPr>
        <w:t>§ Observations:</w:t>
      </w:r>
    </w:p>
    <w:p>
      <w:pPr>
        <w:pStyle w:val="yTable"/>
        <w:rPr>
          <w:snapToGrid w:val="0"/>
        </w:rPr>
      </w:pPr>
      <w:r>
        <w:rPr>
          <w:snapToGrid w:val="0"/>
        </w:rPr>
        <w:t>As witness my hand this . . . . . . . . . . day of …………………………….</w:t>
      </w:r>
    </w:p>
    <w:p>
      <w:pPr>
        <w:pStyle w:val="yTable"/>
        <w:jc w:val="right"/>
        <w:rPr>
          <w:snapToGrid w:val="0"/>
        </w:rPr>
      </w:pPr>
      <w:r>
        <w:rPr>
          <w:snapToGrid w:val="0"/>
        </w:rPr>
        <w:t>Analyst.</w:t>
      </w:r>
    </w:p>
    <w:p>
      <w:pPr>
        <w:pStyle w:val="yTable"/>
        <w:tabs>
          <w:tab w:val="left" w:pos="567"/>
        </w:tabs>
        <w:rPr>
          <w:snapToGrid w:val="0"/>
        </w:rPr>
      </w:pPr>
      <w:r>
        <w:rPr>
          <w:snapToGrid w:val="0"/>
        </w:rPr>
        <w:t>*</w:t>
      </w:r>
      <w:r>
        <w:rPr>
          <w:snapToGrid w:val="0"/>
        </w:rPr>
        <w:tab/>
        <w:t>Here insert the name of the person submitting the article for analysis.</w:t>
      </w:r>
    </w:p>
    <w:p>
      <w:pPr>
        <w:pStyle w:val="yTable"/>
        <w:tabs>
          <w:tab w:val="left" w:pos="567"/>
        </w:tabs>
        <w:rPr>
          <w:snapToGrid w:val="0"/>
        </w:rPr>
      </w:pPr>
      <w:r>
        <w:rPr>
          <w:snapToGrid w:val="0"/>
        </w:rPr>
        <w:t>†</w:t>
      </w:r>
      <w:r>
        <w:rPr>
          <w:snapToGrid w:val="0"/>
        </w:rPr>
        <w:tab/>
        <w:t>Here insert the name of the person delivering the sample.</w:t>
      </w:r>
    </w:p>
    <w:p>
      <w:pPr>
        <w:pStyle w:val="yTable"/>
        <w:tabs>
          <w:tab w:val="left" w:pos="567"/>
        </w:tabs>
        <w:ind w:left="567" w:hanging="567"/>
        <w:rPr>
          <w:snapToGrid w:val="0"/>
        </w:rPr>
      </w:pPr>
      <w:r>
        <w:rPr>
          <w:snapToGrid w:val="0"/>
        </w:rPr>
        <w:t>‡</w:t>
      </w:r>
      <w:r>
        <w:rPr>
          <w:snapToGrid w:val="0"/>
        </w:rPr>
        <w:tab/>
        <w:t>When the article cannot be conveniently weighed or measured, this passage may be erased or the blank left unfilled.</w:t>
      </w:r>
    </w:p>
    <w:p>
      <w:pPr>
        <w:pStyle w:val="yTable"/>
        <w:tabs>
          <w:tab w:val="left" w:pos="567"/>
        </w:tabs>
        <w:ind w:left="567" w:hanging="567"/>
        <w:rPr>
          <w:snapToGrid w:val="0"/>
        </w:rPr>
      </w:pPr>
      <w:r>
        <w:rPr>
          <w:snapToGrid w:val="0"/>
        </w:rPr>
        <w:t>§</w:t>
      </w:r>
      <w:r>
        <w:rPr>
          <w:snapToGrid w:val="0"/>
        </w:rPr>
        <w:tab/>
        <w:t>Here the analyst may insert, at his discretion, his opinion as to whether the mixture (if any) was for the purpose of rendering the article portable or palatable or of preserving it or of improving the appearance, or was unavoidable.</w:t>
      </w:r>
    </w:p>
    <w:p>
      <w:pPr>
        <w:pStyle w:val="yTable"/>
        <w:tabs>
          <w:tab w:val="left" w:pos="567"/>
        </w:tabs>
        <w:ind w:left="567" w:hanging="567"/>
        <w:rPr>
          <w:snapToGrid w:val="0"/>
        </w:rPr>
      </w:pPr>
      <w:r>
        <w:rPr>
          <w:snapToGrid w:val="0"/>
        </w:rPr>
        <w:tab/>
        <w:t>In the case of a certificate regarding milk, butter, or any article liable to decomposition, the analyst shall specially report whether any change had taken place in the construction of the article that would interfere with the analysis.</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8" w:name="_Toc378252325"/>
      <w:bookmarkStart w:id="9" w:name="_Toc418676668"/>
      <w:bookmarkStart w:id="10" w:name="_Toc418676743"/>
      <w:bookmarkStart w:id="11" w:name="_Toc472583103"/>
      <w:r>
        <w:t>Notes</w:t>
      </w:r>
      <w:bookmarkEnd w:id="8"/>
      <w:bookmarkEnd w:id="9"/>
      <w:bookmarkEnd w:id="10"/>
      <w:bookmarkEnd w:id="1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Form for Result of Sample Analysis Regulations 1911</w:t>
      </w:r>
      <w:r>
        <w:rPr>
          <w:snapToGrid w:val="0"/>
        </w:rPr>
        <w:t xml:space="preserve"> and includes the amendments referred to in the following Table </w:t>
      </w:r>
      <w:r>
        <w:rPr>
          <w:snapToGrid w:val="0"/>
          <w:vertAlign w:val="superscript"/>
        </w:rPr>
        <w:t>1a</w:t>
      </w:r>
      <w:r>
        <w:rPr>
          <w:snapToGrid w:val="0"/>
        </w:rPr>
        <w:t>.</w:t>
      </w:r>
    </w:p>
    <w:p>
      <w:pPr>
        <w:pStyle w:val="nHeading3"/>
        <w:rPr>
          <w:snapToGrid w:val="0"/>
        </w:rPr>
      </w:pPr>
      <w:bookmarkStart w:id="12" w:name="_Toc378252326"/>
      <w:bookmarkStart w:id="13" w:name="_Toc472583104"/>
      <w:r>
        <w:rPr>
          <w:snapToGrid w:val="0"/>
        </w:rPr>
        <w:t>Compilation table</w:t>
      </w:r>
      <w:bookmarkEnd w:id="12"/>
      <w:bookmarkEnd w:id="13"/>
    </w:p>
    <w:tbl>
      <w:tblPr>
        <w:tblW w:w="0" w:type="auto"/>
        <w:tblInd w:w="28"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tblHeader/>
        </w:trPr>
        <w:tc>
          <w:tcPr>
            <w:tcW w:w="3119" w:type="dxa"/>
          </w:tcPr>
          <w:p>
            <w:pPr>
              <w:pStyle w:val="nTable"/>
              <w:rPr>
                <w:b/>
                <w:bCs/>
              </w:rPr>
            </w:pPr>
            <w:r>
              <w:rPr>
                <w:b/>
                <w:bCs/>
              </w:rPr>
              <w:t>Citation</w:t>
            </w:r>
          </w:p>
        </w:tc>
        <w:tc>
          <w:tcPr>
            <w:tcW w:w="1276" w:type="dxa"/>
          </w:tcPr>
          <w:p>
            <w:pPr>
              <w:pStyle w:val="nTable"/>
              <w:rPr>
                <w:b/>
                <w:bCs/>
              </w:rPr>
            </w:pPr>
            <w:r>
              <w:rPr>
                <w:b/>
                <w:bCs/>
              </w:rPr>
              <w:t>Gazettal</w:t>
            </w:r>
          </w:p>
        </w:tc>
        <w:tc>
          <w:tcPr>
            <w:tcW w:w="2693" w:type="dxa"/>
          </w:tcPr>
          <w:p>
            <w:pPr>
              <w:pStyle w:val="nTable"/>
              <w:rPr>
                <w:b/>
                <w:bCs/>
              </w:rPr>
            </w:pPr>
            <w:r>
              <w:rPr>
                <w:b/>
                <w:bCs/>
              </w:rPr>
              <w:t>Commencement</w:t>
            </w:r>
          </w:p>
        </w:tc>
      </w:tr>
      <w:tr>
        <w:tc>
          <w:tcPr>
            <w:tcW w:w="3119" w:type="dxa"/>
          </w:tcPr>
          <w:p>
            <w:pPr>
              <w:pStyle w:val="nTable"/>
            </w:pPr>
            <w:r>
              <w:rPr>
                <w:i/>
              </w:rPr>
              <w:t>Untitled</w:t>
            </w:r>
          </w:p>
        </w:tc>
        <w:tc>
          <w:tcPr>
            <w:tcW w:w="1276" w:type="dxa"/>
          </w:tcPr>
          <w:p>
            <w:pPr>
              <w:pStyle w:val="nTable"/>
            </w:pPr>
            <w:r>
              <w:t>15 Sep 1911 p. 3671</w:t>
            </w:r>
          </w:p>
        </w:tc>
        <w:tc>
          <w:tcPr>
            <w:tcW w:w="2693" w:type="dxa"/>
          </w:tcPr>
          <w:p>
            <w:pPr>
              <w:pStyle w:val="nTable"/>
            </w:pPr>
            <w:r>
              <w:t>15 Sep 1911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 w:name="_Toc457466929"/>
      <w:bookmarkStart w:id="15" w:name="_Toc472583105"/>
      <w:r>
        <w:t>Provisions that have not come into operation</w:t>
      </w:r>
      <w:bookmarkEnd w:id="14"/>
      <w:bookmarkEnd w:id="1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Public Health (Consequential Provisions) Act 2016</w:t>
            </w:r>
            <w:r>
              <w:t xml:space="preserve"> s. 205(b)</w:t>
            </w:r>
            <w:r>
              <w:rPr>
                <w:vertAlign w:val="superscript"/>
              </w:rPr>
              <w:t> 2</w:t>
            </w:r>
          </w:p>
        </w:tc>
        <w:tc>
          <w:tcPr>
            <w:tcW w:w="1134" w:type="dxa"/>
            <w:tcBorders>
              <w:bottom w:val="single" w:sz="4" w:space="0" w:color="auto"/>
            </w:tcBorders>
          </w:tcPr>
          <w:p>
            <w:pPr>
              <w:pStyle w:val="nTable"/>
              <w:spacing w:after="40"/>
            </w:pPr>
            <w:r>
              <w:t>19 of 2016</w:t>
            </w:r>
          </w:p>
        </w:tc>
        <w:tc>
          <w:tcPr>
            <w:tcW w:w="1134" w:type="dxa"/>
            <w:tcBorders>
              <w:bottom w:val="single" w:sz="4" w:space="0" w:color="auto"/>
            </w:tcBorders>
          </w:tcPr>
          <w:p>
            <w:pPr>
              <w:pStyle w:val="nTable"/>
              <w:spacing w:after="40"/>
            </w:pPr>
            <w:r>
              <w:t>25 Jul 2016</w:t>
            </w:r>
          </w:p>
        </w:tc>
        <w:tc>
          <w:tcPr>
            <w:tcW w:w="2552" w:type="dxa"/>
            <w:tcBorders>
              <w:bottom w:val="single" w:sz="4" w:space="0" w:color="auto"/>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rPr>
        <w:t>Public Health (Consequential Provisions) Act 2016</w:t>
      </w:r>
      <w:r>
        <w:t xml:space="preserve"> s. 205(b)</w:t>
      </w:r>
      <w:r>
        <w:rPr>
          <w:snapToGrid w:val="0"/>
        </w:rPr>
        <w:t xml:space="preserve"> had not come into operation.  It reads as follows:</w:t>
      </w:r>
    </w:p>
    <w:p>
      <w:pPr>
        <w:pStyle w:val="BlankOpen"/>
      </w:pPr>
    </w:p>
    <w:p>
      <w:pPr>
        <w:pStyle w:val="nzHeading5"/>
      </w:pPr>
      <w:bookmarkStart w:id="16" w:name="_Toc456087489"/>
      <w:bookmarkStart w:id="17" w:name="_Toc457226699"/>
      <w:r>
        <w:rPr>
          <w:rStyle w:val="CharSectno"/>
        </w:rPr>
        <w:t>205</w:t>
      </w:r>
      <w:r>
        <w:t>.</w:t>
      </w:r>
      <w:r>
        <w:tab/>
        <w:t>Subsidiary legislation repealed</w:t>
      </w:r>
      <w:bookmarkEnd w:id="16"/>
      <w:bookmarkEnd w:id="17"/>
    </w:p>
    <w:p>
      <w:pPr>
        <w:pStyle w:val="nzSubsection"/>
      </w:pPr>
      <w:r>
        <w:tab/>
      </w:r>
      <w:r>
        <w:tab/>
        <w:t>This subsidiary legislation is repealed:</w:t>
      </w:r>
    </w:p>
    <w:p>
      <w:pPr>
        <w:pStyle w:val="nzIndenta"/>
      </w:pPr>
      <w:r>
        <w:tab/>
        <w:t>(b)</w:t>
      </w:r>
      <w:r>
        <w:tab/>
        <w:t xml:space="preserve">the </w:t>
      </w:r>
      <w:r>
        <w:rPr>
          <w:i/>
        </w:rPr>
        <w:t>Form for Result of Sample Analysis Regulations</w:t>
      </w:r>
      <w:r>
        <w:t>;</w:t>
      </w:r>
    </w:p>
    <w:p>
      <w:pPr>
        <w:pStyle w:val="BlankClose"/>
      </w:pPr>
    </w:p>
    <w:p/>
    <w:p>
      <w:pPr>
        <w:sectPr>
          <w:headerReference w:type="even" r:id="rId31"/>
          <w:headerReference w:type="default" r:id="rId32"/>
          <w:headerReference w:type="first" r:id="rId33"/>
          <w:type w:val="continuous"/>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2976"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25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7" w:name="Schedule"/>
    <w:bookmarkEnd w:id="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Form for Result of Sample Analysis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Form for Result of Sample Analysis Regulations</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028"/>
    <w:docVar w:name="WAFER_20140123142305" w:val="RemoveTocBookmarks,RemoveUnusedBookmarks,RemoveLanguageTags,UsedStyles,ResetPageSize,UpdateArrangement"/>
    <w:docVar w:name="WAFER_20140123142305_GUID" w:val="b0366f3c-8f4f-489c-816f-468f913f08d7"/>
    <w:docVar w:name="WAFER_20140123145148" w:val="RemoveTocBookmarks,RunningHeaders"/>
    <w:docVar w:name="WAFER_20140123145148_GUID" w:val="e089c10f-750a-48cf-95df-5fc501b8fd7f"/>
    <w:docVar w:name="WAFER_20150506114220" w:val="ResetPageSize,UpdateArrangement,UpdateNTable"/>
    <w:docVar w:name="WAFER_20150506114220_GUID" w:val="cfb2b688-5236-497c-8677-0f75b83d24f4"/>
    <w:docVar w:name="WAFER_20151105105028" w:val="UpdateStyles,UsedStyles"/>
    <w:docVar w:name="WAFER_20151105105028_GUID" w:val="e1c4c914-a02e-481b-9bbd-20e613f1e64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pPr>
      <w:spacing w:before="40"/>
    </w:pPr>
    <w:rPr>
      <w:sz w:val="19"/>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rPr>
  </w:style>
  <w:style w:type="paragraph" w:customStyle="1" w:styleId="IndentA0">
    <w:name w:val="Indent(A)"/>
    <w:pPr>
      <w:keepLines/>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keepLines/>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16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6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pPr>
      <w:spacing w:before="40"/>
    </w:pPr>
    <w:rPr>
      <w:sz w:val="19"/>
    </w:rPr>
  </w:style>
  <w:style w:type="paragraph" w:customStyle="1" w:styleId="nzTable">
    <w:name w:val="n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rPr>
  </w:style>
  <w:style w:type="paragraph" w:customStyle="1" w:styleId="CentredBaseLine">
    <w:name w:val="CentredBaseLine"/>
    <w:pPr>
      <w:suppressLineNumbers/>
      <w:spacing w:before="240"/>
    </w:pPr>
    <w:rPr>
      <w:noProof/>
    </w:rPr>
  </w:style>
  <w:style w:type="paragraph" w:customStyle="1" w:styleId="MadeBy">
    <w:name w:val="MadeBy"/>
    <w:pPr>
      <w:spacing w:before="600"/>
    </w:pPr>
    <w:rPr>
      <w:noProof/>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NumberedItem">
    <w:name w:val="yNumberedItem"/>
    <w:pPr>
      <w:spacing w:before="120"/>
      <w:ind w:left="879" w:hanging="879"/>
    </w:pPr>
    <w:rPr>
      <w:sz w:val="22"/>
    </w:rPr>
  </w:style>
  <w:style w:type="paragraph" w:customStyle="1" w:styleId="yEdnotenumbereditem">
    <w:name w:val="yEdnote(numbereditem)"/>
    <w:basedOn w:val="yNumberedItem"/>
    <w:rPr>
      <w:i/>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669</Words>
  <Characters>3321</Characters>
  <Application>Microsoft Office Word</Application>
  <DocSecurity>0</DocSecurity>
  <Lines>127</Lines>
  <Paragraphs>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3898</CharactersWithSpaces>
  <SharedDoc>false</SharedDoc>
  <HLinks>
    <vt:vector size="6" baseType="variant">
      <vt:variant>
        <vt:i4>1114115</vt:i4>
      </vt:variant>
      <vt:variant>
        <vt:i4>2581</vt:i4>
      </vt:variant>
      <vt:variant>
        <vt:i4>1025</vt:i4>
      </vt:variant>
      <vt:variant>
        <vt:i4>1</vt:i4>
      </vt:variant>
      <vt:variant>
        <vt:lpwstr>brace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Result of Sample Analysis Regulations - 00-b0-01</dc:title>
  <dc:subject/>
  <dc:creator/>
  <cp:keywords/>
  <dc:description/>
  <cp:lastModifiedBy>svcMRProcess</cp:lastModifiedBy>
  <cp:revision>4</cp:revision>
  <cp:lastPrinted>1998-11-13T04:50:00Z</cp:lastPrinted>
  <dcterms:created xsi:type="dcterms:W3CDTF">2017-01-19T02:16:00Z</dcterms:created>
  <dcterms:modified xsi:type="dcterms:W3CDTF">2017-01-19T02:16:00Z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September 1911 p.3671</vt:lpwstr>
  </property>
  <property fmtid="{D5CDD505-2E9C-101B-9397-08002B2CF9AE}" pid="3" name="DocumentType">
    <vt:lpwstr>Reg</vt:lpwstr>
  </property>
  <property fmtid="{D5CDD505-2E9C-101B-9397-08002B2CF9AE}" pid="4" name="OwlsUID">
    <vt:i4>4454</vt:i4>
  </property>
  <property fmtid="{D5CDD505-2E9C-101B-9397-08002B2CF9AE}" pid="5" name="AsAtDate">
    <vt:lpwstr>25 Jul 2016</vt:lpwstr>
  </property>
  <property fmtid="{D5CDD505-2E9C-101B-9397-08002B2CF9AE}" pid="6" name="Suffix">
    <vt:lpwstr>00-b0-01</vt:lpwstr>
  </property>
  <property fmtid="{D5CDD505-2E9C-101B-9397-08002B2CF9AE}" pid="7" name="CommencementDate">
    <vt:lpwstr>20160725</vt:lpwstr>
  </property>
</Properties>
</file>