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(Transport)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Dangerous Goods (Transport) (Explosives by Water) Regulations 1999</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Dangerous Goods (Transport) (Dangerous Goods in Ports) Regulations 2001 </w:t>
      </w:r>
      <w:r>
        <w:rPr>
          <w:color w:val="000000"/>
          <w:sz w:val="22"/>
          <w:szCs w:val="22"/>
        </w:rPr>
        <w:t xml:space="preserve">r. 49 as at 1 Feb 2002 (see </w:t>
      </w:r>
      <w:r>
        <w:rPr>
          <w:i/>
          <w:color w:val="000000"/>
          <w:sz w:val="22"/>
          <w:szCs w:val="22"/>
        </w:rPr>
        <w:t>Gazette</w:t>
      </w:r>
      <w:r>
        <w:rPr>
          <w:color w:val="000000"/>
          <w:sz w:val="22"/>
          <w:szCs w:val="22"/>
        </w:rPr>
        <w:t xml:space="preserve"> 22 Jan 2002 p. 354).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(Explosives by Water)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_Toc425774476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_Toc425774477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_Toc425774478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_Toc425774479 \h </w:instrText>
      </w:r>
      <w:r>
        <w:fldChar w:fldCharType="separate"/>
      </w:r>
      <w:r>
        <w:t>2</w:t>
      </w:r>
      <w:r>
        <w:fldChar w:fldCharType="end"/>
      </w:r>
    </w:p>
    <w:p>
      <w:pPr>
        <w:pStyle w:val="TOC8"/>
        <w:rPr>
          <w:rFonts w:asciiTheme="minorHAnsi" w:eastAsiaTheme="minorEastAsia" w:hAnsiTheme="minorHAnsi" w:cstheme="minorBidi"/>
          <w:szCs w:val="22"/>
        </w:rPr>
      </w:pPr>
      <w:r>
        <w:t>5.</w:t>
      </w:r>
      <w:r>
        <w:tab/>
        <w:t>Codes and standards</w:t>
      </w:r>
      <w:r>
        <w:tab/>
      </w:r>
      <w:r>
        <w:fldChar w:fldCharType="begin"/>
      </w:r>
      <w:r>
        <w:instrText xml:space="preserve"> PAGEREF _Toc425774480 \h </w:instrText>
      </w:r>
      <w:r>
        <w:fldChar w:fldCharType="separate"/>
      </w:r>
      <w:r>
        <w:t>2</w:t>
      </w:r>
      <w:r>
        <w:fldChar w:fldCharType="end"/>
      </w:r>
    </w:p>
    <w:p>
      <w:pPr>
        <w:pStyle w:val="TOC8"/>
        <w:rPr>
          <w:rFonts w:asciiTheme="minorHAnsi" w:eastAsiaTheme="minorEastAsia" w:hAnsiTheme="minorHAnsi" w:cstheme="minorBidi"/>
          <w:szCs w:val="22"/>
        </w:rPr>
      </w:pPr>
      <w:r>
        <w:t>6.</w:t>
      </w:r>
      <w:r>
        <w:tab/>
        <w:t>Explosives</w:t>
      </w:r>
      <w:r>
        <w:tab/>
      </w:r>
      <w:r>
        <w:fldChar w:fldCharType="begin"/>
      </w:r>
      <w:r>
        <w:instrText xml:space="preserve"> PAGEREF _Toc425774481 \h </w:instrText>
      </w:r>
      <w:r>
        <w:fldChar w:fldCharType="separate"/>
      </w:r>
      <w:r>
        <w:t>3</w:t>
      </w:r>
      <w:r>
        <w:fldChar w:fldCharType="end"/>
      </w:r>
    </w:p>
    <w:p>
      <w:pPr>
        <w:pStyle w:val="TOC8"/>
        <w:rPr>
          <w:rFonts w:asciiTheme="minorHAnsi" w:eastAsiaTheme="minorEastAsia" w:hAnsiTheme="minorHAnsi" w:cstheme="minorBidi"/>
          <w:szCs w:val="22"/>
        </w:rPr>
      </w:pPr>
      <w:r>
        <w:t>7.</w:t>
      </w:r>
      <w:r>
        <w:tab/>
        <w:t>Classes of explosives</w:t>
      </w:r>
      <w:r>
        <w:tab/>
      </w:r>
      <w:r>
        <w:fldChar w:fldCharType="begin"/>
      </w:r>
      <w:r>
        <w:instrText xml:space="preserve"> PAGEREF _Toc425774482 \h </w:instrText>
      </w:r>
      <w:r>
        <w:fldChar w:fldCharType="separate"/>
      </w:r>
      <w:r>
        <w:t>3</w:t>
      </w:r>
      <w:r>
        <w:fldChar w:fldCharType="end"/>
      </w:r>
    </w:p>
    <w:p>
      <w:pPr>
        <w:pStyle w:val="TOC8"/>
        <w:rPr>
          <w:rFonts w:asciiTheme="minorHAnsi" w:eastAsiaTheme="minorEastAsia" w:hAnsiTheme="minorHAnsi" w:cstheme="minorBidi"/>
          <w:szCs w:val="22"/>
        </w:rPr>
      </w:pPr>
      <w:r>
        <w:t>8.</w:t>
      </w:r>
      <w:r>
        <w:tab/>
        <w:t>Divisions of explosives</w:t>
      </w:r>
      <w:r>
        <w:tab/>
      </w:r>
      <w:r>
        <w:fldChar w:fldCharType="begin"/>
      </w:r>
      <w:r>
        <w:instrText xml:space="preserve"> PAGEREF _Toc425774483 \h </w:instrText>
      </w:r>
      <w:r>
        <w:fldChar w:fldCharType="separate"/>
      </w:r>
      <w:r>
        <w:t>4</w:t>
      </w:r>
      <w:r>
        <w:fldChar w:fldCharType="end"/>
      </w:r>
    </w:p>
    <w:p>
      <w:pPr>
        <w:pStyle w:val="TOC8"/>
        <w:rPr>
          <w:rFonts w:asciiTheme="minorHAnsi" w:eastAsiaTheme="minorEastAsia" w:hAnsiTheme="minorHAnsi" w:cstheme="minorBidi"/>
          <w:szCs w:val="22"/>
        </w:rPr>
      </w:pPr>
      <w:r>
        <w:t>9.</w:t>
      </w:r>
      <w:r>
        <w:tab/>
        <w:t>Prime contractors</w:t>
      </w:r>
      <w:r>
        <w:tab/>
      </w:r>
      <w:r>
        <w:fldChar w:fldCharType="begin"/>
      </w:r>
      <w:r>
        <w:instrText xml:space="preserve"> PAGEREF _Toc425774484 \h </w:instrText>
      </w:r>
      <w:r>
        <w:fldChar w:fldCharType="separate"/>
      </w:r>
      <w:r>
        <w:t>5</w:t>
      </w:r>
      <w:r>
        <w:fldChar w:fldCharType="end"/>
      </w:r>
    </w:p>
    <w:p>
      <w:pPr>
        <w:pStyle w:val="TOC8"/>
        <w:rPr>
          <w:rFonts w:asciiTheme="minorHAnsi" w:eastAsiaTheme="minorEastAsia" w:hAnsiTheme="minorHAnsi" w:cstheme="minorBidi"/>
          <w:szCs w:val="22"/>
        </w:rPr>
      </w:pPr>
      <w:r>
        <w:t>10.</w:t>
      </w:r>
      <w:r>
        <w:tab/>
        <w:t>Owners</w:t>
      </w:r>
      <w:r>
        <w:tab/>
      </w:r>
      <w:r>
        <w:fldChar w:fldCharType="begin"/>
      </w:r>
      <w:r>
        <w:instrText xml:space="preserve"> PAGEREF _Toc425774485 \h </w:instrText>
      </w:r>
      <w:r>
        <w:fldChar w:fldCharType="separate"/>
      </w:r>
      <w:r>
        <w:t>5</w:t>
      </w:r>
      <w:r>
        <w:fldChar w:fldCharType="end"/>
      </w:r>
    </w:p>
    <w:p>
      <w:pPr>
        <w:pStyle w:val="TOC8"/>
        <w:rPr>
          <w:rFonts w:asciiTheme="minorHAnsi" w:eastAsiaTheme="minorEastAsia" w:hAnsiTheme="minorHAnsi" w:cstheme="minorBidi"/>
          <w:szCs w:val="22"/>
        </w:rPr>
      </w:pPr>
      <w:r>
        <w:t>11.</w:t>
      </w:r>
      <w:r>
        <w:tab/>
        <w:t>Penalties</w:t>
      </w:r>
      <w:r>
        <w:tab/>
      </w:r>
      <w:r>
        <w:fldChar w:fldCharType="begin"/>
      </w:r>
      <w:r>
        <w:instrText xml:space="preserve"> PAGEREF _Toc425774486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Transporting explosives by water</w:t>
      </w:r>
    </w:p>
    <w:p>
      <w:pPr>
        <w:pStyle w:val="TOC8"/>
        <w:rPr>
          <w:rFonts w:asciiTheme="minorHAnsi" w:eastAsiaTheme="minorEastAsia" w:hAnsiTheme="minorHAnsi" w:cstheme="minorBidi"/>
          <w:szCs w:val="22"/>
        </w:rPr>
      </w:pPr>
      <w:r>
        <w:t>12.</w:t>
      </w:r>
      <w:r>
        <w:tab/>
        <w:t>Interpretation</w:t>
      </w:r>
      <w:r>
        <w:tab/>
      </w:r>
      <w:r>
        <w:fldChar w:fldCharType="begin"/>
      </w:r>
      <w:r>
        <w:instrText xml:space="preserve"> PAGEREF _Toc425774488 \h </w:instrText>
      </w:r>
      <w:r>
        <w:fldChar w:fldCharType="separate"/>
      </w:r>
      <w:r>
        <w:t>6</w:t>
      </w:r>
      <w:r>
        <w:fldChar w:fldCharType="end"/>
      </w:r>
    </w:p>
    <w:p>
      <w:pPr>
        <w:pStyle w:val="TOC8"/>
        <w:rPr>
          <w:rFonts w:asciiTheme="minorHAnsi" w:eastAsiaTheme="minorEastAsia" w:hAnsiTheme="minorHAnsi" w:cstheme="minorBidi"/>
          <w:szCs w:val="22"/>
        </w:rPr>
      </w:pPr>
      <w:r>
        <w:t>13.</w:t>
      </w:r>
      <w:r>
        <w:tab/>
        <w:t>Requirements for packaged explosives</w:t>
      </w:r>
      <w:r>
        <w:tab/>
      </w:r>
      <w:r>
        <w:fldChar w:fldCharType="begin"/>
      </w:r>
      <w:r>
        <w:instrText xml:space="preserve"> PAGEREF _Toc425774489 \h </w:instrText>
      </w:r>
      <w:r>
        <w:fldChar w:fldCharType="separate"/>
      </w:r>
      <w:r>
        <w:t>7</w:t>
      </w:r>
      <w:r>
        <w:fldChar w:fldCharType="end"/>
      </w:r>
    </w:p>
    <w:p>
      <w:pPr>
        <w:pStyle w:val="TOC8"/>
        <w:rPr>
          <w:rFonts w:asciiTheme="minorHAnsi" w:eastAsiaTheme="minorEastAsia" w:hAnsiTheme="minorHAnsi" w:cstheme="minorBidi"/>
          <w:szCs w:val="22"/>
        </w:rPr>
      </w:pPr>
      <w:r>
        <w:t>14.</w:t>
      </w:r>
      <w:r>
        <w:tab/>
        <w:t>Incompatible explosives to be segregated</w:t>
      </w:r>
      <w:r>
        <w:tab/>
      </w:r>
      <w:r>
        <w:fldChar w:fldCharType="begin"/>
      </w:r>
      <w:r>
        <w:instrText xml:space="preserve"> PAGEREF _Toc425774490 \h </w:instrText>
      </w:r>
      <w:r>
        <w:fldChar w:fldCharType="separate"/>
      </w:r>
      <w:r>
        <w:t>7</w:t>
      </w:r>
      <w:r>
        <w:fldChar w:fldCharType="end"/>
      </w:r>
    </w:p>
    <w:p>
      <w:pPr>
        <w:pStyle w:val="TOC8"/>
        <w:rPr>
          <w:rFonts w:asciiTheme="minorHAnsi" w:eastAsiaTheme="minorEastAsia" w:hAnsiTheme="minorHAnsi" w:cstheme="minorBidi"/>
          <w:szCs w:val="22"/>
        </w:rPr>
      </w:pPr>
      <w:r>
        <w:t>15.</w:t>
      </w:r>
      <w:r>
        <w:tab/>
        <w:t>Certain explosives not to be transported without approval</w:t>
      </w:r>
      <w:r>
        <w:tab/>
      </w:r>
      <w:r>
        <w:fldChar w:fldCharType="begin"/>
      </w:r>
      <w:r>
        <w:instrText xml:space="preserve"> PAGEREF _Toc425774491 \h </w:instrText>
      </w:r>
      <w:r>
        <w:fldChar w:fldCharType="separate"/>
      </w:r>
      <w:r>
        <w:t>7</w:t>
      </w:r>
      <w:r>
        <w:fldChar w:fldCharType="end"/>
      </w:r>
    </w:p>
    <w:p>
      <w:pPr>
        <w:pStyle w:val="TOC8"/>
        <w:rPr>
          <w:rFonts w:asciiTheme="minorHAnsi" w:eastAsiaTheme="minorEastAsia" w:hAnsiTheme="minorHAnsi" w:cstheme="minorBidi"/>
          <w:szCs w:val="22"/>
        </w:rPr>
      </w:pPr>
      <w:r>
        <w:t>16.</w:t>
      </w:r>
      <w:r>
        <w:tab/>
        <w:t>Approval of accountable persons</w:t>
      </w:r>
      <w:r>
        <w:tab/>
      </w:r>
      <w:r>
        <w:fldChar w:fldCharType="begin"/>
      </w:r>
      <w:r>
        <w:instrText xml:space="preserve"> PAGEREF _Toc425774492 \h </w:instrText>
      </w:r>
      <w:r>
        <w:fldChar w:fldCharType="separate"/>
      </w:r>
      <w:r>
        <w:t>7</w:t>
      </w:r>
      <w:r>
        <w:fldChar w:fldCharType="end"/>
      </w:r>
    </w:p>
    <w:p>
      <w:pPr>
        <w:pStyle w:val="TOC8"/>
        <w:rPr>
          <w:rFonts w:asciiTheme="minorHAnsi" w:eastAsiaTheme="minorEastAsia" w:hAnsiTheme="minorHAnsi" w:cstheme="minorBidi"/>
          <w:szCs w:val="22"/>
        </w:rPr>
      </w:pPr>
      <w:r>
        <w:t>17.</w:t>
      </w:r>
      <w:r>
        <w:tab/>
        <w:t>Explosives not to be in contact with iron</w:t>
      </w:r>
      <w:r>
        <w:tab/>
      </w:r>
      <w:r>
        <w:fldChar w:fldCharType="begin"/>
      </w:r>
      <w:r>
        <w:instrText xml:space="preserve"> PAGEREF _Toc425774493 \h </w:instrText>
      </w:r>
      <w:r>
        <w:fldChar w:fldCharType="separate"/>
      </w:r>
      <w:r>
        <w:t>8</w:t>
      </w:r>
      <w:r>
        <w:fldChar w:fldCharType="end"/>
      </w:r>
    </w:p>
    <w:p>
      <w:pPr>
        <w:pStyle w:val="TOC8"/>
        <w:rPr>
          <w:rFonts w:asciiTheme="minorHAnsi" w:eastAsiaTheme="minorEastAsia" w:hAnsiTheme="minorHAnsi" w:cstheme="minorBidi"/>
          <w:szCs w:val="22"/>
        </w:rPr>
      </w:pPr>
      <w:r>
        <w:t>18.</w:t>
      </w:r>
      <w:r>
        <w:tab/>
        <w:t>Explosives to be protected from elements</w:t>
      </w:r>
      <w:r>
        <w:tab/>
      </w:r>
      <w:r>
        <w:fldChar w:fldCharType="begin"/>
      </w:r>
      <w:r>
        <w:instrText xml:space="preserve"> PAGEREF _Toc425774494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Emergencies</w:t>
      </w:r>
    </w:p>
    <w:p>
      <w:pPr>
        <w:pStyle w:val="TOC8"/>
        <w:rPr>
          <w:rFonts w:asciiTheme="minorHAnsi" w:eastAsiaTheme="minorEastAsia" w:hAnsiTheme="minorHAnsi" w:cstheme="minorBidi"/>
          <w:szCs w:val="22"/>
        </w:rPr>
      </w:pPr>
      <w:r>
        <w:t>19.</w:t>
      </w:r>
      <w:r>
        <w:tab/>
        <w:t>Dangerous situations, duty to notify authorities</w:t>
      </w:r>
      <w:r>
        <w:tab/>
      </w:r>
      <w:r>
        <w:fldChar w:fldCharType="begin"/>
      </w:r>
      <w:r>
        <w:instrText xml:space="preserve"> PAGEREF _Toc425774496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_Toc425774498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Dangerous Goods (Transport) Act 1998</w:t>
      </w:r>
    </w:p>
    <w:p>
      <w:pPr>
        <w:pStyle w:val="NameofActReg"/>
        <w:spacing w:before="360" w:after="960"/>
      </w:pPr>
      <w:r>
        <w:t>Dangerous Goods (Transport) (Explosives by Water) Regulations 1999</w:t>
      </w:r>
    </w:p>
    <w:p>
      <w:pPr>
        <w:pStyle w:val="Heading2"/>
        <w:pageBreakBefore w:val="0"/>
      </w:pPr>
      <w:bookmarkStart w:id="3" w:name="_Toc379462944"/>
      <w:bookmarkStart w:id="4" w:name="_Toc425774451"/>
      <w:bookmarkStart w:id="5" w:name="_Toc42577447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9462945"/>
      <w:bookmarkStart w:id="7" w:name="_Toc425774476"/>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Water) Regulations 1999.</w:t>
      </w:r>
    </w:p>
    <w:p>
      <w:pPr>
        <w:pStyle w:val="Heading5"/>
        <w:rPr>
          <w:spacing w:val="-2"/>
        </w:rPr>
      </w:pPr>
      <w:bookmarkStart w:id="8" w:name="_Toc379462946"/>
      <w:bookmarkStart w:id="9" w:name="_Toc42577447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0" w:name="_Toc379462947"/>
      <w:bookmarkStart w:id="11" w:name="_Toc425774478"/>
      <w:r>
        <w:rPr>
          <w:rStyle w:val="CharSectno"/>
        </w:rPr>
        <w:t>3</w:t>
      </w:r>
      <w:r>
        <w:t>.</w:t>
      </w:r>
      <w:r>
        <w:tab/>
        <w:t>Interpretation</w:t>
      </w:r>
      <w:bookmarkEnd w:id="10"/>
      <w:bookmarkEnd w:id="11"/>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Class</w:t>
      </w:r>
      <w:r>
        <w:rPr>
          <w:b/>
        </w:rPr>
        <w:t>”</w:t>
      </w:r>
      <w:r>
        <w:t>, in relation to explosives, has the meaning given by regulation 7;</w:t>
      </w:r>
    </w:p>
    <w:p>
      <w:pPr>
        <w:pStyle w:val="Defstart"/>
      </w:pPr>
      <w:r>
        <w:tab/>
      </w:r>
      <w:r>
        <w:rPr>
          <w:b/>
        </w:rPr>
        <w:t>“</w:t>
      </w:r>
      <w:r>
        <w:rPr>
          <w:rStyle w:val="CharDefText"/>
        </w:rPr>
        <w:t>Division</w:t>
      </w:r>
      <w:r>
        <w:rPr>
          <w:b/>
        </w:rPr>
        <w:t>”</w:t>
      </w:r>
      <w:r>
        <w:t>, in relation to explosives, has the meaning given by regulation 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6;</w:t>
      </w:r>
    </w:p>
    <w:p>
      <w:pPr>
        <w:pStyle w:val="Defstart"/>
      </w:pPr>
      <w:r>
        <w:rPr>
          <w:b/>
        </w:rPr>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owner</w:t>
      </w:r>
      <w:r>
        <w:rPr>
          <w:b/>
        </w:rPr>
        <w:t>”</w:t>
      </w:r>
      <w:r>
        <w:t xml:space="preserve"> has the meaning given by regulation 10;</w:t>
      </w:r>
    </w:p>
    <w:p>
      <w:pPr>
        <w:pStyle w:val="Defstart"/>
      </w:pPr>
      <w:r>
        <w:tab/>
      </w:r>
      <w:r>
        <w:rPr>
          <w:b/>
        </w:rPr>
        <w:t>“</w:t>
      </w:r>
      <w:r>
        <w:rPr>
          <w:rStyle w:val="CharDefText"/>
        </w:rPr>
        <w:t>prime contractor</w:t>
      </w:r>
      <w:r>
        <w:rPr>
          <w:b/>
        </w:rPr>
        <w:t>”</w:t>
      </w:r>
      <w:r>
        <w:t xml:space="preserve"> has the meaning given by regulation 9;</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eleventh revised edition of the </w:t>
      </w:r>
      <w:r>
        <w:rPr>
          <w:i/>
        </w:rPr>
        <w:t>Recommendations on the Transport of Dangerous Goods</w:t>
      </w:r>
      <w:r>
        <w:t xml:space="preserve"> published by the United Nations; or</w:t>
      </w:r>
    </w:p>
    <w:p>
      <w:pPr>
        <w:pStyle w:val="Defpara"/>
      </w:pPr>
      <w:r>
        <w:tab/>
        <w:t>(b)</w:t>
      </w:r>
      <w:r>
        <w:tab/>
        <w:t xml:space="preserve">the third revised edition of the </w:t>
      </w:r>
      <w:r>
        <w:rPr>
          <w:i/>
        </w:rPr>
        <w:t>Recommendations on the Transport of Dangerous Goods, Manual of Tests and Criteria</w:t>
      </w:r>
      <w:r>
        <w:t xml:space="preserve"> published by the United Nations;</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Examples and notes in these regulations are provided to assist understanding and do not form part of these regulations.</w:t>
      </w:r>
    </w:p>
    <w:p>
      <w:pPr>
        <w:pStyle w:val="Footnotesection"/>
      </w:pPr>
      <w:r>
        <w:tab/>
        <w:t>[Regulation 3 amended in Gazette 18 August 2000 pp.4774-5.]</w:t>
      </w:r>
    </w:p>
    <w:p>
      <w:pPr>
        <w:pStyle w:val="Heading5"/>
      </w:pPr>
      <w:bookmarkStart w:id="12" w:name="_Toc379462948"/>
      <w:bookmarkStart w:id="13" w:name="_Toc425774479"/>
      <w:r>
        <w:rPr>
          <w:rStyle w:val="CharSectno"/>
        </w:rPr>
        <w:t>4</w:t>
      </w:r>
      <w:r>
        <w:t>.</w:t>
      </w:r>
      <w:r>
        <w:tab/>
        <w:t>Application</w:t>
      </w:r>
      <w:bookmarkEnd w:id="12"/>
      <w:bookmarkEnd w:id="13"/>
    </w:p>
    <w:p>
      <w:pPr>
        <w:pStyle w:val="Subsection"/>
      </w:pPr>
      <w:r>
        <w:tab/>
      </w:r>
      <w:r>
        <w:tab/>
        <w:t>These regulations do not apply to the transport of explosives by an authorized officer, or an officer of an emergency service, to the extent necessary to avert, eliminate or minimize a dangerous situation.</w:t>
      </w:r>
    </w:p>
    <w:p>
      <w:pPr>
        <w:pStyle w:val="Heading5"/>
      </w:pPr>
      <w:bookmarkStart w:id="14" w:name="_Toc379462949"/>
      <w:bookmarkStart w:id="15" w:name="_Toc425774480"/>
      <w:r>
        <w:rPr>
          <w:rStyle w:val="CharSectno"/>
        </w:rPr>
        <w:t>5</w:t>
      </w:r>
      <w:r>
        <w:t>.</w:t>
      </w:r>
      <w:r>
        <w:tab/>
        <w:t>Codes and standards</w:t>
      </w:r>
      <w:bookmarkEnd w:id="14"/>
      <w:bookmarkEnd w:id="15"/>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16" w:name="_Toc379462950"/>
      <w:bookmarkStart w:id="17" w:name="_Toc425774481"/>
      <w:r>
        <w:rPr>
          <w:rStyle w:val="CharSectno"/>
        </w:rPr>
        <w:t>6</w:t>
      </w:r>
      <w:r>
        <w:t>.</w:t>
      </w:r>
      <w:r>
        <w:tab/>
        <w:t>Explosives</w:t>
      </w:r>
      <w:bookmarkEnd w:id="16"/>
      <w:bookmarkEnd w:id="17"/>
    </w:p>
    <w:p>
      <w:pPr>
        <w:pStyle w:val="Subsection"/>
        <w:keepNext/>
      </w:pPr>
      <w:r>
        <w:tab/>
      </w:r>
      <w:r>
        <w:tab/>
        <w:t>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6 in that Table;</w:t>
      </w:r>
    </w:p>
    <w:p>
      <w:pPr>
        <w:pStyle w:val="Indenta"/>
      </w:pPr>
      <w:r>
        <w:tab/>
        <w:t>(c)</w:t>
      </w:r>
      <w:r>
        <w:tab/>
        <w:t>are determined by a Competent Authority to be explosives; or</w:t>
      </w:r>
    </w:p>
    <w:p>
      <w:pPr>
        <w:pStyle w:val="Indenta"/>
      </w:pPr>
      <w:r>
        <w:tab/>
        <w:t>(d)</w:t>
      </w:r>
      <w:r>
        <w:tab/>
        <w:t>satisfy the UN dangerous goods tests and criteria for determining whether goods are dangerous goods of Class 1.</w:t>
      </w:r>
    </w:p>
    <w:p>
      <w:pPr>
        <w:pStyle w:val="Footnotesection"/>
      </w:pPr>
      <w:r>
        <w:tab/>
        <w:t>[Regulation 6 amended in Gazette 18 August 2000 p.4775.]</w:t>
      </w:r>
    </w:p>
    <w:p>
      <w:pPr>
        <w:pStyle w:val="Heading5"/>
      </w:pPr>
      <w:bookmarkStart w:id="18" w:name="_Toc379462951"/>
      <w:bookmarkStart w:id="19" w:name="_Toc425774482"/>
      <w:r>
        <w:rPr>
          <w:rStyle w:val="CharSectno"/>
        </w:rPr>
        <w:t>7</w:t>
      </w:r>
      <w:r>
        <w:t>.</w:t>
      </w:r>
      <w:r>
        <w:tab/>
        <w:t>Classes of explosives</w:t>
      </w:r>
      <w:bookmarkEnd w:id="18"/>
      <w:bookmarkEnd w:id="19"/>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the UN dangerous goods tests and criteria for assignment to that Classification Code.</w:t>
      </w:r>
    </w:p>
    <w:p>
      <w:pPr>
        <w:pStyle w:val="Footnotesection"/>
      </w:pPr>
      <w:r>
        <w:tab/>
        <w:t>[Regulation 7 amended in Gazette 18 August 2000 p.4775.]</w:t>
      </w:r>
    </w:p>
    <w:p>
      <w:pPr>
        <w:pStyle w:val="Heading5"/>
      </w:pPr>
      <w:bookmarkStart w:id="20" w:name="_Toc379462952"/>
      <w:bookmarkStart w:id="21" w:name="_Toc425774483"/>
      <w:r>
        <w:rPr>
          <w:rStyle w:val="CharSectno"/>
        </w:rPr>
        <w:t>8</w:t>
      </w:r>
      <w:r>
        <w:t>.</w:t>
      </w:r>
      <w:r>
        <w:tab/>
        <w:t>Divisions of explosives</w:t>
      </w:r>
      <w:bookmarkEnd w:id="20"/>
      <w:bookmarkEnd w:id="21"/>
    </w:p>
    <w:p>
      <w:pPr>
        <w:pStyle w:val="Subsection"/>
      </w:pPr>
      <w:r>
        <w:tab/>
      </w:r>
      <w:r>
        <w:tab/>
        <w:t>In these regulations and for the purposes of the Explosives Code when applying in this State —</w:t>
      </w:r>
    </w:p>
    <w:p>
      <w:pPr>
        <w:pStyle w:val="Defstart"/>
        <w:keepNex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PermNoteHeading"/>
      </w:pPr>
      <w:r>
        <w:tab/>
        <w:t>Example for this regulation:</w:t>
      </w:r>
    </w:p>
    <w:p>
      <w:pPr>
        <w:pStyle w:val="PermNoteText"/>
      </w:pPr>
      <w:r>
        <w:tab/>
      </w: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PermNoteText"/>
      </w:pPr>
      <w:r>
        <w:tab/>
      </w: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8 amended in Gazette 18 August 2000 p.4775.]</w:t>
      </w:r>
    </w:p>
    <w:p>
      <w:pPr>
        <w:pStyle w:val="Heading5"/>
      </w:pPr>
      <w:bookmarkStart w:id="22" w:name="_Toc379462953"/>
      <w:bookmarkStart w:id="23" w:name="_Toc425774484"/>
      <w:r>
        <w:rPr>
          <w:rStyle w:val="CharSectno"/>
        </w:rPr>
        <w:t>9</w:t>
      </w:r>
      <w:r>
        <w:t>.</w:t>
      </w:r>
      <w:r>
        <w:tab/>
        <w:t>Prime contractors</w:t>
      </w:r>
      <w:bookmarkEnd w:id="22"/>
      <w:bookmarkEnd w:id="23"/>
      <w:r>
        <w:t xml:space="preserve"> </w:t>
      </w:r>
    </w:p>
    <w:p>
      <w:pPr>
        <w:pStyle w:val="Subsection"/>
        <w:keepNext/>
      </w:pPr>
      <w:r>
        <w:tab/>
      </w:r>
      <w:r>
        <w:tab/>
        <w:t>A person is the prime contractor for the transport of explosives by water if the person, in conducting a business for or involving the transport of explosives by water, undertakes to be responsible, or is responsible, for the transport of the explosives by water.</w:t>
      </w:r>
    </w:p>
    <w:p>
      <w:pPr>
        <w:pStyle w:val="Heading5"/>
      </w:pPr>
      <w:bookmarkStart w:id="24" w:name="_Toc379462954"/>
      <w:bookmarkStart w:id="25" w:name="_Toc425774485"/>
      <w:r>
        <w:rPr>
          <w:rStyle w:val="CharSectno"/>
        </w:rPr>
        <w:t>10</w:t>
      </w:r>
      <w:r>
        <w:t>.</w:t>
      </w:r>
      <w:r>
        <w:tab/>
        <w:t>Owners</w:t>
      </w:r>
      <w:bookmarkEnd w:id="24"/>
      <w:bookmarkEnd w:id="25"/>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26" w:name="_Toc379462955"/>
      <w:bookmarkStart w:id="27" w:name="_Toc425774486"/>
      <w:r>
        <w:rPr>
          <w:rStyle w:val="CharSectno"/>
        </w:rPr>
        <w:t>11</w:t>
      </w:r>
      <w:r>
        <w:t>.</w:t>
      </w:r>
      <w:r>
        <w:tab/>
        <w:t>Penalties</w:t>
      </w:r>
      <w:bookmarkEnd w:id="26"/>
      <w:bookmarkEnd w:id="27"/>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28" w:name="_Toc379462956"/>
      <w:bookmarkStart w:id="29" w:name="_Toc425774463"/>
      <w:bookmarkStart w:id="30" w:name="_Toc425774487"/>
      <w:r>
        <w:rPr>
          <w:rStyle w:val="CharPartNo"/>
        </w:rPr>
        <w:t>Part 2</w:t>
      </w:r>
      <w:r>
        <w:rPr>
          <w:rStyle w:val="CharDivNo"/>
        </w:rPr>
        <w:t xml:space="preserve"> </w:t>
      </w:r>
      <w:r>
        <w:t>—</w:t>
      </w:r>
      <w:r>
        <w:rPr>
          <w:rStyle w:val="CharDivText"/>
        </w:rPr>
        <w:t xml:space="preserve"> </w:t>
      </w:r>
      <w:r>
        <w:rPr>
          <w:rStyle w:val="CharPartText"/>
        </w:rPr>
        <w:t>Transporting explosives by water</w:t>
      </w:r>
      <w:bookmarkEnd w:id="28"/>
      <w:bookmarkEnd w:id="29"/>
      <w:bookmarkEnd w:id="30"/>
    </w:p>
    <w:p>
      <w:pPr>
        <w:pStyle w:val="Heading5"/>
      </w:pPr>
      <w:bookmarkStart w:id="31" w:name="_Toc379462957"/>
      <w:bookmarkStart w:id="32" w:name="_Toc425774488"/>
      <w:r>
        <w:rPr>
          <w:rStyle w:val="CharSectno"/>
        </w:rPr>
        <w:t>12</w:t>
      </w:r>
      <w:r>
        <w:t>.</w:t>
      </w:r>
      <w:r>
        <w:tab/>
        <w:t>Interpretation</w:t>
      </w:r>
      <w:bookmarkEnd w:id="31"/>
      <w:bookmarkEnd w:id="32"/>
    </w:p>
    <w:p>
      <w:pPr>
        <w:pStyle w:val="Subsection"/>
      </w:pPr>
      <w:r>
        <w:tab/>
        <w:t>(1)</w:t>
      </w:r>
      <w:r>
        <w:tab/>
        <w:t>In this Part —</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 (Standards Association of Australia);</w:t>
      </w:r>
    </w:p>
    <w:p>
      <w:pPr>
        <w:pStyle w:val="Defstart"/>
      </w:pPr>
      <w:r>
        <w:tab/>
      </w:r>
      <w:r>
        <w:rPr>
          <w:b/>
        </w:rPr>
        <w:t>“</w:t>
      </w:r>
      <w:r>
        <w:rPr>
          <w:rStyle w:val="CharDefText"/>
        </w:rPr>
        <w:t>IMDG Code</w:t>
      </w:r>
      <w:r>
        <w:rPr>
          <w:b/>
        </w:rPr>
        <w:t>”</w:t>
      </w:r>
      <w:r>
        <w:t xml:space="preserve"> means the </w:t>
      </w:r>
      <w:r>
        <w:rPr>
          <w:i/>
        </w:rPr>
        <w:t>International Maritime Dangerous Goods Code</w:t>
      </w:r>
      <w:r>
        <w:t xml:space="preserve"> published by the International Maritime Organization;</w:t>
      </w:r>
    </w:p>
    <w:p>
      <w:pPr>
        <w:pStyle w:val="Defstart"/>
        <w:rPr>
          <w:spacing w:val="-2"/>
        </w:rPr>
      </w:pPr>
      <w:r>
        <w:rPr>
          <w:spacing w:val="-2"/>
        </w:rPr>
        <w:tab/>
      </w:r>
      <w:r>
        <w:rPr>
          <w:b/>
          <w:spacing w:val="-2"/>
        </w:rPr>
        <w:t>“</w:t>
      </w:r>
      <w:r>
        <w:rPr>
          <w:rStyle w:val="CharDefText"/>
          <w:spacing w:val="-2"/>
        </w:rPr>
        <w:t>high hazard load</w:t>
      </w:r>
      <w:r>
        <w:rPr>
          <w:b/>
          <w:spacing w:val="-2"/>
        </w:rPr>
        <w:t>”</w:t>
      </w:r>
      <w:r>
        <w:rPr>
          <w:spacing w:val="-2"/>
        </w:rPr>
        <w:t xml:space="preserve"> has the meaning given by subregulation (2);</w:t>
      </w:r>
    </w:p>
    <w:p>
      <w:pPr>
        <w:pStyle w:val="Defstart"/>
      </w:pPr>
      <w:r>
        <w:tab/>
      </w:r>
      <w:r>
        <w:rPr>
          <w:b/>
        </w:rPr>
        <w:t>“</w:t>
      </w:r>
      <w:r>
        <w:rPr>
          <w:rStyle w:val="CharDefText"/>
        </w:rPr>
        <w:t>packaged explosives</w:t>
      </w:r>
      <w:r>
        <w:rPr>
          <w:b/>
        </w:rPr>
        <w:t>”</w:t>
      </w:r>
      <w:r>
        <w:t xml:space="preserve"> means explosives that are in a package or container the capacity of which does not exceed 250 L; </w:t>
      </w:r>
    </w:p>
    <w:p>
      <w:pPr>
        <w:pStyle w:val="Defstart"/>
      </w:pPr>
      <w:r>
        <w:tab/>
      </w:r>
      <w:r>
        <w:rPr>
          <w:b/>
        </w:rPr>
        <w:t>“statutory</w:t>
      </w:r>
      <w:r>
        <w:rPr>
          <w:rStyle w:val="CharDefText"/>
        </w:rPr>
        <w:t xml:space="preserve"> port</w:t>
      </w:r>
      <w:r>
        <w:rPr>
          <w:b/>
        </w:rPr>
        <w:t>”</w:t>
      </w:r>
      <w:r>
        <w:t xml:space="preserve"> means —</w:t>
      </w:r>
    </w:p>
    <w:p>
      <w:pPr>
        <w:pStyle w:val="Defpara"/>
      </w:pPr>
      <w:r>
        <w:tab/>
        <w:t>(a)</w:t>
      </w:r>
      <w:r>
        <w:tab/>
        <w:t>a port authority port; or</w:t>
      </w:r>
    </w:p>
    <w:p>
      <w:pPr>
        <w:pStyle w:val="Defpara"/>
      </w:pPr>
      <w:r>
        <w:tab/>
        <w:t>(b)</w:t>
      </w:r>
      <w:r>
        <w:tab/>
        <w:t>a port,</w:t>
      </w:r>
    </w:p>
    <w:p>
      <w:pPr>
        <w:pStyle w:val="Defstart"/>
      </w:pPr>
      <w:r>
        <w:tab/>
      </w:r>
      <w:r>
        <w:tab/>
        <w:t xml:space="preserve">as defined in the </w:t>
      </w:r>
      <w:r>
        <w:rPr>
          <w:i/>
        </w:rPr>
        <w:t>Shipping and Pilotage Act 1967</w:t>
      </w:r>
      <w:r>
        <w:t>.</w:t>
      </w:r>
    </w:p>
    <w:p>
      <w:pPr>
        <w:pStyle w:val="Subsection"/>
      </w:pPr>
      <w:r>
        <w:tab/>
        <w:t>(2)</w:t>
      </w:r>
      <w:r>
        <w:tab/>
        <w:t xml:space="preserve">A </w:t>
      </w:r>
      <w:r>
        <w:rPr>
          <w:rStyle w:val="CharDefText"/>
          <w:b w:val="0"/>
        </w:rPr>
        <w:t>high hazard</w:t>
      </w:r>
      <w:r>
        <w:rPr>
          <w:b/>
        </w:rPr>
        <w:t xml:space="preserve"> </w:t>
      </w:r>
      <w:r>
        <w:t>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33" w:name="_Toc379462958"/>
      <w:bookmarkStart w:id="34" w:name="_Toc425774489"/>
      <w:r>
        <w:rPr>
          <w:rStyle w:val="CharSectno"/>
        </w:rPr>
        <w:t>13</w:t>
      </w:r>
      <w:r>
        <w:t>.</w:t>
      </w:r>
      <w:r>
        <w:tab/>
        <w:t>Requirements for packaged explosives</w:t>
      </w:r>
      <w:bookmarkEnd w:id="33"/>
      <w:bookmarkEnd w:id="34"/>
    </w:p>
    <w:p>
      <w:pPr>
        <w:pStyle w:val="Subsection"/>
      </w:pPr>
      <w:r>
        <w:tab/>
      </w:r>
      <w:r>
        <w:tab/>
        <w:t>A person involved in the transport of dangerous goods must ensure that packaged explosives that are to be transported by water are packaged and marked in accordance with —</w:t>
      </w:r>
    </w:p>
    <w:p>
      <w:pPr>
        <w:pStyle w:val="Indenta"/>
      </w:pPr>
      <w:r>
        <w:tab/>
        <w:t>(a)</w:t>
      </w:r>
      <w:r>
        <w:tab/>
        <w:t>the Explosives Code as if they were to be transported by road or rail; or</w:t>
      </w:r>
    </w:p>
    <w:p>
      <w:pPr>
        <w:pStyle w:val="Indenta"/>
        <w:keepNext/>
      </w:pPr>
      <w:r>
        <w:tab/>
        <w:t>(b)</w:t>
      </w:r>
      <w:r>
        <w:tab/>
        <w:t>the IMDG Code.</w:t>
      </w:r>
    </w:p>
    <w:p>
      <w:pPr>
        <w:pStyle w:val="Penstart"/>
      </w:pPr>
      <w:r>
        <w:tab/>
        <w:t>Penalty: $3 000.</w:t>
      </w:r>
    </w:p>
    <w:p>
      <w:pPr>
        <w:pStyle w:val="Heading5"/>
      </w:pPr>
      <w:bookmarkStart w:id="35" w:name="_Toc379462959"/>
      <w:bookmarkStart w:id="36" w:name="_Toc425774490"/>
      <w:r>
        <w:rPr>
          <w:rStyle w:val="CharSectno"/>
        </w:rPr>
        <w:t>14</w:t>
      </w:r>
      <w:r>
        <w:t>.</w:t>
      </w:r>
      <w:r>
        <w:tab/>
        <w:t>Incompatible explosives to be segregated</w:t>
      </w:r>
      <w:bookmarkEnd w:id="35"/>
      <w:bookmarkEnd w:id="36"/>
    </w:p>
    <w:p>
      <w:pPr>
        <w:pStyle w:val="Subsection"/>
      </w:pPr>
      <w:r>
        <w:tab/>
      </w:r>
      <w:r>
        <w:tab/>
        <w:t>An accountable person who transports explosives in a vessel must ensure they are segregated from other explosives and dangerous goods in accordance with section 4.4 of AS 3846.</w:t>
      </w:r>
    </w:p>
    <w:p>
      <w:pPr>
        <w:pStyle w:val="Penstart"/>
      </w:pPr>
      <w:r>
        <w:tab/>
        <w:t>Penalty: $3 000.</w:t>
      </w:r>
    </w:p>
    <w:p>
      <w:pPr>
        <w:pStyle w:val="Heading5"/>
      </w:pPr>
      <w:bookmarkStart w:id="37" w:name="_Toc379462960"/>
      <w:bookmarkStart w:id="38" w:name="_Toc425774491"/>
      <w:r>
        <w:rPr>
          <w:rStyle w:val="CharSectno"/>
        </w:rPr>
        <w:t>15</w:t>
      </w:r>
      <w:r>
        <w:t>.</w:t>
      </w:r>
      <w:r>
        <w:tab/>
        <w:t>Certain explosives not to be transported without approval</w:t>
      </w:r>
      <w:bookmarkEnd w:id="37"/>
      <w:bookmarkEnd w:id="38"/>
    </w:p>
    <w:p>
      <w:pPr>
        <w:pStyle w:val="Subsection"/>
      </w:pPr>
      <w:r>
        <w:tab/>
        <w:t>(1)</w:t>
      </w:r>
      <w:r>
        <w:tab/>
        <w:t>This regulation applies to the transport of a high hazard load by water if all or some of the explosives in the load are loaded or unloaded at a place other than a statutory port.</w:t>
      </w:r>
    </w:p>
    <w:p>
      <w:pPr>
        <w:pStyle w:val="Subsection"/>
      </w:pPr>
      <w:r>
        <w:tab/>
        <w:t>(2)</w:t>
      </w:r>
      <w:r>
        <w:tab/>
        <w:t>An accountable person in respect of a vessel must not transport a high hazard load on the vessel unless approved to do so by a Competent Authority under regulation 16.</w:t>
      </w:r>
    </w:p>
    <w:p>
      <w:pPr>
        <w:pStyle w:val="Penstart"/>
      </w:pPr>
      <w:r>
        <w:tab/>
        <w:t>Penalty: $3 000.</w:t>
      </w:r>
    </w:p>
    <w:p>
      <w:pPr>
        <w:pStyle w:val="Heading5"/>
      </w:pPr>
      <w:bookmarkStart w:id="39" w:name="_Toc379462961"/>
      <w:bookmarkStart w:id="40" w:name="_Toc425774492"/>
      <w:r>
        <w:rPr>
          <w:rStyle w:val="CharSectno"/>
        </w:rPr>
        <w:t>16</w:t>
      </w:r>
      <w:r>
        <w:t>.</w:t>
      </w:r>
      <w:r>
        <w:tab/>
        <w:t>Approval of accountable persons</w:t>
      </w:r>
      <w:bookmarkEnd w:id="39"/>
      <w:bookmarkEnd w:id="40"/>
    </w:p>
    <w:p>
      <w:pPr>
        <w:pStyle w:val="Subsection"/>
      </w:pPr>
      <w:r>
        <w:tab/>
        <w:t>(1)</w:t>
      </w:r>
      <w:r>
        <w:tab/>
        <w:t xml:space="preserve">A Competent Authority may approve an accountable person to transport a high hazard load by water if satisfied that the person has the skills and knowledge to transport the load safely. </w:t>
      </w:r>
    </w:p>
    <w:p>
      <w:pPr>
        <w:pStyle w:val="Subsection"/>
      </w:pPr>
      <w:r>
        <w:tab/>
        <w:t>(2)</w:t>
      </w:r>
      <w:r>
        <w:tab/>
        <w:t>The approval must be in writing.</w:t>
      </w:r>
    </w:p>
    <w:p>
      <w:pPr>
        <w:pStyle w:val="Subsection"/>
        <w:keepNext/>
      </w:pPr>
      <w:r>
        <w:tab/>
        <w:t>(3)</w:t>
      </w:r>
      <w:r>
        <w:tab/>
        <w:t>The approval may be in respect of —</w:t>
      </w:r>
    </w:p>
    <w:p>
      <w:pPr>
        <w:pStyle w:val="Indenta"/>
      </w:pPr>
      <w:r>
        <w:tab/>
        <w:t>(a)</w:t>
      </w:r>
      <w:r>
        <w:tab/>
        <w:t>a high hazard load described in the approval;</w:t>
      </w:r>
    </w:p>
    <w:p>
      <w:pPr>
        <w:pStyle w:val="Indenta"/>
      </w:pPr>
      <w:r>
        <w:tab/>
        <w:t>(b)</w:t>
      </w:r>
      <w:r>
        <w:tab/>
        <w:t>any high hazard load described in the approval that may be transported by the accountable person in a period specified in the approval; or</w:t>
      </w:r>
    </w:p>
    <w:p>
      <w:pPr>
        <w:pStyle w:val="Indenta"/>
      </w:pPr>
      <w:r>
        <w:tab/>
        <w:t>(c)</w:t>
      </w:r>
      <w:r>
        <w:tab/>
        <w:t>any high hazard load that may be transported by the accountable person in a period specified in the approval.</w:t>
      </w:r>
    </w:p>
    <w:p>
      <w:pPr>
        <w:pStyle w:val="Subsection"/>
      </w:pPr>
      <w:r>
        <w:tab/>
        <w:t>(4)</w:t>
      </w:r>
      <w:r>
        <w:tab/>
        <w:t>The approval may include any requirements that the Competent Authority considers necessary to ensure the explosives are transported safely.</w:t>
      </w:r>
    </w:p>
    <w:p>
      <w:pPr>
        <w:pStyle w:val="Subsection"/>
      </w:pPr>
      <w:r>
        <w:tab/>
        <w:t>(5)</w:t>
      </w:r>
      <w:r>
        <w:tab/>
        <w:t>A Competent Authority may at any time amend or cancel a requirement in an approval.</w:t>
      </w:r>
    </w:p>
    <w:p>
      <w:pPr>
        <w:pStyle w:val="Subsection"/>
      </w:pPr>
      <w:r>
        <w:tab/>
        <w:t>(6)</w:t>
      </w:r>
      <w:r>
        <w:tab/>
        <w:t>The accountable person must comply with any requirements in the approval.</w:t>
      </w:r>
    </w:p>
    <w:p>
      <w:pPr>
        <w:pStyle w:val="Penstart"/>
      </w:pPr>
      <w:r>
        <w:tab/>
        <w:t>Penalty: $3 000.</w:t>
      </w:r>
    </w:p>
    <w:p>
      <w:pPr>
        <w:pStyle w:val="Subsection"/>
      </w:pPr>
      <w:r>
        <w:tab/>
        <w:t>(7)</w:t>
      </w:r>
      <w:r>
        <w:tab/>
        <w:t xml:space="preserve">A person convicted of an offence under subregulation (6) may be punished for the offence even if the requirement contravened is subsequently amended or cancelled, despite section 11 of </w:t>
      </w:r>
      <w:r>
        <w:rPr>
          <w:i/>
        </w:rPr>
        <w:t>The Criminal Code</w:t>
      </w:r>
      <w:r>
        <w:t xml:space="preserve">. </w:t>
      </w:r>
    </w:p>
    <w:p>
      <w:pPr>
        <w:pStyle w:val="Subsection"/>
      </w:pPr>
      <w:r>
        <w:tab/>
        <w:t>(8)</w:t>
      </w:r>
      <w:r>
        <w:tab/>
        <w:t>If a Competent Authority has reasonable grounds for suspecting that the accountable person has not complied with the requirements in an approval, the Competent Authority may cancel the approval.</w:t>
      </w:r>
    </w:p>
    <w:p>
      <w:pPr>
        <w:pStyle w:val="Heading5"/>
      </w:pPr>
      <w:bookmarkStart w:id="41" w:name="_Toc379462962"/>
      <w:bookmarkStart w:id="42" w:name="_Toc425774493"/>
      <w:r>
        <w:rPr>
          <w:rStyle w:val="CharSectno"/>
        </w:rPr>
        <w:t>17</w:t>
      </w:r>
      <w:r>
        <w:t>.</w:t>
      </w:r>
      <w:r>
        <w:tab/>
        <w:t>Explosives not to be in contact with iron</w:t>
      </w:r>
      <w:bookmarkEnd w:id="41"/>
      <w:bookmarkEnd w:id="42"/>
    </w:p>
    <w:p>
      <w:pPr>
        <w:pStyle w:val="Subsection"/>
      </w:pPr>
      <w:r>
        <w:tab/>
      </w:r>
      <w:r>
        <w:tab/>
        <w:t>An accountable person who transports packaged explosives in a vessel constructed wholly or partly of iron or steel must ensure that the packages are protected from coming into contact with the iron or steel by fabric, wood or other non</w:t>
      </w:r>
      <w:r>
        <w:noBreakHyphen/>
        <w:t>ferrous material.</w:t>
      </w:r>
    </w:p>
    <w:p>
      <w:pPr>
        <w:pStyle w:val="Penstart"/>
      </w:pPr>
      <w:r>
        <w:tab/>
        <w:t>Penalty: $3 000.</w:t>
      </w:r>
    </w:p>
    <w:p>
      <w:pPr>
        <w:pStyle w:val="Heading5"/>
      </w:pPr>
      <w:bookmarkStart w:id="43" w:name="_Toc379462963"/>
      <w:bookmarkStart w:id="44" w:name="_Toc425774494"/>
      <w:r>
        <w:rPr>
          <w:rStyle w:val="CharSectno"/>
        </w:rPr>
        <w:t>18</w:t>
      </w:r>
      <w:r>
        <w:t>.</w:t>
      </w:r>
      <w:r>
        <w:tab/>
        <w:t>Explosives to be protected from elements</w:t>
      </w:r>
      <w:bookmarkEnd w:id="43"/>
      <w:bookmarkEnd w:id="44"/>
    </w:p>
    <w:p>
      <w:pPr>
        <w:pStyle w:val="Subsection"/>
        <w:keepNext/>
      </w:pPr>
      <w:r>
        <w:tab/>
      </w:r>
      <w:r>
        <w:tab/>
        <w:t>An accountable person who transports explosives in a vessel must ensure they are protected from exposure to the weather and water.</w:t>
      </w:r>
    </w:p>
    <w:p>
      <w:pPr>
        <w:pStyle w:val="Penstart"/>
      </w:pPr>
      <w:r>
        <w:tab/>
        <w:t>Penalty: $3 000.</w:t>
      </w:r>
    </w:p>
    <w:p>
      <w:pPr>
        <w:pStyle w:val="Heading2"/>
      </w:pPr>
      <w:bookmarkStart w:id="45" w:name="_Toc379462964"/>
      <w:bookmarkStart w:id="46" w:name="_Toc425774471"/>
      <w:bookmarkStart w:id="47" w:name="_Toc425774495"/>
      <w:r>
        <w:rPr>
          <w:rStyle w:val="CharPartNo"/>
        </w:rPr>
        <w:t>Part 3</w:t>
      </w:r>
      <w:r>
        <w:rPr>
          <w:rStyle w:val="CharDivNo"/>
        </w:rPr>
        <w:t xml:space="preserve"> </w:t>
      </w:r>
      <w:r>
        <w:t>—</w:t>
      </w:r>
      <w:r>
        <w:rPr>
          <w:rStyle w:val="CharDivText"/>
        </w:rPr>
        <w:t xml:space="preserve"> </w:t>
      </w:r>
      <w:r>
        <w:rPr>
          <w:rStyle w:val="CharPartText"/>
        </w:rPr>
        <w:t>Emergencies</w:t>
      </w:r>
      <w:bookmarkEnd w:id="45"/>
      <w:bookmarkEnd w:id="46"/>
      <w:bookmarkEnd w:id="47"/>
    </w:p>
    <w:p>
      <w:pPr>
        <w:pStyle w:val="Heading5"/>
      </w:pPr>
      <w:bookmarkStart w:id="48" w:name="_Toc379462965"/>
      <w:bookmarkStart w:id="49" w:name="_Toc425774496"/>
      <w:r>
        <w:rPr>
          <w:rStyle w:val="CharSectno"/>
        </w:rPr>
        <w:t>19</w:t>
      </w:r>
      <w:r>
        <w:t>.</w:t>
      </w:r>
      <w:r>
        <w:tab/>
        <w:t>Dangerous situations, duty to notify authorities</w:t>
      </w:r>
      <w:bookmarkEnd w:id="48"/>
      <w:bookmarkEnd w:id="49"/>
    </w:p>
    <w:p>
      <w:pPr>
        <w:pStyle w:val="Subsection"/>
      </w:pPr>
      <w:r>
        <w:tab/>
        <w:t>(1)</w:t>
      </w:r>
      <w:r>
        <w:tab/>
        <w:t>This regulation applies if a vessel transporting explosives by water, is involved in an incident resulting in a dangerous situation.</w:t>
      </w:r>
    </w:p>
    <w:p>
      <w:pPr>
        <w:pStyle w:val="Subsection"/>
      </w:pPr>
      <w:r>
        <w:tab/>
        <w:t>(2)</w:t>
      </w:r>
      <w:r>
        <w:tab/>
        <w:t>Each accountable person in relation to the vessel must as soon as practicable notify the prime contractor, and the police or fire service —</w:t>
      </w:r>
    </w:p>
    <w:p>
      <w:pPr>
        <w:pStyle w:val="Indenta"/>
      </w:pPr>
      <w:r>
        <w:tab/>
        <w:t>(a)</w:t>
      </w:r>
      <w:r>
        <w:tab/>
        <w:t>of the incident; and</w:t>
      </w:r>
    </w:p>
    <w:p>
      <w:pPr>
        <w:pStyle w:val="Indenta"/>
      </w:pPr>
      <w:r>
        <w:tab/>
        <w:t>(b)</w:t>
      </w:r>
      <w:r>
        <w:tab/>
        <w:t>of the shipping name, class and quantity of the explosives being transported.</w:t>
      </w:r>
    </w:p>
    <w:p>
      <w:pPr>
        <w:pStyle w:val="Subsection"/>
      </w:pPr>
      <w:r>
        <w:tab/>
        <w:t>(3)</w:t>
      </w:r>
      <w:r>
        <w:tab/>
        <w:t>The master and the owner of the vessel and the prime contractor must provide the reasonable assistance required by an authorized officer, or an officer of an emergency service, to deal with the situation.</w:t>
      </w:r>
    </w:p>
    <w:p>
      <w:pPr>
        <w:pStyle w:val="Subsection"/>
      </w:pPr>
      <w:r>
        <w:tab/>
        <w:t>(4)</w:t>
      </w:r>
      <w:r>
        <w:tab/>
        <w:t>As soon as practicable after the incident, each accountable person in relation to the vessel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keepNext/>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ByCommand"/>
        <w:sectPr>
          <w:headerReference w:type="even" r:id="rId21"/>
          <w:headerReference w:type="default" r:id="rId22"/>
          <w:headerReference w:type="first" r:id="rId23"/>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50" w:name="_Toc379462966"/>
      <w:bookmarkStart w:id="51" w:name="_Toc425774473"/>
      <w:bookmarkStart w:id="52" w:name="_Toc425774497"/>
      <w:r>
        <w:t>Notes</w:t>
      </w:r>
      <w:bookmarkEnd w:id="50"/>
      <w:bookmarkEnd w:id="51"/>
      <w:bookmarkEnd w:id="5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(Explosives by Water) Regulations 1999</w:t>
      </w:r>
      <w:r>
        <w:t xml:space="preserve"> a</w:t>
      </w:r>
      <w:r>
        <w:rPr>
          <w:snapToGrid w:val="0"/>
        </w:rPr>
        <w:t>nd includes the amendments referred to in the following Table.</w:t>
      </w:r>
    </w:p>
    <w:p>
      <w:pPr>
        <w:pStyle w:val="nHeading3"/>
        <w:rPr>
          <w:snapToGrid w:val="0"/>
        </w:rPr>
      </w:pPr>
      <w:bookmarkStart w:id="53" w:name="_Toc379462967"/>
      <w:bookmarkStart w:id="54" w:name="_Toc425774498"/>
      <w:r>
        <w:rPr>
          <w:snapToGrid w:val="0"/>
        </w:rPr>
        <w:t>Compilation table</w:t>
      </w:r>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Dangerous Goods (Transport) (Explosives by Water) Regulations 1999</w:t>
            </w:r>
          </w:p>
        </w:tc>
        <w:tc>
          <w:tcPr>
            <w:tcW w:w="1276" w:type="dxa"/>
            <w:tcBorders>
              <w:top w:val="single" w:sz="4" w:space="0" w:color="auto"/>
            </w:tcBorders>
          </w:tcPr>
          <w:p>
            <w:pPr>
              <w:pStyle w:val="nTable"/>
              <w:spacing w:after="40"/>
            </w:pPr>
            <w:r>
              <w:t>8 Jun 1999 pp.2455</w:t>
            </w:r>
            <w:r>
              <w:noBreakHyphen/>
              <w:t>65</w:t>
            </w:r>
          </w:p>
        </w:tc>
        <w:tc>
          <w:tcPr>
            <w:tcW w:w="2693" w:type="dxa"/>
            <w:tcBorders>
              <w:top w:val="single" w:sz="4" w:space="0" w:color="auto"/>
            </w:tcBorders>
          </w:tcPr>
          <w:p>
            <w:pPr>
              <w:pStyle w:val="nTable"/>
              <w:spacing w:after="40"/>
            </w:pPr>
            <w:r>
              <w:t xml:space="preserve">9 Jun 1999 (see r. 2 and </w:t>
            </w:r>
            <w:r>
              <w:rPr>
                <w:i/>
              </w:rPr>
              <w:t>Gazette</w:t>
            </w:r>
            <w:r>
              <w:t xml:space="preserve"> 8 Jun 1999 p.2469)</w:t>
            </w:r>
          </w:p>
        </w:tc>
      </w:tr>
      <w:tr>
        <w:tc>
          <w:tcPr>
            <w:tcW w:w="3118" w:type="dxa"/>
          </w:tcPr>
          <w:p>
            <w:pPr>
              <w:pStyle w:val="nTable"/>
              <w:spacing w:after="40"/>
              <w:rPr>
                <w:i/>
              </w:rPr>
            </w:pPr>
            <w:r>
              <w:rPr>
                <w:i/>
              </w:rPr>
              <w:t xml:space="preserve">Dangerous Goods (Transport) (Explosives by Water) Amendment Regulations 2000 </w:t>
            </w:r>
          </w:p>
        </w:tc>
        <w:tc>
          <w:tcPr>
            <w:tcW w:w="1276" w:type="dxa"/>
          </w:tcPr>
          <w:p>
            <w:pPr>
              <w:pStyle w:val="nTable"/>
              <w:spacing w:after="40"/>
            </w:pPr>
            <w:r>
              <w:t>18 Aug 2000 pp.4774-5</w:t>
            </w:r>
          </w:p>
        </w:tc>
        <w:tc>
          <w:tcPr>
            <w:tcW w:w="2693" w:type="dxa"/>
          </w:tcPr>
          <w:p>
            <w:pPr>
              <w:pStyle w:val="nTable"/>
              <w:spacing w:after="40"/>
            </w:pPr>
            <w:r>
              <w:t>18 Aug 2000</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Dangerous Goods (Transport) (Dangerous Goods in Ports) Regulations 2001 </w:t>
            </w:r>
            <w:r>
              <w:rPr>
                <w:b/>
                <w:bCs/>
                <w:color w:val="FF0000"/>
              </w:rPr>
              <w:t xml:space="preserve">r. 49 as at 1 Feb 2002 (see </w:t>
            </w:r>
            <w:r>
              <w:rPr>
                <w:b/>
                <w:bCs/>
                <w:i/>
                <w:iCs/>
                <w:color w:val="FF0000"/>
              </w:rPr>
              <w:t>Gazette</w:t>
            </w:r>
            <w:r>
              <w:rPr>
                <w:b/>
                <w:bCs/>
                <w:color w:val="FF0000"/>
              </w:rPr>
              <w:t xml:space="preserve"> 22 Jan 2002 p. 354)</w:t>
            </w:r>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pp.2465-66</w:t>
      </w:r>
    </w:p>
    <w:p>
      <w:pPr>
        <w:pStyle w:val="nSubsection"/>
        <w:spacing w:before="0"/>
      </w:pPr>
      <w:r>
        <w:tab/>
      </w:r>
      <w:r>
        <w:tab/>
        <w:t>25 August 2000 pp.4931</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6" w:name="_Toc425774499"/>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person</w:t>
      </w:r>
      <w:r>
        <w:tab/>
        <w:t>3(1)</w:t>
      </w:r>
    </w:p>
    <w:p>
      <w:pPr>
        <w:pStyle w:val="DefinedTerms"/>
      </w:pPr>
      <w:r>
        <w:t>AS 3846</w:t>
      </w:r>
      <w:r>
        <w:tab/>
        <w:t>12(1)</w:t>
      </w:r>
    </w:p>
    <w:p>
      <w:pPr>
        <w:pStyle w:val="DefinedTerms"/>
      </w:pPr>
      <w:r>
        <w:t>Class</w:t>
      </w:r>
      <w:r>
        <w:tab/>
        <w:t>3(1)</w:t>
      </w:r>
    </w:p>
    <w:p>
      <w:pPr>
        <w:pStyle w:val="DefinedTerms"/>
      </w:pPr>
      <w:r>
        <w:t>Division</w:t>
      </w:r>
      <w:r>
        <w:tab/>
        <w:t>3(1), 8</w:t>
      </w:r>
    </w:p>
    <w:p>
      <w:pPr>
        <w:pStyle w:val="DefinedTerms"/>
      </w:pPr>
      <w:r>
        <w:t>emergency service</w:t>
      </w:r>
      <w:r>
        <w:tab/>
        <w:t>3(1)</w:t>
      </w:r>
    </w:p>
    <w:p>
      <w:pPr>
        <w:pStyle w:val="DefinedTerms"/>
      </w:pPr>
      <w:r>
        <w:t>explosives</w:t>
      </w:r>
      <w:r>
        <w:tab/>
        <w:t>3(1)</w:t>
      </w:r>
    </w:p>
    <w:p>
      <w:pPr>
        <w:pStyle w:val="DefinedTerms"/>
      </w:pPr>
      <w:r>
        <w:t>Explosives Code</w:t>
      </w:r>
      <w:r>
        <w:tab/>
        <w:t>3(1)</w:t>
      </w:r>
    </w:p>
    <w:p>
      <w:pPr>
        <w:pStyle w:val="DefinedTerms"/>
      </w:pPr>
      <w:r>
        <w:t>high hazard</w:t>
      </w:r>
      <w:r>
        <w:tab/>
        <w:t>12(2)</w:t>
      </w:r>
    </w:p>
    <w:p>
      <w:pPr>
        <w:pStyle w:val="DefinedTerms"/>
      </w:pPr>
      <w:r>
        <w:t>high hazard load</w:t>
      </w:r>
      <w:r>
        <w:tab/>
        <w:t>12(1)</w:t>
      </w:r>
    </w:p>
    <w:p>
      <w:pPr>
        <w:pStyle w:val="DefinedTerms"/>
      </w:pPr>
      <w:r>
        <w:t>IMDG Code</w:t>
      </w:r>
      <w:r>
        <w:tab/>
        <w:t>12(1)</w:t>
      </w:r>
    </w:p>
    <w:p>
      <w:pPr>
        <w:pStyle w:val="DefinedTerms"/>
      </w:pPr>
      <w:r>
        <w:t>instrument</w:t>
      </w:r>
      <w:r>
        <w:tab/>
        <w:t>5(1)</w:t>
      </w:r>
    </w:p>
    <w:p>
      <w:pPr>
        <w:pStyle w:val="DefinedTerms"/>
      </w:pPr>
      <w:r>
        <w:t>owner</w:t>
      </w:r>
      <w:r>
        <w:tab/>
        <w:t>3(1)</w:t>
      </w:r>
    </w:p>
    <w:p>
      <w:pPr>
        <w:pStyle w:val="DefinedTerms"/>
      </w:pPr>
      <w:r>
        <w:t>packaged explosives</w:t>
      </w:r>
      <w:r>
        <w:tab/>
        <w:t>12(1)</w:t>
      </w:r>
    </w:p>
    <w:p>
      <w:pPr>
        <w:pStyle w:val="DefinedTerms"/>
      </w:pPr>
      <w:r>
        <w:t xml:space="preserve"> port</w:t>
      </w:r>
      <w:r>
        <w:tab/>
        <w:t>12(1)</w:t>
      </w:r>
    </w:p>
    <w:p>
      <w:pPr>
        <w:pStyle w:val="DefinedTerms"/>
      </w:pPr>
      <w:r>
        <w:t>prime contractor</w:t>
      </w:r>
      <w:r>
        <w:tab/>
        <w:t>3(1)</w:t>
      </w:r>
    </w:p>
    <w:p>
      <w:pPr>
        <w:pStyle w:val="DefinedTerms"/>
      </w:pPr>
      <w:r>
        <w:t>UN dangerous goods tests and criteria</w:t>
      </w:r>
      <w:r>
        <w:tab/>
        <w:t>3(1)</w:t>
      </w:r>
    </w:p>
    <w:p>
      <w:pPr>
        <w:pStyle w:val="DefinedTerms"/>
      </w:pPr>
      <w:r>
        <w:t>vessel</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1191" w:right="2404" w:bottom="1134" w:left="2404" w:header="1134"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Dangerous Goods (Transport) (Explosives by Water)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64A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E8FC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BC4E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963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169A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D4E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B86A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821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68326A"/>
    <w:lvl w:ilvl="0">
      <w:start w:val="1"/>
      <w:numFmt w:val="decimal"/>
      <w:pStyle w:val="ListNumber"/>
      <w:lvlText w:val="%1."/>
      <w:lvlJc w:val="left"/>
      <w:pPr>
        <w:tabs>
          <w:tab w:val="num" w:pos="360"/>
        </w:tabs>
        <w:ind w:left="360" w:hanging="360"/>
      </w:pPr>
    </w:lvl>
  </w:abstractNum>
  <w:abstractNum w:abstractNumId="9">
    <w:nsid w:val="FFFFFF89"/>
    <w:multiLevelType w:val="singleLevel"/>
    <w:tmpl w:val="10C48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E0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21"/>
    <w:docVar w:name="WAFER_20140206150542" w:val="RemoveTocBookmarks,RemoveUnusedBookmarks,RemoveLanguageTags,UsedStyles,ResetPageSize,UpdateArrangement"/>
    <w:docVar w:name="WAFER_20140206150542_GUID" w:val="d4883876-f9aa-497a-910d-b84d522df3e6"/>
    <w:docVar w:name="WAFER_20140206150842" w:val="RemoveTocBookmarks,RunningHeaders"/>
    <w:docVar w:name="WAFER_20140206150842_GUID" w:val="574a0f93-5141-473b-b4ed-d8bb90678a44"/>
    <w:docVar w:name="WAFER_20150727151804" w:val="ResetPageSize,UpdateArrangement,UpdateNTable"/>
    <w:docVar w:name="WAFER_20150727151804_GUID" w:val="acf3ccd9-c4d3-4e3f-9650-c559ae3482b2"/>
    <w:docVar w:name="WAFER_20151127135749" w:val="UpdateStyles"/>
    <w:docVar w:name="WAFER_20151127135749_GUID" w:val="0a80adb9-139b-4544-b664-86ac74506623"/>
    <w:docVar w:name="WAFER_20151127144811" w:val="UsedStyles"/>
    <w:docVar w:name="WAFER_20151127144811_GUID" w:val="789f195d-6572-4d68-ada8-6bc7f3d39ab3"/>
    <w:docVar w:name="WAFER_20151201093221" w:val="RemoveTrackChanges"/>
    <w:docVar w:name="WAFER_20151201093221_GUID" w:val="43a1d33c-f644-4028-b4d8-c17b7ac789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2648</Words>
  <Characters>13320</Characters>
  <Application>Microsoft Office Word</Application>
  <DocSecurity>0</DocSecurity>
  <Lines>403</Lines>
  <Paragraphs>270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Transporting explosives by water</vt:lpstr>
      <vt:lpstr>    Part 3 — Emergencies</vt:lpstr>
      <vt:lpstr>    Notes</vt:lpstr>
    </vt:vector>
  </TitlesOfParts>
  <Manager/>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Water) Regulations 1999 - 00-c0-06</dc:title>
  <dc:subject/>
  <dc:creator/>
  <cp:keywords/>
  <dc:description/>
  <cp:lastModifiedBy>svcMRProcess</cp:lastModifiedBy>
  <cp:revision>4</cp:revision>
  <cp:lastPrinted>2006-04-18T08:49:00Z</cp:lastPrinted>
  <dcterms:created xsi:type="dcterms:W3CDTF">2015-12-01T03:23:00Z</dcterms:created>
  <dcterms:modified xsi:type="dcterms:W3CDTF">2015-12-01T03:23:00Z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pp.2455-65</vt:lpwstr>
  </property>
  <property fmtid="{D5CDD505-2E9C-101B-9397-08002B2CF9AE}" pid="3" name="CommencementDate">
    <vt:lpwstr>20020201</vt:lpwstr>
  </property>
  <property fmtid="{D5CDD505-2E9C-101B-9397-08002B2CF9AE}" pid="4" name="DocumentType">
    <vt:lpwstr>Reg</vt:lpwstr>
  </property>
  <property fmtid="{D5CDD505-2E9C-101B-9397-08002B2CF9AE}" pid="5" name="AsAtDate">
    <vt:lpwstr>01 Feb 2002</vt:lpwstr>
  </property>
  <property fmtid="{D5CDD505-2E9C-101B-9397-08002B2CF9AE}" pid="6" name="Suffix">
    <vt:lpwstr>00-c0-06</vt:lpwstr>
  </property>
  <property fmtid="{D5CDD505-2E9C-101B-9397-08002B2CF9AE}" pid="7" name="Status">
    <vt:lpwstr>NIF</vt:lpwstr>
  </property>
</Properties>
</file>