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_Toc460417475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_Toc460417476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_Toc460417477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_Toc460417478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_Toc460417479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_Toc460417480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_Toc460417481 \h </w:instrText>
      </w:r>
      <w:r>
        <w:fldChar w:fldCharType="separate"/>
      </w:r>
      <w:r>
        <w:t>3</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_Toc460417482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_Toc460417483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_Toc460417484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_Toc460417485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_Toc460417487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_Toc460417488 \h </w:instrText>
      </w:r>
      <w:r>
        <w:fldChar w:fldCharType="separate"/>
      </w:r>
      <w:r>
        <w:t>6</w:t>
      </w:r>
      <w:r>
        <w:fldChar w:fldCharType="end"/>
      </w:r>
    </w:p>
    <w:p>
      <w:pPr>
        <w:pStyle w:val="TOC8"/>
        <w:rPr>
          <w:rFonts w:asciiTheme="minorHAnsi" w:eastAsiaTheme="minorEastAsia" w:hAnsiTheme="minorHAnsi" w:cstheme="minorBidi"/>
          <w:szCs w:val="22"/>
        </w:rPr>
      </w:pPr>
      <w:r>
        <w:t>4.</w:t>
      </w:r>
      <w:r>
        <w:tab/>
        <w:t>Tariff A2 (residential tariff)</w:t>
      </w:r>
      <w:r>
        <w:tab/>
      </w:r>
      <w:r>
        <w:fldChar w:fldCharType="begin"/>
      </w:r>
      <w:r>
        <w:instrText xml:space="preserve"> PAGEREF _Toc460417489 \h </w:instrText>
      </w:r>
      <w:r>
        <w:fldChar w:fldCharType="separate"/>
      </w:r>
      <w:r>
        <w:t>7</w:t>
      </w:r>
      <w:r>
        <w:fldChar w:fldCharType="end"/>
      </w:r>
    </w:p>
    <w:p>
      <w:pPr>
        <w:pStyle w:val="TOC8"/>
        <w:rPr>
          <w:rFonts w:asciiTheme="minorHAnsi" w:eastAsiaTheme="minorEastAsia" w:hAnsiTheme="minorHAnsi" w:cstheme="minorBidi"/>
          <w:szCs w:val="22"/>
        </w:rPr>
      </w:pPr>
      <w:r>
        <w:t>5.</w:t>
      </w:r>
      <w:r>
        <w:tab/>
        <w:t>Tariff C2 (special community service tariff)</w:t>
      </w:r>
      <w:r>
        <w:tab/>
      </w:r>
      <w:r>
        <w:fldChar w:fldCharType="begin"/>
      </w:r>
      <w:r>
        <w:instrText xml:space="preserve"> PAGEREF _Toc460417490 \h </w:instrText>
      </w:r>
      <w:r>
        <w:fldChar w:fldCharType="separate"/>
      </w:r>
      <w:r>
        <w:t>7</w:t>
      </w:r>
      <w:r>
        <w:fldChar w:fldCharType="end"/>
      </w:r>
    </w:p>
    <w:p>
      <w:pPr>
        <w:pStyle w:val="TOC8"/>
        <w:rPr>
          <w:rFonts w:asciiTheme="minorHAnsi" w:eastAsiaTheme="minorEastAsia" w:hAnsiTheme="minorHAnsi" w:cstheme="minorBidi"/>
          <w:szCs w:val="22"/>
        </w:rPr>
      </w:pPr>
      <w:r>
        <w:t>6.</w:t>
      </w:r>
      <w:r>
        <w:tab/>
        <w:t>Tariff D2 (special tariff for certain premises)</w:t>
      </w:r>
      <w:r>
        <w:tab/>
      </w:r>
      <w:r>
        <w:fldChar w:fldCharType="begin"/>
      </w:r>
      <w:r>
        <w:instrText xml:space="preserve"> PAGEREF _Toc460417491 \h </w:instrText>
      </w:r>
      <w:r>
        <w:fldChar w:fldCharType="separate"/>
      </w:r>
      <w:r>
        <w:t>8</w:t>
      </w:r>
      <w:r>
        <w:fldChar w:fldCharType="end"/>
      </w:r>
    </w:p>
    <w:p>
      <w:pPr>
        <w:pStyle w:val="TOC8"/>
        <w:rPr>
          <w:rFonts w:asciiTheme="minorHAnsi" w:eastAsiaTheme="minorEastAsia" w:hAnsiTheme="minorHAnsi" w:cstheme="minorBidi"/>
          <w:szCs w:val="22"/>
        </w:rPr>
      </w:pPr>
      <w:r>
        <w:t>7.</w:t>
      </w:r>
      <w:r>
        <w:tab/>
        <w:t>Tariff K2 (general supply with residential tariff)</w:t>
      </w:r>
      <w:r>
        <w:tab/>
      </w:r>
      <w:r>
        <w:fldChar w:fldCharType="begin"/>
      </w:r>
      <w:r>
        <w:instrText xml:space="preserve"> PAGEREF _Toc460417492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installations</w:t>
      </w:r>
      <w:r>
        <w:tab/>
      </w:r>
      <w:r>
        <w:fldChar w:fldCharType="begin"/>
      </w:r>
      <w:r>
        <w:instrText xml:space="preserve"> PAGEREF _Toc460417496 \h </w:instrText>
      </w:r>
      <w:r>
        <w:fldChar w:fldCharType="separate"/>
      </w:r>
      <w:r>
        <w:t>12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_Toc460417497 \h </w:instrText>
      </w:r>
      <w:r>
        <w:fldChar w:fldCharType="separate"/>
      </w:r>
      <w:r>
        <w:t>12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_Toc460417498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_Toc460417502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401908194"/>
      <w:bookmarkStart w:id="4" w:name="_Toc460417475"/>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5" w:name="_Toc401908195"/>
      <w:bookmarkStart w:id="6" w:name="_Toc460417476"/>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401908196"/>
      <w:bookmarkStart w:id="8" w:name="_Toc460417477"/>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spacing w:val="40"/>
        </w:rPr>
        <w:t>f</w:t>
      </w:r>
      <w:r>
        <w:t xml:space="preserve"> means Tariff A2;</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w:t>
      </w:r>
    </w:p>
    <w:p>
      <w:pPr>
        <w:pStyle w:val="Ednotesection"/>
      </w:pPr>
      <w:r>
        <w:t>[</w:t>
      </w:r>
      <w:r>
        <w:rPr>
          <w:b/>
        </w:rPr>
        <w:t>4A.</w:t>
      </w:r>
      <w:r>
        <w:tab/>
        <w:t>Deleted in Gazette 22 Aug 2014 p. 3017.]</w:t>
      </w:r>
    </w:p>
    <w:p>
      <w:pPr>
        <w:pStyle w:val="Heading5"/>
        <w:rPr>
          <w:snapToGrid w:val="0"/>
        </w:rPr>
      </w:pPr>
      <w:bookmarkStart w:id="9" w:name="_Toc401908197"/>
      <w:bookmarkStart w:id="10" w:name="_Toc460417478"/>
      <w:r>
        <w:rPr>
          <w:rStyle w:val="CharSectno"/>
        </w:rPr>
        <w:t>4</w:t>
      </w:r>
      <w:r>
        <w:t>.</w:t>
      </w:r>
      <w:r>
        <w:tab/>
      </w:r>
      <w:r>
        <w:rPr>
          <w:snapToGrid w:val="0"/>
        </w:rPr>
        <w:t>Electricity charges</w:t>
      </w:r>
      <w:bookmarkEnd w:id="9"/>
      <w:bookmarkEnd w:id="10"/>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11" w:name="_Toc401908198"/>
      <w:bookmarkStart w:id="12" w:name="_Toc460417479"/>
      <w:r>
        <w:rPr>
          <w:rStyle w:val="CharSectno"/>
        </w:rPr>
        <w:t>5</w:t>
      </w:r>
      <w:r>
        <w:t>.</w:t>
      </w:r>
      <w:r>
        <w:tab/>
        <w:t>Application of residential tariffs</w:t>
      </w:r>
      <w:bookmarkEnd w:id="11"/>
      <w:bookmarkEnd w:id="1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13" w:name="_Toc401908199"/>
      <w:bookmarkStart w:id="14" w:name="_Toc460417480"/>
      <w:r>
        <w:rPr>
          <w:rStyle w:val="CharSectno"/>
        </w:rPr>
        <w:t>6</w:t>
      </w:r>
      <w:r>
        <w:t>.</w:t>
      </w:r>
      <w:r>
        <w:tab/>
        <w:t>Meter rental</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15" w:name="_Toc401908200"/>
      <w:bookmarkStart w:id="16" w:name="_Toc460417481"/>
      <w:r>
        <w:rPr>
          <w:rStyle w:val="CharSectno"/>
        </w:rPr>
        <w:t>7</w:t>
      </w:r>
      <w:r>
        <w:t>.</w:t>
      </w:r>
      <w:r>
        <w:tab/>
        <w:t>Fees</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7" w:name="_Toc401908201"/>
      <w:bookmarkStart w:id="18" w:name="_Toc460417482"/>
      <w:r>
        <w:rPr>
          <w:rStyle w:val="CharSectno"/>
        </w:rPr>
        <w:t>8</w:t>
      </w:r>
      <w:r>
        <w:t>.</w:t>
      </w:r>
      <w:r>
        <w:tab/>
        <w:t>Payment</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9" w:name="_Toc401908202"/>
      <w:bookmarkStart w:id="20" w:name="_Toc460417483"/>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21" w:name="_Toc401908203"/>
      <w:bookmarkStart w:id="22" w:name="_Toc460417484"/>
      <w:r>
        <w:rPr>
          <w:rStyle w:val="CharSectno"/>
        </w:rPr>
        <w:t>11</w:t>
      </w:r>
      <w:r>
        <w:t>.</w:t>
      </w:r>
      <w:r>
        <w:tab/>
        <w:t>Changes in rates</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401908204"/>
      <w:bookmarkStart w:id="24" w:name="_Toc460417485"/>
      <w:r>
        <w:rPr>
          <w:rStyle w:val="CharSectno"/>
        </w:rPr>
        <w:t>12</w:t>
      </w:r>
      <w:r>
        <w:t>.</w:t>
      </w:r>
      <w:r>
        <w:tab/>
        <w:t>Prescribed rate of interest for s. 62(16) of Act</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Heading2"/>
      </w:pPr>
      <w:bookmarkStart w:id="25" w:name="_Toc423343933"/>
      <w:bookmarkStart w:id="26" w:name="_Toc423344417"/>
      <w:bookmarkStart w:id="27" w:name="_Toc423442513"/>
      <w:bookmarkStart w:id="28" w:name="_Toc455137026"/>
      <w:bookmarkStart w:id="29" w:name="_Toc460415764"/>
      <w:bookmarkStart w:id="30" w:name="_Toc460417486"/>
      <w:bookmarkStart w:id="31" w:name="_Toc399137918"/>
      <w:bookmarkStart w:id="32" w:name="_Toc401908205"/>
      <w:bookmarkStart w:id="33" w:name="_Toc416788387"/>
      <w:bookmarkStart w:id="34" w:name="_Toc416788419"/>
      <w:r>
        <w:rPr>
          <w:rStyle w:val="CharSchNo"/>
        </w:rPr>
        <w:t>Schedule 1</w:t>
      </w:r>
      <w:r>
        <w:t xml:space="preserve"> — </w:t>
      </w:r>
      <w:r>
        <w:rPr>
          <w:rStyle w:val="CharSchText"/>
        </w:rPr>
        <w:t>Supply charges</w:t>
      </w:r>
      <w:bookmarkEnd w:id="25"/>
      <w:bookmarkEnd w:id="26"/>
      <w:bookmarkEnd w:id="27"/>
      <w:bookmarkEnd w:id="28"/>
      <w:bookmarkEnd w:id="29"/>
      <w:bookmarkEnd w:id="30"/>
    </w:p>
    <w:p>
      <w:pPr>
        <w:pStyle w:val="yShoulderClause"/>
      </w:pPr>
      <w:r>
        <w:t>[bl. 3, 4(1) and 10(1)]</w:t>
      </w:r>
    </w:p>
    <w:p>
      <w:pPr>
        <w:pStyle w:val="yFootnoteheading"/>
      </w:pPr>
      <w:r>
        <w:tab/>
        <w:t>[Heading inserted in Gazette 26 Jun 2015 p. 2248.]</w:t>
      </w:r>
    </w:p>
    <w:p>
      <w:pPr>
        <w:pStyle w:val="yHeading5"/>
      </w:pPr>
      <w:bookmarkStart w:id="35" w:name="_Toc460417487"/>
      <w:r>
        <w:rPr>
          <w:rStyle w:val="CharSClsNo"/>
        </w:rPr>
        <w:t>1</w:t>
      </w:r>
      <w:r>
        <w:t>.</w:t>
      </w:r>
      <w:r>
        <w:tab/>
        <w:t>Tariff L2 (general supply — low/medium voltage tariff)</w:t>
      </w:r>
      <w:bookmarkEnd w:id="35"/>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26 Jun 2015 p. 2248; amended in Gazette 28 Jun 2016 p. 2626.]</w:t>
      </w:r>
    </w:p>
    <w:p>
      <w:pPr>
        <w:pStyle w:val="yHeading5"/>
      </w:pPr>
      <w:bookmarkStart w:id="36" w:name="_Toc460417488"/>
      <w:r>
        <w:rPr>
          <w:rStyle w:val="CharSClsNo"/>
        </w:rPr>
        <w:t>2</w:t>
      </w:r>
      <w:r>
        <w:t>.</w:t>
      </w:r>
      <w:r>
        <w:tab/>
        <w:t>Tariff L4 (general supply — low/medium voltage tariff)</w:t>
      </w:r>
      <w:bookmarkEnd w:id="36"/>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 xml:space="preserve">a fixed charge at the rate of </w:t>
      </w:r>
      <w:r>
        <w:rPr>
          <w:szCs w:val="22"/>
        </w:rPr>
        <w:t>53.1612</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34.9313</w:t>
      </w:r>
      <w:r>
        <w:t xml:space="preserve"> cents per unit for the first 1 650 units per day; and</w:t>
      </w:r>
    </w:p>
    <w:p>
      <w:pPr>
        <w:pStyle w:val="yIndenti0"/>
      </w:pPr>
      <w:r>
        <w:tab/>
        <w:t>(ii)</w:t>
      </w:r>
      <w:r>
        <w:tab/>
      </w:r>
      <w:r>
        <w:rPr>
          <w:szCs w:val="22"/>
        </w:rPr>
        <w:t>31.5293</w:t>
      </w:r>
      <w:r>
        <w:t xml:space="preserve">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keepNext/>
      </w:pPr>
      <w:r>
        <w:tab/>
        <w:t>[Clause 2 inserted in Gazette 26 Jun 2015 p. 2248; amended in Gazette 31 Aug 2016 p. 3708.]</w:t>
      </w:r>
    </w:p>
    <w:p>
      <w:pPr>
        <w:pStyle w:val="yEdnotesection"/>
      </w:pPr>
      <w:r>
        <w:t>[</w:t>
      </w:r>
      <w:r>
        <w:rPr>
          <w:b/>
        </w:rPr>
        <w:t>3.</w:t>
      </w:r>
      <w:r>
        <w:tab/>
        <w:t>Deleted in Gazette 31 Aug 2016 p. 3707.]</w:t>
      </w:r>
    </w:p>
    <w:p>
      <w:pPr>
        <w:pStyle w:val="yHeading5"/>
      </w:pPr>
      <w:bookmarkStart w:id="37" w:name="_Toc460417489"/>
      <w:r>
        <w:rPr>
          <w:rStyle w:val="CharSClsNo"/>
        </w:rPr>
        <w:t>4</w:t>
      </w:r>
      <w:r>
        <w:t>.</w:t>
      </w:r>
      <w:r>
        <w:tab/>
        <w:t>Tariff A2 (residential tariff)</w:t>
      </w:r>
      <w:bookmarkEnd w:id="37"/>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48.5989 cents per day or, for multiple dwellings supplied through one metered supply point, a fixed charge at the rate of —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4 inserted in Gazette 26 Jun 2015 p. 2249; amended in Gazette 28 Jun 2016 p. 2626</w:t>
      </w:r>
      <w:r>
        <w:noBreakHyphen/>
        <w:t>7.]</w:t>
      </w:r>
    </w:p>
    <w:p>
      <w:pPr>
        <w:pStyle w:val="yHeading5"/>
      </w:pPr>
      <w:bookmarkStart w:id="38" w:name="_Toc460417490"/>
      <w:r>
        <w:rPr>
          <w:rStyle w:val="CharSClsNo"/>
        </w:rPr>
        <w:t>5</w:t>
      </w:r>
      <w:r>
        <w:t>.</w:t>
      </w:r>
      <w:r>
        <w:tab/>
        <w:t>Tariff C2 (special community service tariff)</w:t>
      </w:r>
      <w:bookmarkEnd w:id="38"/>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5 inserted in Gazette 26 Jun 2015 p. 2249</w:t>
      </w:r>
      <w:r>
        <w:noBreakHyphen/>
        <w:t>50; amended in Gazette 28 Jun 2016 p. 2627.]</w:t>
      </w:r>
    </w:p>
    <w:p>
      <w:pPr>
        <w:pStyle w:val="yHeading5"/>
      </w:pPr>
      <w:bookmarkStart w:id="39" w:name="_Toc460417491"/>
      <w:r>
        <w:rPr>
          <w:rStyle w:val="CharSClsNo"/>
        </w:rPr>
        <w:t>6</w:t>
      </w:r>
      <w:r>
        <w:t>.</w:t>
      </w:r>
      <w:r>
        <w:tab/>
        <w:t>Tariff D2 (special tariff for certain premises)</w:t>
      </w:r>
      <w:bookmarkEnd w:id="39"/>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6 inserted in Gazette 26 Jun 2015 p. 2250; amended in Gazette 28 Jun 2016 p. 2627.]</w:t>
      </w:r>
    </w:p>
    <w:p>
      <w:pPr>
        <w:pStyle w:val="yHeading5"/>
      </w:pPr>
      <w:bookmarkStart w:id="40" w:name="_Toc460417492"/>
      <w:r>
        <w:rPr>
          <w:rStyle w:val="CharSClsNo"/>
        </w:rPr>
        <w:t>7</w:t>
      </w:r>
      <w:r>
        <w:t>.</w:t>
      </w:r>
      <w:r>
        <w:tab/>
        <w:t xml:space="preserve">Tariff </w:t>
      </w:r>
      <w:smartTag w:uri="urn:schemas-microsoft-com:office:smarttags" w:element="place">
        <w:r>
          <w:t>K2</w:t>
        </w:r>
      </w:smartTag>
      <w:r>
        <w:t xml:space="preserve"> (general supply with residential tariff)</w:t>
      </w:r>
      <w:bookmarkEnd w:id="40"/>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48.5989 cents per day; and</w:t>
      </w:r>
    </w:p>
    <w:p>
      <w:pPr>
        <w:pStyle w:val="yIndenta"/>
      </w:pPr>
      <w:r>
        <w:tab/>
        <w:t>(b)</w:t>
      </w:r>
      <w:r>
        <w:tab/>
        <w:t xml:space="preserve">a charge for metered consumption at the rate of —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7 inserted in Gazette 26 Jun 2015 p. 2250; amended in Gazette 28 Jun 2016 p. 2627.]</w:t>
      </w:r>
    </w:p>
    <w:bookmarkEnd w:id="31"/>
    <w:bookmarkEnd w:id="32"/>
    <w:bookmarkEnd w:id="33"/>
    <w:bookmarkEnd w:id="34"/>
    <w:p>
      <w:pPr>
        <w:pStyle w:val="yEdnoteschedule"/>
      </w:pPr>
      <w:r>
        <w:t>[Schedule 2A deleted in Gazette 22 Aug 2014 p. 3021.]</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Heading2"/>
      </w:pPr>
      <w:bookmarkStart w:id="42" w:name="_Toc423343941"/>
      <w:bookmarkStart w:id="43" w:name="_Toc423344425"/>
      <w:bookmarkStart w:id="44" w:name="_Toc423442521"/>
      <w:bookmarkStart w:id="45" w:name="_Toc455137034"/>
      <w:bookmarkStart w:id="46" w:name="_Toc460415771"/>
      <w:bookmarkStart w:id="47" w:name="_Toc460417493"/>
      <w:bookmarkStart w:id="48" w:name="_Toc399137929"/>
      <w:bookmarkStart w:id="49" w:name="_Toc401908216"/>
      <w:bookmarkStart w:id="50" w:name="_Toc416788398"/>
      <w:bookmarkStart w:id="51" w:name="_Toc416788430"/>
      <w:r>
        <w:rPr>
          <w:rStyle w:val="CharSchNo"/>
        </w:rPr>
        <w:t>Schedule 2</w:t>
      </w:r>
      <w:r>
        <w:t> — </w:t>
      </w:r>
      <w:r>
        <w:rPr>
          <w:rStyle w:val="CharSchText"/>
        </w:rPr>
        <w:t>Unmetered supply</w:t>
      </w:r>
      <w:bookmarkEnd w:id="42"/>
      <w:bookmarkEnd w:id="43"/>
      <w:bookmarkEnd w:id="44"/>
      <w:bookmarkEnd w:id="45"/>
      <w:bookmarkEnd w:id="46"/>
      <w:bookmarkEnd w:id="47"/>
    </w:p>
    <w:p>
      <w:pPr>
        <w:pStyle w:val="yShoulderClause"/>
      </w:pPr>
      <w:r>
        <w:t>[bl. 4(2) and (3)]</w:t>
      </w:r>
    </w:p>
    <w:p>
      <w:pPr>
        <w:pStyle w:val="yFootnoteheading"/>
        <w:spacing w:after="120"/>
      </w:pPr>
      <w:r>
        <w:tab/>
        <w:t>[Heading inserted in Gazette 26 Jun 2015 p. 2251.]</w:t>
      </w:r>
    </w:p>
    <w:p>
      <w:pPr>
        <w:pStyle w:val="yHeading3"/>
      </w:pPr>
      <w:bookmarkStart w:id="52" w:name="_Toc460415772"/>
      <w:bookmarkStart w:id="53" w:name="_Toc460417494"/>
      <w:bookmarkStart w:id="54" w:name="_Toc423343942"/>
      <w:bookmarkStart w:id="55" w:name="_Toc423344426"/>
      <w:bookmarkStart w:id="56" w:name="_Toc423442522"/>
      <w:bookmarkStart w:id="57" w:name="_Toc455137035"/>
      <w:r>
        <w:rPr>
          <w:rStyle w:val="CharSDivNo"/>
        </w:rPr>
        <w:t>Division 1</w:t>
      </w:r>
      <w:r>
        <w:rPr>
          <w:b w:val="0"/>
        </w:rPr>
        <w:t> — </w:t>
      </w:r>
      <w:r>
        <w:rPr>
          <w:rStyle w:val="CharSDivText"/>
        </w:rPr>
        <w:t>Street lighting</w:t>
      </w:r>
      <w:bookmarkEnd w:id="52"/>
      <w:bookmarkEnd w:id="53"/>
    </w:p>
    <w:p>
      <w:pPr>
        <w:pStyle w:val="yFootnoteheading"/>
        <w:spacing w:after="120"/>
      </w:pPr>
      <w:r>
        <w:tab/>
        <w:t>[Heading inserted in Gazette 31 Aug 2016 p. 3708.]</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32.8606</w:t>
            </w:r>
          </w:p>
        </w:tc>
        <w:tc>
          <w:tcPr>
            <w:tcW w:w="1512" w:type="dxa"/>
          </w:tcPr>
          <w:p>
            <w:pPr>
              <w:pStyle w:val="yTableNAm"/>
            </w:pPr>
            <w:r>
              <w:rPr>
                <w:sz w:val="16"/>
                <w:szCs w:val="16"/>
              </w:rPr>
              <w:t>33.5644</w:t>
            </w:r>
          </w:p>
        </w:tc>
        <w:tc>
          <w:tcPr>
            <w:tcW w:w="1370" w:type="dxa"/>
          </w:tcPr>
          <w:p>
            <w:pPr>
              <w:pStyle w:val="yTableNAm"/>
            </w:pPr>
            <w:r>
              <w:rPr>
                <w:sz w:val="16"/>
                <w:szCs w:val="16"/>
              </w:rPr>
              <w:t>36.1068</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47.8599</w:t>
            </w:r>
          </w:p>
        </w:tc>
        <w:tc>
          <w:tcPr>
            <w:tcW w:w="1512" w:type="dxa"/>
          </w:tcPr>
          <w:p>
            <w:pPr>
              <w:pStyle w:val="yTableNAm"/>
            </w:pPr>
            <w:r>
              <w:rPr>
                <w:sz w:val="16"/>
                <w:szCs w:val="16"/>
              </w:rPr>
              <w:t>49.4111</w:t>
            </w:r>
          </w:p>
        </w:tc>
        <w:tc>
          <w:tcPr>
            <w:tcW w:w="1370" w:type="dxa"/>
          </w:tcPr>
          <w:p>
            <w:pPr>
              <w:pStyle w:val="yTableNAm"/>
            </w:pPr>
            <w:r>
              <w:rPr>
                <w:sz w:val="16"/>
                <w:szCs w:val="16"/>
              </w:rPr>
              <w:t>55.0077</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48.9793</w:t>
            </w:r>
          </w:p>
        </w:tc>
        <w:tc>
          <w:tcPr>
            <w:tcW w:w="1512" w:type="dxa"/>
          </w:tcPr>
          <w:p>
            <w:pPr>
              <w:pStyle w:val="yTableNAm"/>
            </w:pPr>
            <w:r>
              <w:rPr>
                <w:sz w:val="16"/>
                <w:szCs w:val="16"/>
              </w:rPr>
              <w:t>50.5784</w:t>
            </w:r>
          </w:p>
        </w:tc>
        <w:tc>
          <w:tcPr>
            <w:tcW w:w="1370" w:type="dxa"/>
          </w:tcPr>
          <w:p>
            <w:pPr>
              <w:pStyle w:val="yTableNAm"/>
            </w:pPr>
            <w:r>
              <w:rPr>
                <w:sz w:val="16"/>
                <w:szCs w:val="16"/>
              </w:rPr>
              <w:t>57.0066</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59.3892</w:t>
            </w:r>
          </w:p>
        </w:tc>
        <w:tc>
          <w:tcPr>
            <w:tcW w:w="1512" w:type="dxa"/>
          </w:tcPr>
          <w:p>
            <w:pPr>
              <w:pStyle w:val="yTableNAm"/>
            </w:pPr>
            <w:r>
              <w:rPr>
                <w:sz w:val="16"/>
                <w:szCs w:val="16"/>
              </w:rPr>
              <w:t>62.4114</w:t>
            </w:r>
          </w:p>
        </w:tc>
        <w:tc>
          <w:tcPr>
            <w:tcW w:w="1370" w:type="dxa"/>
          </w:tcPr>
          <w:p>
            <w:pPr>
              <w:pStyle w:val="yTableNAm"/>
            </w:pPr>
            <w:r>
              <w:rPr>
                <w:sz w:val="16"/>
                <w:szCs w:val="16"/>
              </w:rPr>
              <w:t>73.6847</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87.9803</w:t>
            </w:r>
          </w:p>
        </w:tc>
        <w:tc>
          <w:tcPr>
            <w:tcW w:w="1512" w:type="dxa"/>
          </w:tcPr>
          <w:p>
            <w:pPr>
              <w:pStyle w:val="yTableNAm"/>
            </w:pPr>
            <w:r>
              <w:rPr>
                <w:sz w:val="16"/>
                <w:szCs w:val="16"/>
              </w:rPr>
              <w:t>92.5856</w:t>
            </w:r>
          </w:p>
        </w:tc>
        <w:tc>
          <w:tcPr>
            <w:tcW w:w="1370" w:type="dxa"/>
          </w:tcPr>
          <w:p>
            <w:pPr>
              <w:pStyle w:val="yTableNAm"/>
            </w:pPr>
            <w:r>
              <w:rPr>
                <w:sz w:val="16"/>
                <w:szCs w:val="16"/>
              </w:rPr>
              <w:t>110.1752</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45.3334</w:t>
            </w:r>
          </w:p>
        </w:tc>
        <w:tc>
          <w:tcPr>
            <w:tcW w:w="1512" w:type="dxa"/>
          </w:tcPr>
          <w:p>
            <w:pPr>
              <w:pStyle w:val="yTableNAm"/>
            </w:pPr>
            <w:r>
              <w:rPr>
                <w:sz w:val="16"/>
                <w:szCs w:val="16"/>
              </w:rPr>
              <w:t>46.9965</w:t>
            </w:r>
          </w:p>
        </w:tc>
        <w:tc>
          <w:tcPr>
            <w:tcW w:w="1370" w:type="dxa"/>
          </w:tcPr>
          <w:p>
            <w:pPr>
              <w:pStyle w:val="yTableNAm"/>
            </w:pPr>
            <w:r>
              <w:rPr>
                <w:sz w:val="16"/>
                <w:szCs w:val="16"/>
              </w:rPr>
              <w:t>56.3028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67.2085</w:t>
            </w:r>
          </w:p>
        </w:tc>
        <w:tc>
          <w:tcPr>
            <w:tcW w:w="1512" w:type="dxa"/>
          </w:tcPr>
          <w:p>
            <w:pPr>
              <w:pStyle w:val="yTableNAm"/>
            </w:pPr>
            <w:r>
              <w:rPr>
                <w:sz w:val="16"/>
                <w:szCs w:val="16"/>
              </w:rPr>
              <w:t>70.7905</w:t>
            </w:r>
          </w:p>
        </w:tc>
        <w:tc>
          <w:tcPr>
            <w:tcW w:w="1370" w:type="dxa"/>
          </w:tcPr>
          <w:p>
            <w:pPr>
              <w:pStyle w:val="yTableNAm"/>
            </w:pPr>
            <w:r>
              <w:rPr>
                <w:sz w:val="16"/>
                <w:szCs w:val="16"/>
              </w:rPr>
              <w:t>84.6063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245.3436</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33.4029</w:t>
            </w:r>
          </w:p>
        </w:tc>
        <w:tc>
          <w:tcPr>
            <w:tcW w:w="1512" w:type="dxa"/>
          </w:tcPr>
          <w:p>
            <w:pPr>
              <w:pStyle w:val="yTableNAm"/>
            </w:pPr>
            <w:r>
              <w:rPr>
                <w:sz w:val="16"/>
                <w:szCs w:val="16"/>
              </w:rPr>
              <w:t>34.3885</w:t>
            </w:r>
          </w:p>
        </w:tc>
        <w:tc>
          <w:tcPr>
            <w:tcW w:w="1370" w:type="dxa"/>
          </w:tcPr>
          <w:p>
            <w:pPr>
              <w:pStyle w:val="yTableNAm"/>
            </w:pPr>
            <w:r>
              <w:rPr>
                <w:sz w:val="16"/>
                <w:szCs w:val="16"/>
              </w:rPr>
              <w:t>37.2046</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44.5893</w:t>
            </w:r>
          </w:p>
        </w:tc>
        <w:tc>
          <w:tcPr>
            <w:tcW w:w="1512" w:type="dxa"/>
          </w:tcPr>
          <w:p>
            <w:pPr>
              <w:pStyle w:val="yTableNAm"/>
            </w:pPr>
            <w:r>
              <w:rPr>
                <w:sz w:val="16"/>
                <w:szCs w:val="16"/>
              </w:rPr>
              <w:t>46.7086</w:t>
            </w:r>
          </w:p>
        </w:tc>
        <w:tc>
          <w:tcPr>
            <w:tcW w:w="1370" w:type="dxa"/>
          </w:tcPr>
          <w:p>
            <w:pPr>
              <w:pStyle w:val="yTableNAm"/>
            </w:pPr>
            <w:r>
              <w:rPr>
                <w:sz w:val="16"/>
                <w:szCs w:val="16"/>
              </w:rPr>
              <w:t>56.6486</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48.5927</w:t>
            </w:r>
          </w:p>
        </w:tc>
        <w:tc>
          <w:tcPr>
            <w:tcW w:w="1512" w:type="dxa"/>
          </w:tcPr>
          <w:p>
            <w:pPr>
              <w:pStyle w:val="yTableNAm"/>
            </w:pPr>
            <w:r>
              <w:rPr>
                <w:sz w:val="16"/>
                <w:szCs w:val="16"/>
              </w:rPr>
              <w:t>52.0416</w:t>
            </w:r>
          </w:p>
        </w:tc>
        <w:tc>
          <w:tcPr>
            <w:tcW w:w="1370" w:type="dxa"/>
          </w:tcPr>
          <w:p>
            <w:pPr>
              <w:pStyle w:val="yTableNAm"/>
            </w:pPr>
            <w:r>
              <w:rPr>
                <w:sz w:val="16"/>
                <w:szCs w:val="16"/>
              </w:rPr>
              <w:t>67.6001</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30.7578</w:t>
            </w:r>
          </w:p>
        </w:tc>
        <w:tc>
          <w:tcPr>
            <w:tcW w:w="1512" w:type="dxa"/>
          </w:tcPr>
          <w:p>
            <w:pPr>
              <w:pStyle w:val="yTableNAm"/>
            </w:pPr>
            <w:r>
              <w:rPr>
                <w:sz w:val="16"/>
                <w:szCs w:val="16"/>
              </w:rPr>
              <w:t>31.0965</w:t>
            </w:r>
          </w:p>
        </w:tc>
        <w:tc>
          <w:tcPr>
            <w:tcW w:w="1370" w:type="dxa"/>
          </w:tcPr>
          <w:p>
            <w:pPr>
              <w:pStyle w:val="yTableNAm"/>
            </w:pPr>
            <w:r>
              <w:rPr>
                <w:sz w:val="16"/>
                <w:szCs w:val="16"/>
              </w:rPr>
              <w:t>31.4572</w:t>
            </w:r>
          </w:p>
        </w:tc>
      </w:tr>
      <w:tr>
        <w:trPr>
          <w:cantSplit/>
        </w:trPr>
        <w:tc>
          <w:tcPr>
            <w:tcW w:w="6804" w:type="dxa"/>
            <w:gridSpan w:val="7"/>
          </w:tcPr>
          <w:p>
            <w:pPr>
              <w:pStyle w:val="yTableNAm"/>
              <w:keepNext/>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68.1679</w:t>
            </w:r>
          </w:p>
        </w:tc>
        <w:tc>
          <w:tcPr>
            <w:tcW w:w="1512" w:type="dxa"/>
          </w:tcPr>
          <w:p>
            <w:pPr>
              <w:pStyle w:val="yTableNAm"/>
            </w:pPr>
            <w:r>
              <w:rPr>
                <w:sz w:val="16"/>
                <w:szCs w:val="16"/>
              </w:rPr>
              <w:t>71.1423</w:t>
            </w:r>
          </w:p>
        </w:tc>
        <w:tc>
          <w:tcPr>
            <w:tcW w:w="1370" w:type="dxa"/>
          </w:tcPr>
          <w:p>
            <w:pPr>
              <w:pStyle w:val="yTableNAm"/>
            </w:pPr>
            <w:r>
              <w:rPr>
                <w:sz w:val="16"/>
                <w:szCs w:val="16"/>
              </w:rPr>
              <w:t>82.4636</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96.7751</w:t>
            </w:r>
          </w:p>
        </w:tc>
        <w:tc>
          <w:tcPr>
            <w:tcW w:w="1512" w:type="dxa"/>
          </w:tcPr>
          <w:p>
            <w:pPr>
              <w:pStyle w:val="yTableNAm"/>
            </w:pPr>
            <w:r>
              <w:rPr>
                <w:sz w:val="16"/>
                <w:szCs w:val="16"/>
              </w:rPr>
              <w:t>101.3966</w:t>
            </w:r>
          </w:p>
        </w:tc>
        <w:tc>
          <w:tcPr>
            <w:tcW w:w="1370" w:type="dxa"/>
          </w:tcPr>
          <w:p>
            <w:pPr>
              <w:pStyle w:val="yTableNAm"/>
            </w:pPr>
            <w:r>
              <w:rPr>
                <w:sz w:val="16"/>
                <w:szCs w:val="16"/>
              </w:rPr>
              <w:t>118.9222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69.9428</w:t>
            </w:r>
          </w:p>
        </w:tc>
        <w:tc>
          <w:tcPr>
            <w:tcW w:w="1512" w:type="dxa"/>
          </w:tcPr>
          <w:p>
            <w:pPr>
              <w:pStyle w:val="yTableNAm"/>
            </w:pPr>
            <w:r>
              <w:rPr>
                <w:sz w:val="16"/>
                <w:szCs w:val="16"/>
              </w:rPr>
              <w:t>71.5739</w:t>
            </w:r>
          </w:p>
        </w:tc>
        <w:tc>
          <w:tcPr>
            <w:tcW w:w="1370" w:type="dxa"/>
          </w:tcPr>
          <w:p>
            <w:pPr>
              <w:pStyle w:val="yTableNAm"/>
            </w:pPr>
            <w:r>
              <w:rPr>
                <w:sz w:val="16"/>
                <w:szCs w:val="16"/>
              </w:rPr>
              <w:t>80.8485</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80.3688</w:t>
            </w:r>
          </w:p>
        </w:tc>
        <w:tc>
          <w:tcPr>
            <w:tcW w:w="1512" w:type="dxa"/>
          </w:tcPr>
          <w:p>
            <w:pPr>
              <w:pStyle w:val="yTableNAm"/>
            </w:pPr>
            <w:r>
              <w:rPr>
                <w:sz w:val="16"/>
                <w:szCs w:val="16"/>
              </w:rPr>
              <w:t>83.9827</w:t>
            </w:r>
          </w:p>
        </w:tc>
        <w:tc>
          <w:tcPr>
            <w:tcW w:w="1370" w:type="dxa"/>
          </w:tcPr>
          <w:p>
            <w:pPr>
              <w:pStyle w:val="yTableNAm"/>
            </w:pPr>
            <w:r>
              <w:rPr>
                <w:sz w:val="16"/>
                <w:szCs w:val="16"/>
              </w:rPr>
              <w:t>97.7666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93.4969</w:t>
            </w:r>
          </w:p>
        </w:tc>
        <w:tc>
          <w:tcPr>
            <w:tcW w:w="1512" w:type="dxa"/>
          </w:tcPr>
          <w:p>
            <w:pPr>
              <w:pStyle w:val="yTableNAm"/>
            </w:pPr>
            <w:r>
              <w:rPr>
                <w:sz w:val="16"/>
                <w:szCs w:val="16"/>
              </w:rPr>
              <w:t>97.1589</w:t>
            </w:r>
          </w:p>
        </w:tc>
        <w:tc>
          <w:tcPr>
            <w:tcW w:w="1370" w:type="dxa"/>
          </w:tcPr>
          <w:p>
            <w:pPr>
              <w:pStyle w:val="yTableNAm"/>
            </w:pPr>
            <w:r>
              <w:rPr>
                <w:sz w:val="16"/>
                <w:szCs w:val="16"/>
              </w:rPr>
              <w:t>110.9588</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32.8607</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36.1066</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38.6973</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47.8599</w:t>
            </w:r>
          </w:p>
        </w:tc>
        <w:tc>
          <w:tcPr>
            <w:tcW w:w="1512" w:type="dxa"/>
          </w:tcPr>
          <w:p>
            <w:pPr>
              <w:pStyle w:val="yTableNAm"/>
            </w:pPr>
            <w:r>
              <w:rPr>
                <w:sz w:val="16"/>
                <w:szCs w:val="16"/>
              </w:rPr>
              <w:t>49.4109</w:t>
            </w:r>
          </w:p>
        </w:tc>
        <w:tc>
          <w:tcPr>
            <w:tcW w:w="1370" w:type="dxa"/>
          </w:tcPr>
          <w:p>
            <w:pPr>
              <w:pStyle w:val="yTableNAm"/>
            </w:pPr>
            <w:r>
              <w:rPr>
                <w:sz w:val="16"/>
                <w:szCs w:val="16"/>
              </w:rPr>
              <w:t>55.0076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76.9627</w:t>
            </w:r>
          </w:p>
        </w:tc>
        <w:tc>
          <w:tcPr>
            <w:tcW w:w="1512" w:type="dxa"/>
          </w:tcPr>
          <w:p>
            <w:pPr>
              <w:pStyle w:val="yTableNAm"/>
            </w:pPr>
            <w:r>
              <w:rPr>
                <w:sz w:val="16"/>
                <w:szCs w:val="16"/>
              </w:rPr>
              <w:t>79.9689</w:t>
            </w:r>
          </w:p>
        </w:tc>
        <w:tc>
          <w:tcPr>
            <w:tcW w:w="1370" w:type="dxa"/>
          </w:tcPr>
          <w:p>
            <w:pPr>
              <w:pStyle w:val="yTableNAm"/>
            </w:pPr>
            <w:r>
              <w:rPr>
                <w:sz w:val="16"/>
                <w:szCs w:val="16"/>
              </w:rPr>
              <w:t>91.2583</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54.1284</w:t>
            </w:r>
          </w:p>
        </w:tc>
        <w:tc>
          <w:tcPr>
            <w:tcW w:w="1512" w:type="dxa"/>
            <w:tcBorders>
              <w:bottom w:val="single" w:sz="4" w:space="0" w:color="auto"/>
            </w:tcBorders>
          </w:tcPr>
          <w:p>
            <w:pPr>
              <w:pStyle w:val="yTableNAm"/>
            </w:pPr>
            <w:r>
              <w:rPr>
                <w:sz w:val="16"/>
                <w:szCs w:val="16"/>
              </w:rPr>
              <w:t>54.8797</w:t>
            </w:r>
          </w:p>
        </w:tc>
        <w:tc>
          <w:tcPr>
            <w:tcW w:w="1370" w:type="dxa"/>
            <w:tcBorders>
              <w:bottom w:val="single" w:sz="4" w:space="0" w:color="auto"/>
            </w:tcBorders>
          </w:tcPr>
          <w:p>
            <w:pPr>
              <w:pStyle w:val="yTableNAm"/>
            </w:pPr>
            <w:r>
              <w:rPr>
                <w:sz w:val="16"/>
                <w:szCs w:val="16"/>
              </w:rPr>
              <w:t>63.6745</w:t>
            </w:r>
          </w:p>
        </w:tc>
      </w:tr>
    </w:tbl>
    <w:p>
      <w:pPr>
        <w:pStyle w:val="yFootnotesection"/>
      </w:pPr>
      <w:r>
        <w:tab/>
        <w:t>[Division 1 inserted in Gazette 31 Aug 2016 p. 3708</w:t>
      </w:r>
      <w:r>
        <w:noBreakHyphen/>
        <w:t>10.]</w:t>
      </w:r>
    </w:p>
    <w:p>
      <w:pPr>
        <w:pStyle w:val="yHeading3"/>
        <w:pageBreakBefore/>
        <w:spacing w:before="0"/>
        <w:rPr>
          <w:b w:val="0"/>
        </w:rPr>
      </w:pPr>
      <w:bookmarkStart w:id="58" w:name="_Toc423343943"/>
      <w:bookmarkStart w:id="59" w:name="_Toc423344427"/>
      <w:bookmarkStart w:id="60" w:name="_Toc423442523"/>
      <w:bookmarkStart w:id="61" w:name="_Toc455137036"/>
      <w:bookmarkStart w:id="62" w:name="_Toc460415773"/>
      <w:bookmarkStart w:id="63" w:name="_Toc460417495"/>
      <w:bookmarkEnd w:id="54"/>
      <w:bookmarkEnd w:id="55"/>
      <w:bookmarkEnd w:id="56"/>
      <w:bookmarkEnd w:id="57"/>
      <w:r>
        <w:rPr>
          <w:rStyle w:val="CharSDivNo"/>
        </w:rPr>
        <w:t>Division 2</w:t>
      </w:r>
      <w:r>
        <w:rPr>
          <w:b w:val="0"/>
        </w:rPr>
        <w:t> — </w:t>
      </w:r>
      <w:r>
        <w:rPr>
          <w:rStyle w:val="CharSDivText"/>
        </w:rPr>
        <w:t>Miscellaneous</w:t>
      </w:r>
      <w:bookmarkEnd w:id="58"/>
      <w:bookmarkEnd w:id="59"/>
      <w:bookmarkEnd w:id="60"/>
      <w:bookmarkEnd w:id="61"/>
      <w:bookmarkEnd w:id="62"/>
      <w:bookmarkEnd w:id="63"/>
    </w:p>
    <w:p>
      <w:pPr>
        <w:pStyle w:val="yFootnoteheading"/>
        <w:spacing w:after="120"/>
      </w:pPr>
      <w:r>
        <w:tab/>
        <w:t>[Heading inserted in Gazette 26 Jun 2015 p. 2252.]</w:t>
      </w:r>
    </w:p>
    <w:p>
      <w:pPr>
        <w:pStyle w:val="yHeading5"/>
      </w:pPr>
      <w:bookmarkStart w:id="64" w:name="_Toc460417496"/>
      <w:r>
        <w:rPr>
          <w:rStyle w:val="CharSClsNo"/>
        </w:rPr>
        <w:t>1</w:t>
      </w:r>
      <w:r>
        <w:t>.</w:t>
      </w:r>
      <w:r>
        <w:tab/>
        <w:t>Traffic light installations</w:t>
      </w:r>
      <w:bookmarkEnd w:id="64"/>
    </w:p>
    <w:p>
      <w:pPr>
        <w:pStyle w:val="ySubsection"/>
      </w:pPr>
      <w:r>
        <w:tab/>
      </w:r>
      <w:r>
        <w:tab/>
        <w:t xml:space="preserve">Supply of electricity to traffic light installations comprises a charge of </w:t>
      </w:r>
      <w:r>
        <w:rPr>
          <w:szCs w:val="22"/>
        </w:rPr>
        <w:t>$6.4517</w:t>
      </w:r>
      <w:r>
        <w:t xml:space="preserve"> per day per kW of installed wattage.</w:t>
      </w:r>
    </w:p>
    <w:p>
      <w:pPr>
        <w:pStyle w:val="yFootnotesection"/>
      </w:pPr>
      <w:r>
        <w:tab/>
        <w:t>[Clause 1 inserted in Gazette 26 Jun 2015 p. 2252; amended in Gazette 31 Aug 2016 p. 3710.]</w:t>
      </w:r>
    </w:p>
    <w:p>
      <w:pPr>
        <w:pStyle w:val="yHeading5"/>
      </w:pPr>
      <w:bookmarkStart w:id="65" w:name="_Toc460417497"/>
      <w:r>
        <w:rPr>
          <w:rStyle w:val="CharSClsNo"/>
        </w:rPr>
        <w:t>2</w:t>
      </w:r>
      <w:r>
        <w:t>.</w:t>
      </w:r>
      <w:r>
        <w:tab/>
        <w:t>Public telephone facility</w:t>
      </w:r>
      <w:bookmarkEnd w:id="65"/>
    </w:p>
    <w:p>
      <w:pPr>
        <w:pStyle w:val="ySubsection"/>
      </w:pPr>
      <w:r>
        <w:tab/>
      </w:r>
      <w:r>
        <w:tab/>
        <w:t xml:space="preserve">Supply of electricity to a standard public telephone facility where supply is not independently metered comprises a charge of </w:t>
      </w:r>
      <w:r>
        <w:rPr>
          <w:szCs w:val="22"/>
        </w:rPr>
        <w:t>56.3511</w:t>
      </w:r>
      <w:r>
        <w:t xml:space="preserve"> cents per day.</w:t>
      </w:r>
    </w:p>
    <w:p>
      <w:pPr>
        <w:pStyle w:val="yFootnotesection"/>
      </w:pPr>
      <w:r>
        <w:tab/>
        <w:t>[Clause 2 inserted in Gazette 26 Jun 2015 p. 2252; amended in Gazette 31 Aug 2016 p. 3710.]</w:t>
      </w:r>
    </w:p>
    <w:p>
      <w:pPr>
        <w:pStyle w:val="yHeading5"/>
      </w:pPr>
      <w:bookmarkStart w:id="66" w:name="_Toc460417498"/>
      <w:r>
        <w:rPr>
          <w:rStyle w:val="CharSClsNo"/>
        </w:rPr>
        <w:t>3</w:t>
      </w:r>
      <w:r>
        <w:t>.</w:t>
      </w:r>
      <w:r>
        <w:tab/>
        <w:t>Railway crossing</w:t>
      </w:r>
      <w:bookmarkEnd w:id="66"/>
    </w:p>
    <w:p>
      <w:pPr>
        <w:pStyle w:val="ySubsection"/>
      </w:pPr>
      <w:r>
        <w:tab/>
      </w:r>
      <w:r>
        <w:tab/>
        <w:t xml:space="preserve">Supply of electricity to standard railway crossing lights comprises a charge of </w:t>
      </w:r>
      <w:r>
        <w:rPr>
          <w:szCs w:val="22"/>
        </w:rPr>
        <w:t>72.0130</w:t>
      </w:r>
      <w:r>
        <w:t xml:space="preserve"> cents per day.</w:t>
      </w:r>
    </w:p>
    <w:p>
      <w:pPr>
        <w:pStyle w:val="yFootnotesection"/>
      </w:pPr>
      <w:r>
        <w:tab/>
        <w:t>[Clause 3 inserted in Gazette 26 Jun 2015 p. 2252; amended in Gazette 31 Aug 2016 p. 3710.]</w:t>
      </w:r>
    </w:p>
    <w:bookmarkEnd w:id="48"/>
    <w:bookmarkEnd w:id="49"/>
    <w:bookmarkEnd w:id="50"/>
    <w:bookmarkEnd w:id="51"/>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7" w:name="_Toc399137935"/>
      <w:bookmarkStart w:id="68" w:name="_Toc401908222"/>
      <w:bookmarkStart w:id="69" w:name="_Toc416788404"/>
      <w:bookmarkStart w:id="70" w:name="_Toc416788436"/>
      <w:bookmarkStart w:id="71" w:name="_Toc423343947"/>
      <w:bookmarkStart w:id="72" w:name="_Toc423344431"/>
      <w:bookmarkStart w:id="73" w:name="_Toc423442527"/>
      <w:bookmarkStart w:id="74" w:name="_Toc455137040"/>
      <w:bookmarkStart w:id="75" w:name="_Toc460415777"/>
      <w:bookmarkStart w:id="76" w:name="_Toc460417499"/>
      <w:r>
        <w:rPr>
          <w:rStyle w:val="CharSchNo"/>
        </w:rPr>
        <w:t>Schedule 3</w:t>
      </w:r>
      <w:r>
        <w:rPr>
          <w:rStyle w:val="CharSDivNo"/>
        </w:rPr>
        <w:t> </w:t>
      </w:r>
      <w:r>
        <w:t>—</w:t>
      </w:r>
      <w:r>
        <w:rPr>
          <w:rStyle w:val="CharSDivText"/>
        </w:rPr>
        <w:t> </w:t>
      </w:r>
      <w:r>
        <w:rPr>
          <w:rStyle w:val="CharSchText"/>
        </w:rPr>
        <w:t>Meter rentals</w:t>
      </w:r>
      <w:bookmarkEnd w:id="67"/>
      <w:bookmarkEnd w:id="68"/>
      <w:bookmarkEnd w:id="69"/>
      <w:bookmarkEnd w:id="70"/>
      <w:bookmarkEnd w:id="71"/>
      <w:bookmarkEnd w:id="72"/>
      <w:bookmarkEnd w:id="73"/>
      <w:bookmarkEnd w:id="74"/>
      <w:bookmarkEnd w:id="75"/>
      <w:bookmarkEnd w:id="76"/>
    </w:p>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7" w:name="_Toc455137041"/>
      <w:bookmarkStart w:id="78" w:name="_Toc460415778"/>
      <w:bookmarkStart w:id="79" w:name="_Toc460417500"/>
      <w:bookmarkStart w:id="80" w:name="_Toc399137936"/>
      <w:bookmarkStart w:id="81" w:name="_Toc401908223"/>
      <w:bookmarkStart w:id="82" w:name="_Toc416788405"/>
      <w:bookmarkStart w:id="83" w:name="_Toc416788437"/>
      <w:bookmarkStart w:id="84" w:name="_Toc423343948"/>
      <w:bookmarkStart w:id="85" w:name="_Toc423344432"/>
      <w:bookmarkStart w:id="86" w:name="_Toc423442528"/>
      <w:r>
        <w:rPr>
          <w:rStyle w:val="CharSchNo"/>
        </w:rPr>
        <w:t>Schedule 4</w:t>
      </w:r>
      <w:r>
        <w:rPr>
          <w:rStyle w:val="CharSDivNo"/>
        </w:rPr>
        <w:t> </w:t>
      </w:r>
      <w:r>
        <w:t>—</w:t>
      </w:r>
      <w:r>
        <w:rPr>
          <w:rStyle w:val="CharSDivText"/>
        </w:rPr>
        <w:t> </w:t>
      </w:r>
      <w:r>
        <w:rPr>
          <w:rStyle w:val="CharSchText"/>
        </w:rPr>
        <w:t>Fees</w:t>
      </w:r>
      <w:bookmarkEnd w:id="77"/>
      <w:bookmarkEnd w:id="78"/>
      <w:bookmarkEnd w:id="79"/>
    </w:p>
    <w:p>
      <w:pPr>
        <w:pStyle w:val="yShoulderClause"/>
      </w:pPr>
      <w:r>
        <w:t>[bl. 7]</w:t>
      </w:r>
    </w:p>
    <w:p>
      <w:pPr>
        <w:pStyle w:val="yFootnoteheading"/>
        <w:spacing w:after="60"/>
      </w:pPr>
      <w:r>
        <w:tab/>
        <w:t>[Heading inserted in Gazette 28 Jun 2016 p. 2628.]</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075"/>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$34.14</w:t>
            </w:r>
          </w:p>
        </w:tc>
      </w:tr>
      <w:t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384"/>
                <w:tab w:val="left" w:pos="902"/>
                <w:tab w:val="right" w:leader="dot" w:pos="5075"/>
              </w:tabs>
              <w:ind w:left="919" w:hanging="919"/>
            </w:pPr>
            <w:r>
              <w:tab/>
              <w:t>(a)</w:t>
            </w:r>
            <w:r>
              <w:tab/>
            </w:r>
            <w:r>
              <w:rPr>
                <w:iCs/>
              </w:rPr>
              <w:t>new</w:t>
            </w:r>
            <w:r>
              <w:t xml:space="preserve"> installation or replacement of single phase meter </w:t>
            </w:r>
            <w:r>
              <w:tab/>
            </w:r>
          </w:p>
          <w:p>
            <w:pPr>
              <w:pStyle w:val="yTableNAm"/>
              <w:tabs>
                <w:tab w:val="clear" w:pos="567"/>
                <w:tab w:val="left" w:pos="384"/>
                <w:tab w:val="left" w:pos="902"/>
                <w:tab w:val="right" w:leader="dot" w:pos="5075"/>
              </w:tabs>
              <w:ind w:left="919" w:hanging="919"/>
              <w:rPr>
                <w:b/>
                <w:iCs/>
              </w:rPr>
            </w:pPr>
            <w:r>
              <w:tab/>
              <w:t>(b)</w:t>
            </w:r>
            <w:r>
              <w:tab/>
              <w:t xml:space="preserve">installation of subsidiary three phase meter (each installation) </w:t>
            </w:r>
            <w:r>
              <w:tab/>
            </w:r>
          </w:p>
        </w:tc>
        <w:tc>
          <w:tcPr>
            <w:tcW w:w="1276" w:type="dxa"/>
          </w:tcPr>
          <w:p>
            <w:pPr>
              <w:pStyle w:val="yTableNAm"/>
            </w:pPr>
          </w:p>
          <w:p>
            <w:pPr>
              <w:pStyle w:val="yTableNAm"/>
            </w:pPr>
            <w:r>
              <w:br/>
              <w:t>$585.03</w:t>
            </w:r>
          </w:p>
          <w:p>
            <w:pPr>
              <w:pStyle w:val="yTableNAm"/>
            </w:pPr>
            <w:r>
              <w:rPr>
                <w:sz w:val="24"/>
              </w:rPr>
              <w:br/>
            </w:r>
            <w:r>
              <w:t>$149.99</w:t>
            </w:r>
          </w:p>
        </w:tc>
      </w:tr>
      <w:tr>
        <w:tc>
          <w:tcPr>
            <w:tcW w:w="567" w:type="dxa"/>
          </w:tcPr>
          <w:p>
            <w:pPr>
              <w:pStyle w:val="yTableNAm"/>
            </w:pPr>
            <w:r>
              <w:t>3.</w:t>
            </w:r>
          </w:p>
        </w:tc>
        <w:tc>
          <w:tcPr>
            <w:tcW w:w="5245" w:type="dxa"/>
          </w:tcPr>
          <w:p>
            <w:pPr>
              <w:pStyle w:val="yTableNAm"/>
              <w:tabs>
                <w:tab w:val="clear" w:pos="567"/>
                <w:tab w:val="right" w:leader="dot" w:pos="5075"/>
              </w:tabs>
            </w:pPr>
            <w:r>
              <w:t>Non</w:t>
            </w:r>
            <w:r>
              <w:noBreakHyphen/>
              <w:t>refundable reconnection fee where supply has been terminated for non</w:t>
            </w:r>
            <w:r>
              <w:noBreakHyphen/>
              <w:t>payment of charges or for any other lawful reason</w:t>
            </w:r>
            <w:r>
              <w:tab/>
            </w:r>
          </w:p>
        </w:tc>
        <w:tc>
          <w:tcPr>
            <w:tcW w:w="1276" w:type="dxa"/>
          </w:tcPr>
          <w:p>
            <w:pPr>
              <w:pStyle w:val="yTableNAm"/>
            </w:pPr>
            <w:r>
              <w:rPr>
                <w:bCs/>
                <w:iCs/>
              </w:rPr>
              <w:br/>
            </w:r>
            <w:r>
              <w:rPr>
                <w:bCs/>
                <w:iCs/>
              </w:rPr>
              <w:br/>
              <w:t>$31.41</w:t>
            </w:r>
          </w:p>
        </w:tc>
      </w:tr>
      <w:tr>
        <w:tc>
          <w:tcPr>
            <w:tcW w:w="567" w:type="dxa"/>
          </w:tcPr>
          <w:p>
            <w:pPr>
              <w:pStyle w:val="yTableNAm"/>
            </w:pPr>
            <w:r>
              <w:t>5.</w:t>
            </w:r>
          </w:p>
        </w:tc>
        <w:tc>
          <w:tcPr>
            <w:tcW w:w="5245" w:type="dxa"/>
          </w:tcPr>
          <w:p>
            <w:pPr>
              <w:pStyle w:val="yTableNAm"/>
            </w:pPr>
            <w:r>
              <w:t>Temporary supply connection — </w:t>
            </w:r>
          </w:p>
          <w:p>
            <w:pPr>
              <w:pStyle w:val="yTableNAm"/>
              <w:tabs>
                <w:tab w:val="clear" w:pos="567"/>
                <w:tab w:val="left" w:pos="384"/>
                <w:tab w:val="left" w:pos="902"/>
                <w:tab w:val="right" w:leader="dot" w:pos="5075"/>
              </w:tabs>
              <w:ind w:left="919" w:hanging="919"/>
            </w:pPr>
            <w:r>
              <w:tab/>
              <w:t>(a)</w:t>
            </w:r>
            <w:r>
              <w:tab/>
              <w:t xml:space="preserve">single phase (overhead) </w:t>
            </w:r>
            <w:r>
              <w:tab/>
            </w:r>
          </w:p>
          <w:p>
            <w:pPr>
              <w:pStyle w:val="yTableNAm"/>
              <w:tabs>
                <w:tab w:val="clear" w:pos="567"/>
                <w:tab w:val="left" w:pos="384"/>
                <w:tab w:val="left" w:pos="902"/>
                <w:tab w:val="right" w:leader="dot" w:pos="5075"/>
              </w:tabs>
              <w:ind w:left="919" w:hanging="919"/>
              <w:rPr>
                <w:b/>
                <w:iCs/>
              </w:rPr>
            </w:pPr>
            <w:r>
              <w:tab/>
              <w:t>(b)</w:t>
            </w:r>
            <w:r>
              <w:tab/>
              <w:t xml:space="preserve">three phase (overhead) </w:t>
            </w:r>
            <w:r>
              <w:tab/>
            </w:r>
          </w:p>
        </w:tc>
        <w:tc>
          <w:tcPr>
            <w:tcW w:w="1276" w:type="dxa"/>
          </w:tcPr>
          <w:p>
            <w:pPr>
              <w:pStyle w:val="yTableNAm"/>
            </w:pPr>
          </w:p>
          <w:p>
            <w:pPr>
              <w:pStyle w:val="yTableNAm"/>
            </w:pPr>
            <w:r>
              <w:t>$1 065.38</w:t>
            </w:r>
          </w:p>
          <w:p>
            <w:pPr>
              <w:pStyle w:val="yTableNAm"/>
            </w:pPr>
            <w:r>
              <w:t>$1 065.38</w:t>
            </w:r>
          </w:p>
        </w:tc>
      </w:tr>
      <w:tr>
        <w:tc>
          <w:tcPr>
            <w:tcW w:w="567" w:type="dxa"/>
          </w:tcPr>
          <w:p>
            <w:pPr>
              <w:pStyle w:val="yTableNAm"/>
            </w:pPr>
            <w:r>
              <w:t>6.</w:t>
            </w:r>
          </w:p>
        </w:tc>
        <w:tc>
          <w:tcPr>
            <w:tcW w:w="5245" w:type="dxa"/>
          </w:tcPr>
          <w:p>
            <w:pPr>
              <w:pStyle w:val="yTableNAm"/>
            </w:pPr>
            <w:r>
              <w:t>Meter testing — </w:t>
            </w:r>
          </w:p>
          <w:p>
            <w:pPr>
              <w:pStyle w:val="yTableNAm"/>
              <w:tabs>
                <w:tab w:val="clear" w:pos="567"/>
                <w:tab w:val="left" w:pos="384"/>
                <w:tab w:val="left" w:pos="902"/>
                <w:tab w:val="right" w:leader="dot" w:pos="5075"/>
              </w:tabs>
              <w:ind w:left="919" w:hanging="919"/>
            </w:pPr>
            <w:r>
              <w:tab/>
              <w:t>(a)</w:t>
            </w:r>
            <w:r>
              <w:tab/>
              <w:t xml:space="preserve">standard meter testing fee </w:t>
            </w:r>
            <w:r>
              <w:tab/>
            </w:r>
          </w:p>
          <w:p>
            <w:pPr>
              <w:pStyle w:val="yTableNAm"/>
              <w:tabs>
                <w:tab w:val="clear" w:pos="567"/>
                <w:tab w:val="left" w:pos="384"/>
                <w:tab w:val="left" w:pos="902"/>
                <w:tab w:val="right" w:leader="dot" w:pos="5075"/>
              </w:tabs>
              <w:ind w:left="919" w:hanging="919"/>
            </w:pPr>
            <w:r>
              <w:tab/>
              <w:t>(b)</w:t>
            </w:r>
            <w:r>
              <w:tab/>
              <w:t xml:space="preserve">reduced meter testing fee </w:t>
            </w:r>
            <w:r>
              <w:tab/>
            </w:r>
          </w:p>
        </w:tc>
        <w:tc>
          <w:tcPr>
            <w:tcW w:w="1276" w:type="dxa"/>
          </w:tcPr>
          <w:p>
            <w:pPr>
              <w:pStyle w:val="yTableNAm"/>
            </w:pPr>
          </w:p>
          <w:p>
            <w:pPr>
              <w:pStyle w:val="yTableNAm"/>
            </w:pPr>
            <w:r>
              <w:t>$153.52</w:t>
            </w:r>
          </w:p>
          <w:p>
            <w:pPr>
              <w:pStyle w:val="yTableNAm"/>
            </w:pPr>
            <w:r>
              <w:t>$141.20</w:t>
            </w:r>
          </w:p>
        </w:tc>
      </w:tr>
      <w:tr>
        <w:tc>
          <w:tcPr>
            <w:tcW w:w="567" w:type="dxa"/>
          </w:tcPr>
          <w:p>
            <w:pPr>
              <w:pStyle w:val="yTableNAm"/>
            </w:pPr>
            <w:r>
              <w:t>7.</w:t>
            </w:r>
          </w:p>
        </w:tc>
        <w:tc>
          <w:tcPr>
            <w:tcW w:w="5245" w:type="dxa"/>
          </w:tcPr>
          <w:p>
            <w:pPr>
              <w:pStyle w:val="yTableNAm"/>
              <w:tabs>
                <w:tab w:val="clear" w:pos="567"/>
                <w:tab w:val="right" w:leader="dot" w:pos="5075"/>
              </w:tabs>
            </w:pPr>
            <w:r>
              <w:t xml:space="preserve">Disconnection of </w:t>
            </w:r>
            <w:r>
              <w:rPr>
                <w:iCs/>
              </w:rPr>
              <w:t>overhead</w:t>
            </w:r>
            <w:r>
              <w:t xml:space="preserve"> service </w:t>
            </w:r>
            <w:r>
              <w:rPr>
                <w:iCs/>
              </w:rPr>
              <w:t>leads</w:t>
            </w:r>
            <w:r>
              <w:t xml:space="preserve"> following unauthorised reconnection </w:t>
            </w:r>
            <w:r>
              <w:tab/>
            </w:r>
          </w:p>
        </w:tc>
        <w:tc>
          <w:tcPr>
            <w:tcW w:w="1276" w:type="dxa"/>
          </w:tcPr>
          <w:p>
            <w:pPr>
              <w:pStyle w:val="yTableNAm"/>
            </w:pPr>
            <w:r>
              <w:rPr>
                <w:bCs/>
                <w:iCs/>
              </w:rPr>
              <w:br/>
            </w:r>
            <w:r>
              <w:t>$416.12</w:t>
            </w:r>
          </w:p>
        </w:tc>
      </w:tr>
      <w:tr>
        <w:tc>
          <w:tcPr>
            <w:tcW w:w="567" w:type="dxa"/>
          </w:tcPr>
          <w:p>
            <w:pPr>
              <w:pStyle w:val="yTableNAm"/>
            </w:pPr>
            <w:r>
              <w:t>8.</w:t>
            </w:r>
          </w:p>
        </w:tc>
        <w:tc>
          <w:tcPr>
            <w:tcW w:w="5245" w:type="dxa"/>
          </w:tcPr>
          <w:p>
            <w:pPr>
              <w:pStyle w:val="yTableNAm"/>
              <w:tabs>
                <w:tab w:val="clear" w:pos="567"/>
                <w:tab w:val="right" w:leader="dot" w:pos="5075"/>
              </w:tabs>
            </w:pPr>
            <w:r>
              <w:t xml:space="preserve">Meter reading where reading requested by consumer </w:t>
            </w:r>
            <w:r>
              <w:tab/>
            </w:r>
          </w:p>
        </w:tc>
        <w:tc>
          <w:tcPr>
            <w:tcW w:w="1276" w:type="dxa"/>
          </w:tcPr>
          <w:p>
            <w:pPr>
              <w:pStyle w:val="yTableNAm"/>
            </w:pPr>
            <w:r>
              <w:t>$23.00</w:t>
            </w:r>
          </w:p>
        </w:tc>
      </w:tr>
      <w:tr>
        <w:tc>
          <w:tcPr>
            <w:tcW w:w="567" w:type="dxa"/>
          </w:tcPr>
          <w:p>
            <w:pPr>
              <w:pStyle w:val="yTableNAm"/>
            </w:pPr>
            <w:r>
              <w:t>10.</w:t>
            </w:r>
          </w:p>
        </w:tc>
        <w:tc>
          <w:tcPr>
            <w:tcW w:w="5245" w:type="dxa"/>
          </w:tcPr>
          <w:p>
            <w:pPr>
              <w:pStyle w:val="yTableNAm"/>
              <w:tabs>
                <w:tab w:val="clear" w:pos="567"/>
                <w:tab w:val="right" w:leader="dot" w:pos="5075"/>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11.</w:t>
            </w:r>
          </w:p>
        </w:tc>
        <w:tc>
          <w:tcPr>
            <w:tcW w:w="5245" w:type="dxa"/>
          </w:tcPr>
          <w:p>
            <w:pPr>
              <w:pStyle w:val="yTableNAm"/>
              <w:tabs>
                <w:tab w:val="clear" w:pos="567"/>
                <w:tab w:val="right" w:leader="dot" w:pos="5075"/>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keepNext/>
            </w:pPr>
            <w:r>
              <w:t>12.</w:t>
            </w:r>
          </w:p>
        </w:tc>
        <w:tc>
          <w:tcPr>
            <w:tcW w:w="5245" w:type="dxa"/>
          </w:tcPr>
          <w:p>
            <w:pPr>
              <w:pStyle w:val="yTableNAm"/>
              <w:keepNext/>
            </w:pPr>
            <w:r>
              <w:t>A transaction fee where a consumer makes a payment to the corporation by means of one of the following — </w:t>
            </w:r>
          </w:p>
        </w:tc>
        <w:tc>
          <w:tcPr>
            <w:tcW w:w="1276" w:type="dxa"/>
          </w:tcPr>
          <w:p>
            <w:pPr>
              <w:pStyle w:val="yTableNAm"/>
              <w:keepNext/>
            </w:pPr>
          </w:p>
        </w:tc>
      </w:tr>
      <w:tr>
        <w:trPr>
          <w:cantSplit/>
        </w:trPr>
        <w:tc>
          <w:tcPr>
            <w:tcW w:w="567" w:type="dxa"/>
          </w:tcPr>
          <w:p>
            <w:pPr>
              <w:pStyle w:val="zyTableNAm"/>
            </w:pPr>
          </w:p>
        </w:tc>
        <w:tc>
          <w:tcPr>
            <w:tcW w:w="5245" w:type="dxa"/>
          </w:tcPr>
          <w:p>
            <w:pPr>
              <w:pStyle w:val="yTableNAm"/>
              <w:tabs>
                <w:tab w:val="clear" w:pos="567"/>
                <w:tab w:val="left" w:pos="384"/>
                <w:tab w:val="left" w:pos="902"/>
                <w:tab w:val="right" w:leader="dot" w:pos="5075"/>
              </w:tabs>
              <w:ind w:left="919" w:hanging="919"/>
            </w:pPr>
            <w:r>
              <w:tab/>
              <w:t>(a)</w:t>
            </w:r>
            <w:r>
              <w:tab/>
              <w:t xml:space="preserve">a Visa or a MasterCard credit card or debit card </w:t>
            </w:r>
            <w:r>
              <w:tab/>
            </w:r>
          </w:p>
        </w:tc>
        <w:tc>
          <w:tcPr>
            <w:tcW w:w="1276" w:type="dxa"/>
          </w:tcPr>
          <w:p>
            <w:pPr>
              <w:pStyle w:val="yTableNAm"/>
            </w:pPr>
            <w:r>
              <w:t>0.7%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384"/>
                <w:tab w:val="left" w:pos="902"/>
                <w:tab w:val="right" w:leader="dot" w:pos="5075"/>
              </w:tabs>
              <w:ind w:left="919" w:hanging="919"/>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13.</w:t>
            </w:r>
          </w:p>
        </w:tc>
        <w:tc>
          <w:tcPr>
            <w:tcW w:w="5245" w:type="dxa"/>
          </w:tcPr>
          <w:p>
            <w:pPr>
              <w:pStyle w:val="yTableNAm"/>
              <w:tabs>
                <w:tab w:val="clear" w:pos="567"/>
                <w:tab w:val="right" w:leader="dot" w:pos="5075"/>
              </w:tabs>
            </w:pPr>
            <w:r>
              <w:t xml:space="preserve">Remote configurations </w:t>
            </w:r>
            <w:r>
              <w:tab/>
            </w:r>
          </w:p>
        </w:tc>
        <w:tc>
          <w:tcPr>
            <w:tcW w:w="1276" w:type="dxa"/>
          </w:tcPr>
          <w:p>
            <w:pPr>
              <w:pStyle w:val="yTableNAm"/>
            </w:pPr>
            <w:r>
              <w:t>$25.00</w:t>
            </w:r>
          </w:p>
        </w:tc>
      </w:tr>
      <w:tr>
        <w:trPr>
          <w:cantSplit/>
        </w:trPr>
        <w:tc>
          <w:tcPr>
            <w:tcW w:w="567" w:type="dxa"/>
          </w:tcPr>
          <w:p>
            <w:pPr>
              <w:pStyle w:val="yTableNAm"/>
            </w:pPr>
            <w:r>
              <w:t>14.</w:t>
            </w:r>
          </w:p>
        </w:tc>
        <w:tc>
          <w:tcPr>
            <w:tcW w:w="5245" w:type="dxa"/>
          </w:tcPr>
          <w:p>
            <w:pPr>
              <w:pStyle w:val="yTableNAm"/>
              <w:tabs>
                <w:tab w:val="clear" w:pos="567"/>
                <w:tab w:val="right" w:leader="dot" w:pos="5075"/>
              </w:tabs>
            </w:pPr>
            <w:r>
              <w:t xml:space="preserve">Meter damage fee </w:t>
            </w:r>
            <w:r>
              <w:tab/>
            </w:r>
          </w:p>
        </w:tc>
        <w:tc>
          <w:tcPr>
            <w:tcW w:w="1276" w:type="dxa"/>
          </w:tcPr>
          <w:p>
            <w:pPr>
              <w:pStyle w:val="yTableNAm"/>
            </w:pPr>
            <w:r>
              <w:t>$967.03</w:t>
            </w:r>
          </w:p>
        </w:tc>
      </w:tr>
      <w:tr>
        <w:trPr>
          <w:cantSplit/>
        </w:trPr>
        <w:tc>
          <w:tcPr>
            <w:tcW w:w="567" w:type="dxa"/>
            <w:tcBorders>
              <w:bottom w:val="single" w:sz="4" w:space="0" w:color="auto"/>
            </w:tcBorders>
          </w:tcPr>
          <w:p>
            <w:pPr>
              <w:pStyle w:val="yTableNAm"/>
            </w:pPr>
            <w:r>
              <w:t>15.</w:t>
            </w:r>
          </w:p>
        </w:tc>
        <w:tc>
          <w:tcPr>
            <w:tcW w:w="5245" w:type="dxa"/>
            <w:tcBorders>
              <w:bottom w:val="single" w:sz="4" w:space="0" w:color="auto"/>
            </w:tcBorders>
          </w:tcPr>
          <w:p>
            <w:pPr>
              <w:pStyle w:val="yTableNAm"/>
              <w:tabs>
                <w:tab w:val="clear" w:pos="567"/>
                <w:tab w:val="right" w:leader="dot" w:pos="5075"/>
              </w:tabs>
            </w:pPr>
            <w:r>
              <w:t xml:space="preserve">Remote connection or disconnection </w:t>
            </w:r>
            <w:r>
              <w:tab/>
            </w:r>
          </w:p>
        </w:tc>
        <w:tc>
          <w:tcPr>
            <w:tcW w:w="1276" w:type="dxa"/>
            <w:tcBorders>
              <w:bottom w:val="single" w:sz="4" w:space="0" w:color="auto"/>
            </w:tcBorders>
          </w:tcPr>
          <w:p>
            <w:pPr>
              <w:pStyle w:val="yTableNAm"/>
            </w:pPr>
            <w:r>
              <w:t>$6.00</w:t>
            </w:r>
          </w:p>
        </w:tc>
      </w:tr>
    </w:tbl>
    <w:p>
      <w:pPr>
        <w:pStyle w:val="yFootnotesection"/>
      </w:pPr>
      <w:r>
        <w:tab/>
        <w:t>[Schedule 4 inserted in Gazette 28 Jun 2016 p. 2628.]</w:t>
      </w:r>
    </w:p>
    <w:bookmarkEnd w:id="80"/>
    <w:bookmarkEnd w:id="81"/>
    <w:bookmarkEnd w:id="82"/>
    <w:bookmarkEnd w:id="83"/>
    <w:bookmarkEnd w:id="84"/>
    <w:bookmarkEnd w:id="85"/>
    <w:bookmarkEnd w:id="8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87" w:name="_Toc399137937"/>
      <w:bookmarkStart w:id="88" w:name="_Toc401908224"/>
      <w:bookmarkStart w:id="89" w:name="_Toc416788406"/>
      <w:bookmarkStart w:id="90" w:name="_Toc416788438"/>
      <w:bookmarkStart w:id="91" w:name="_Toc423343949"/>
      <w:bookmarkStart w:id="92" w:name="_Toc423344433"/>
      <w:bookmarkStart w:id="93" w:name="_Toc423442529"/>
      <w:bookmarkStart w:id="94" w:name="_Toc455137042"/>
      <w:bookmarkStart w:id="95" w:name="_Toc460415779"/>
      <w:bookmarkStart w:id="96" w:name="_Toc460417501"/>
      <w:r>
        <w:t>Notes</w:t>
      </w:r>
      <w:bookmarkEnd w:id="87"/>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97" w:name="_Toc401908225"/>
      <w:bookmarkStart w:id="98" w:name="_Toc460417502"/>
      <w:r>
        <w:t>Compilation table</w:t>
      </w:r>
      <w:bookmarkEnd w:id="97"/>
      <w:bookmarkEnd w:id="98"/>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tcBorders>
              <w:bottom w:val="single" w:sz="8" w:space="0" w:color="auto"/>
            </w:tcBorders>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tcBorders>
              <w:bottom w:val="single" w:sz="8" w:space="0" w:color="auto"/>
            </w:tcBorders>
            <w:shd w:val="clear" w:color="auto" w:fill="auto"/>
          </w:tcPr>
          <w:p>
            <w:pPr>
              <w:pStyle w:val="nTable"/>
              <w:keepNext/>
              <w:keepLines/>
              <w:spacing w:after="40"/>
            </w:pPr>
            <w:r>
              <w:t>31 Aug 2016 p. 3707</w:t>
            </w:r>
            <w:r>
              <w:noBreakHyphen/>
              <w:t>10</w:t>
            </w:r>
          </w:p>
        </w:tc>
        <w:tc>
          <w:tcPr>
            <w:tcW w:w="2694" w:type="dxa"/>
            <w:tcBorders>
              <w:bottom w:val="single" w:sz="8" w:space="0" w:color="auto"/>
            </w:tcBorders>
            <w:shd w:val="clear" w:color="auto" w:fill="auto"/>
          </w:tcPr>
          <w:p>
            <w:pPr>
              <w:pStyle w:val="nTable"/>
              <w:keepNext/>
              <w:keepLines/>
              <w:spacing w:after="40"/>
            </w:pPr>
            <w:r>
              <w:t>bl. 1 and 2: 31 Aug 2016 (see bl. 2(a));</w:t>
            </w:r>
            <w:r>
              <w:br/>
              <w:t>By</w:t>
            </w:r>
            <w:r>
              <w:noBreakHyphen/>
              <w:t>laws other than bl. 1 and 2: 1 Sep 2016 (see bl. 2(b))</w:t>
            </w:r>
          </w:p>
        </w:tc>
      </w:tr>
    </w:tbl>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0" w:name="_Toc455137044"/>
      <w:bookmarkStart w:id="101" w:name="_Toc460415781"/>
      <w:bookmarkStart w:id="102" w:name="_Toc460417503"/>
      <w:r>
        <w:rPr>
          <w:sz w:val="28"/>
        </w:rPr>
        <w:t>Defined terms</w:t>
      </w:r>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interest period</w:t>
      </w:r>
      <w:r>
        <w:tab/>
        <w:t>12(1)</w:t>
      </w:r>
    </w:p>
    <w:p>
      <w:pPr>
        <w:pStyle w:val="DefinedTerms"/>
      </w:pPr>
      <w:r>
        <w:t>North West interconnected system</w:t>
      </w:r>
      <w:r>
        <w:tab/>
        <w:t>4(1A), 4(2A)</w:t>
      </w:r>
    </w:p>
    <w:p>
      <w:pPr>
        <w:pStyle w:val="DefinedTerms"/>
      </w:pPr>
      <w:r>
        <w:t>RBA cash rate</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815"/>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9E5D-5881-40E9-B934-06D0BE7F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3736</Words>
  <Characters>18349</Characters>
  <Application>Microsoft Office Word</Application>
  <DocSecurity>0</DocSecurity>
  <Lines>873</Lines>
  <Paragraphs>630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2006 - 02-d0-00</dc:title>
  <dc:subject/>
  <dc:creator/>
  <cp:keywords/>
  <dc:description/>
  <cp:lastModifiedBy>svcMRProcess</cp:lastModifiedBy>
  <cp:revision>4</cp:revision>
  <cp:lastPrinted>2014-10-21T01:03:00Z</cp:lastPrinted>
  <dcterms:created xsi:type="dcterms:W3CDTF">2020-02-24T16:49:00Z</dcterms:created>
  <dcterms:modified xsi:type="dcterms:W3CDTF">2020-02-24T16:49:00Z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Sep 2016</vt:lpwstr>
  </property>
  <property fmtid="{D5CDD505-2E9C-101B-9397-08002B2CF9AE}" pid="8" name="Suffix">
    <vt:lpwstr>02-d0-00</vt:lpwstr>
  </property>
  <property fmtid="{D5CDD505-2E9C-101B-9397-08002B2CF9AE}" pid="9" name="CommencementDate">
    <vt:lpwstr>20160901</vt:lpwstr>
  </property>
</Properties>
</file>