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Generation and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_Toc460420049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_Toc460420050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_Toc460420051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 payable by consumers (Sch. 1, Sch. 2)</w:t>
      </w:r>
      <w:r>
        <w:tab/>
      </w:r>
      <w:r>
        <w:fldChar w:fldCharType="begin"/>
      </w:r>
      <w:r>
        <w:instrText xml:space="preserve"> PAGEREF _Toc460420052 \h </w:instrText>
      </w:r>
      <w:r>
        <w:fldChar w:fldCharType="separate"/>
      </w:r>
      <w:r>
        <w:t>2</w:t>
      </w:r>
      <w:r>
        <w:fldChar w:fldCharType="end"/>
      </w:r>
    </w:p>
    <w:p>
      <w:pPr>
        <w:pStyle w:val="TOC8"/>
        <w:rPr>
          <w:rFonts w:asciiTheme="minorHAnsi" w:eastAsiaTheme="minorEastAsia" w:hAnsiTheme="minorHAnsi" w:cstheme="minorBidi"/>
          <w:szCs w:val="22"/>
        </w:rPr>
      </w:pPr>
      <w:r>
        <w:t>5.</w:t>
      </w:r>
      <w:r>
        <w:tab/>
        <w:t>Residential tariffs, when applicable</w:t>
      </w:r>
      <w:r>
        <w:tab/>
      </w:r>
      <w:r>
        <w:fldChar w:fldCharType="begin"/>
      </w:r>
      <w:r>
        <w:instrText xml:space="preserve"> PAGEREF _Toc460420053 \h </w:instrText>
      </w:r>
      <w:r>
        <w:fldChar w:fldCharType="separate"/>
      </w:r>
      <w:r>
        <w:t>2</w:t>
      </w:r>
      <w:r>
        <w:fldChar w:fldCharType="end"/>
      </w:r>
    </w:p>
    <w:p>
      <w:pPr>
        <w:pStyle w:val="TOC8"/>
        <w:rPr>
          <w:rFonts w:asciiTheme="minorHAnsi" w:eastAsiaTheme="minorEastAsia" w:hAnsiTheme="minorHAnsi" w:cstheme="minorBidi"/>
          <w:szCs w:val="22"/>
        </w:rPr>
      </w:pPr>
      <w:r>
        <w:t>6.</w:t>
      </w:r>
      <w:r>
        <w:tab/>
        <w:t>Subsidiary meters, rental for (Sch. 3)</w:t>
      </w:r>
      <w:r>
        <w:tab/>
      </w:r>
      <w:r>
        <w:fldChar w:fldCharType="begin"/>
      </w:r>
      <w:r>
        <w:instrText xml:space="preserve"> PAGEREF _Toc460420054 \h </w:instrText>
      </w:r>
      <w:r>
        <w:fldChar w:fldCharType="separate"/>
      </w:r>
      <w:r>
        <w:t>3</w:t>
      </w:r>
      <w:r>
        <w:fldChar w:fldCharType="end"/>
      </w:r>
    </w:p>
    <w:p>
      <w:pPr>
        <w:pStyle w:val="TOC8"/>
        <w:rPr>
          <w:rFonts w:asciiTheme="minorHAnsi" w:eastAsiaTheme="minorEastAsia" w:hAnsiTheme="minorHAnsi" w:cstheme="minorBidi"/>
          <w:szCs w:val="22"/>
        </w:rPr>
      </w:pPr>
      <w:r>
        <w:t>7.</w:t>
      </w:r>
      <w:r>
        <w:tab/>
        <w:t>Fees (Sch. 4)</w:t>
      </w:r>
      <w:r>
        <w:tab/>
      </w:r>
      <w:r>
        <w:fldChar w:fldCharType="begin"/>
      </w:r>
      <w:r>
        <w:instrText xml:space="preserve"> PAGEREF _Toc460420055 \h </w:instrText>
      </w:r>
      <w:r>
        <w:fldChar w:fldCharType="separate"/>
      </w:r>
      <w:r>
        <w:t>3</w:t>
      </w:r>
      <w:r>
        <w:fldChar w:fldCharType="end"/>
      </w:r>
    </w:p>
    <w:p>
      <w:pPr>
        <w:pStyle w:val="TOC8"/>
        <w:rPr>
          <w:rFonts w:asciiTheme="minorHAnsi" w:eastAsiaTheme="minorEastAsia" w:hAnsiTheme="minorHAnsi" w:cstheme="minorBidi"/>
          <w:szCs w:val="22"/>
        </w:rPr>
      </w:pPr>
      <w:r>
        <w:t>8.</w:t>
      </w:r>
      <w:r>
        <w:tab/>
        <w:t>When charges payable; interest on unpaid charges</w:t>
      </w:r>
      <w:r>
        <w:tab/>
      </w:r>
      <w:r>
        <w:fldChar w:fldCharType="begin"/>
      </w:r>
      <w:r>
        <w:instrText xml:space="preserve"> PAGEREF _Toc460420056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_Toc460420057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to rate of charges, adjustment for</w:t>
      </w:r>
      <w:r>
        <w:tab/>
      </w:r>
      <w:r>
        <w:fldChar w:fldCharType="begin"/>
      </w:r>
      <w:r>
        <w:instrText xml:space="preserve"> PAGEREF _Toc460420058 \h </w:instrText>
      </w:r>
      <w:r>
        <w:fldChar w:fldCharType="separate"/>
      </w:r>
      <w:r>
        <w:t>4</w:t>
      </w:r>
      <w:r>
        <w:fldChar w:fldCharType="end"/>
      </w:r>
    </w:p>
    <w:p>
      <w:pPr>
        <w:pStyle w:val="TOC8"/>
        <w:rPr>
          <w:rFonts w:asciiTheme="minorHAnsi" w:eastAsiaTheme="minorEastAsia" w:hAnsiTheme="minorHAnsi" w:cstheme="minorBidi"/>
          <w:szCs w:val="22"/>
        </w:rPr>
      </w:pPr>
      <w:r>
        <w:t>12.</w:t>
      </w:r>
      <w:r>
        <w:tab/>
        <w:t>Interest rate prescribed (Act s. 62(16))</w:t>
      </w:r>
      <w:r>
        <w:tab/>
      </w:r>
      <w:r>
        <w:fldChar w:fldCharType="begin"/>
      </w:r>
      <w:r>
        <w:instrText xml:space="preserve"> PAGEREF _Toc460420059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8"/>
        <w:rPr>
          <w:rFonts w:asciiTheme="minorHAnsi" w:eastAsiaTheme="minorEastAsia" w:hAnsiTheme="minorHAnsi" w:cstheme="minorBidi"/>
          <w:szCs w:val="22"/>
        </w:rPr>
      </w:pPr>
      <w:r>
        <w:t>1.</w:t>
      </w:r>
      <w:r>
        <w:tab/>
        <w:t>Tariff L1 (general supply — low/medium voltage tariff)</w:t>
      </w:r>
      <w:r>
        <w:tab/>
      </w:r>
      <w:r>
        <w:fldChar w:fldCharType="begin"/>
      </w:r>
      <w:r>
        <w:instrText xml:space="preserve"> PAGEREF _Toc460420061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L3 (general supply — low/medium voltage tariff)</w:t>
      </w:r>
      <w:r>
        <w:tab/>
      </w:r>
      <w:r>
        <w:fldChar w:fldCharType="begin"/>
      </w:r>
      <w:r>
        <w:instrText xml:space="preserve"> PAGEREF _Toc460420062 \h </w:instrText>
      </w:r>
      <w:r>
        <w:fldChar w:fldCharType="separate"/>
      </w:r>
      <w:r>
        <w:t>6</w:t>
      </w:r>
      <w:r>
        <w:fldChar w:fldCharType="end"/>
      </w:r>
    </w:p>
    <w:p>
      <w:pPr>
        <w:pStyle w:val="TOC8"/>
        <w:rPr>
          <w:rFonts w:asciiTheme="minorHAnsi" w:eastAsiaTheme="minorEastAsia" w:hAnsiTheme="minorHAnsi" w:cstheme="minorBidi"/>
          <w:szCs w:val="22"/>
        </w:rPr>
      </w:pPr>
      <w:r>
        <w:t>4.</w:t>
      </w:r>
      <w:r>
        <w:tab/>
        <w:t>Tariff R1 (time of use tariff)</w:t>
      </w:r>
      <w:r>
        <w:tab/>
      </w:r>
      <w:r>
        <w:fldChar w:fldCharType="begin"/>
      </w:r>
      <w:r>
        <w:instrText xml:space="preserve"> PAGEREF _Toc460420063 \h </w:instrText>
      </w:r>
      <w:r>
        <w:fldChar w:fldCharType="separate"/>
      </w:r>
      <w:r>
        <w:t>7</w:t>
      </w:r>
      <w:r>
        <w:fldChar w:fldCharType="end"/>
      </w:r>
    </w:p>
    <w:p>
      <w:pPr>
        <w:pStyle w:val="TOC8"/>
        <w:rPr>
          <w:rFonts w:asciiTheme="minorHAnsi" w:eastAsiaTheme="minorEastAsia" w:hAnsiTheme="minorHAnsi" w:cstheme="minorBidi"/>
          <w:szCs w:val="22"/>
        </w:rPr>
      </w:pPr>
      <w:r>
        <w:t>5.</w:t>
      </w:r>
      <w:r>
        <w:tab/>
        <w:t>Tariff R3 (time of use tariff)</w:t>
      </w:r>
      <w:r>
        <w:tab/>
      </w:r>
      <w:r>
        <w:fldChar w:fldCharType="begin"/>
      </w:r>
      <w:r>
        <w:instrText xml:space="preserve"> PAGEREF _Toc460420064 \h </w:instrText>
      </w:r>
      <w:r>
        <w:fldChar w:fldCharType="separate"/>
      </w:r>
      <w:r>
        <w:t>7</w:t>
      </w:r>
      <w:r>
        <w:fldChar w:fldCharType="end"/>
      </w:r>
    </w:p>
    <w:p>
      <w:pPr>
        <w:pStyle w:val="TOC8"/>
        <w:rPr>
          <w:rFonts w:asciiTheme="minorHAnsi" w:eastAsiaTheme="minorEastAsia" w:hAnsiTheme="minorHAnsi" w:cstheme="minorBidi"/>
          <w:szCs w:val="22"/>
        </w:rPr>
      </w:pPr>
      <w:r>
        <w:t>8.</w:t>
      </w:r>
      <w:r>
        <w:tab/>
        <w:t>Standby charges</w:t>
      </w:r>
      <w:r>
        <w:tab/>
      </w:r>
      <w:r>
        <w:fldChar w:fldCharType="begin"/>
      </w:r>
      <w:r>
        <w:instrText xml:space="preserve"> PAGEREF _Toc460420065 \h </w:instrText>
      </w:r>
      <w:r>
        <w:fldChar w:fldCharType="separate"/>
      </w:r>
      <w:r>
        <w:t>8</w:t>
      </w:r>
      <w:r>
        <w:fldChar w:fldCharType="end"/>
      </w:r>
    </w:p>
    <w:p>
      <w:pPr>
        <w:pStyle w:val="TOC8"/>
        <w:rPr>
          <w:rFonts w:asciiTheme="minorHAnsi" w:eastAsiaTheme="minorEastAsia" w:hAnsiTheme="minorHAnsi" w:cstheme="minorBidi"/>
          <w:szCs w:val="22"/>
        </w:rPr>
      </w:pPr>
      <w:r>
        <w:t>9.</w:t>
      </w:r>
      <w:r>
        <w:tab/>
        <w:t>Tariff A1 (residential tariff)</w:t>
      </w:r>
      <w:r>
        <w:tab/>
      </w:r>
      <w:r>
        <w:fldChar w:fldCharType="begin"/>
      </w:r>
      <w:r>
        <w:instrText xml:space="preserve"> PAGEREF _Toc460420066 \h </w:instrText>
      </w:r>
      <w:r>
        <w:fldChar w:fldCharType="separate"/>
      </w:r>
      <w:r>
        <w:t>9</w:t>
      </w:r>
      <w:r>
        <w:fldChar w:fldCharType="end"/>
      </w:r>
    </w:p>
    <w:p>
      <w:pPr>
        <w:pStyle w:val="TOC8"/>
        <w:rPr>
          <w:rFonts w:asciiTheme="minorHAnsi" w:eastAsiaTheme="minorEastAsia" w:hAnsiTheme="minorHAnsi" w:cstheme="minorBidi"/>
          <w:szCs w:val="22"/>
        </w:rPr>
      </w:pPr>
      <w:r>
        <w:t>10.</w:t>
      </w:r>
      <w:r>
        <w:tab/>
        <w:t>Tariff B1 (residential water heating tariff)</w:t>
      </w:r>
      <w:r>
        <w:tab/>
      </w:r>
      <w:r>
        <w:fldChar w:fldCharType="begin"/>
      </w:r>
      <w:r>
        <w:instrText xml:space="preserve"> PAGEREF _Toc460420067 \h </w:instrText>
      </w:r>
      <w:r>
        <w:fldChar w:fldCharType="separate"/>
      </w:r>
      <w:r>
        <w:t>9</w:t>
      </w:r>
      <w:r>
        <w:fldChar w:fldCharType="end"/>
      </w:r>
    </w:p>
    <w:p>
      <w:pPr>
        <w:pStyle w:val="TOC8"/>
        <w:rPr>
          <w:rFonts w:asciiTheme="minorHAnsi" w:eastAsiaTheme="minorEastAsia" w:hAnsiTheme="minorHAnsi" w:cstheme="minorBidi"/>
          <w:szCs w:val="22"/>
        </w:rPr>
      </w:pPr>
      <w:r>
        <w:t>11.</w:t>
      </w:r>
      <w:r>
        <w:tab/>
        <w:t>Tariff C1 (special community service tariff)</w:t>
      </w:r>
      <w:r>
        <w:tab/>
      </w:r>
      <w:r>
        <w:fldChar w:fldCharType="begin"/>
      </w:r>
      <w:r>
        <w:instrText xml:space="preserve"> PAGEREF _Toc460420068 \h </w:instrText>
      </w:r>
      <w:r>
        <w:fldChar w:fldCharType="separate"/>
      </w:r>
      <w:r>
        <w:t>10</w:t>
      </w:r>
      <w:r>
        <w:fldChar w:fldCharType="end"/>
      </w:r>
    </w:p>
    <w:p>
      <w:pPr>
        <w:pStyle w:val="TOC8"/>
        <w:rPr>
          <w:rFonts w:asciiTheme="minorHAnsi" w:eastAsiaTheme="minorEastAsia" w:hAnsiTheme="minorHAnsi" w:cstheme="minorBidi"/>
          <w:szCs w:val="22"/>
        </w:rPr>
      </w:pPr>
      <w:r>
        <w:t>12.</w:t>
      </w:r>
      <w:r>
        <w:tab/>
        <w:t>Tariff D1 (special tariff for certain premises)</w:t>
      </w:r>
      <w:r>
        <w:tab/>
      </w:r>
      <w:r>
        <w:fldChar w:fldCharType="begin"/>
      </w:r>
      <w:r>
        <w:instrText xml:space="preserve"> PAGEREF _Toc460420069 \h </w:instrText>
      </w:r>
      <w:r>
        <w:fldChar w:fldCharType="separate"/>
      </w:r>
      <w:r>
        <w:t>11</w:t>
      </w:r>
      <w:r>
        <w:fldChar w:fldCharType="end"/>
      </w:r>
    </w:p>
    <w:p>
      <w:pPr>
        <w:pStyle w:val="TOC8"/>
        <w:rPr>
          <w:rFonts w:asciiTheme="minorHAnsi" w:eastAsiaTheme="minorEastAsia" w:hAnsiTheme="minorHAnsi" w:cstheme="minorBidi"/>
          <w:szCs w:val="22"/>
        </w:rPr>
      </w:pPr>
      <w:r>
        <w:t>13.</w:t>
      </w:r>
      <w:r>
        <w:tab/>
        <w:t>Tariff K1 (general supply with residential tariff)</w:t>
      </w:r>
      <w:r>
        <w:tab/>
      </w:r>
      <w:r>
        <w:fldChar w:fldCharType="begin"/>
      </w:r>
      <w:r>
        <w:instrText xml:space="preserve"> PAGEREF _Toc460420070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Unmetered supply</w:t>
      </w:r>
    </w:p>
    <w:p>
      <w:pPr>
        <w:pStyle w:val="TOC4"/>
        <w:tabs>
          <w:tab w:val="right" w:leader="dot" w:pos="7077"/>
        </w:tabs>
        <w:rPr>
          <w:rFonts w:asciiTheme="minorHAnsi" w:eastAsiaTheme="minorEastAsia" w:hAnsiTheme="minorHAnsi" w:cstheme="minorBidi"/>
          <w:b w:val="0"/>
          <w:szCs w:val="22"/>
        </w:rPr>
      </w:pPr>
      <w:r>
        <w:t>Division 1</w:t>
      </w:r>
      <w:r>
        <w:rPr>
          <w:b w:val="0"/>
        </w:rPr>
        <w:t> — </w:t>
      </w:r>
      <w:r>
        <w:t>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_Toc460420074 \h </w:instrText>
      </w:r>
      <w:r>
        <w:fldChar w:fldCharType="separate"/>
      </w:r>
      <w:r>
        <w:t>15</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_Toc460420075 \h </w:instrText>
      </w:r>
      <w:r>
        <w:fldChar w:fldCharType="separate"/>
      </w:r>
      <w:r>
        <w:t>15</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_Toc460420076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_Toc460420080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Operators (Powers) Act 1979</w:t>
      </w:r>
    </w:p>
    <w:p>
      <w:pPr>
        <w:pStyle w:val="NameofActReg"/>
      </w:pPr>
      <w:r>
        <w:t>Energy Operators (Electricity Generation and Retail Corporation) (Charges) By</w:t>
      </w:r>
      <w:r>
        <w:noBreakHyphen/>
        <w:t>laws 2006</w:t>
      </w:r>
    </w:p>
    <w:p>
      <w:pPr>
        <w:pStyle w:val="Heading5"/>
      </w:pPr>
      <w:bookmarkStart w:id="3" w:name="_Toc396399417"/>
      <w:bookmarkStart w:id="4" w:name="_Toc460420049"/>
      <w:r>
        <w:rPr>
          <w:rStyle w:val="CharSectno"/>
        </w:rPr>
        <w:t>1</w:t>
      </w:r>
      <w:r>
        <w:t>.</w:t>
      </w:r>
      <w:r>
        <w:tab/>
        <w:t>Citation</w:t>
      </w:r>
      <w:bookmarkEnd w:id="3"/>
      <w:bookmarkEnd w:id="4"/>
    </w:p>
    <w:p>
      <w:pPr>
        <w:pStyle w:val="Subsection"/>
      </w:pPr>
      <w:r>
        <w:tab/>
      </w:r>
      <w:r>
        <w:tab/>
        <w:t>These by</w:t>
      </w:r>
      <w:r>
        <w:noBreakHyphen/>
        <w:t xml:space="preserve">laws are the </w:t>
      </w:r>
      <w:r>
        <w:rPr>
          <w:i/>
        </w:rPr>
        <w:t>Energy Operators (Electricity Generation and Retail Corporation) (Charges) By</w:t>
      </w:r>
      <w:r>
        <w:rPr>
          <w:i/>
        </w:rPr>
        <w:noBreakHyphen/>
        <w:t>laws 2006</w:t>
      </w:r>
      <w:r>
        <w:rPr>
          <w:vertAlign w:val="superscript"/>
        </w:rPr>
        <w:t> 1</w:t>
      </w:r>
      <w:r>
        <w:t>.</w:t>
      </w:r>
    </w:p>
    <w:p>
      <w:pPr>
        <w:pStyle w:val="Footnotesection"/>
      </w:pPr>
      <w:r>
        <w:tab/>
        <w:t>[By-law 1 amended in Gazette 27 Dec 2013 p. 6477.]</w:t>
      </w:r>
    </w:p>
    <w:p>
      <w:pPr>
        <w:pStyle w:val="Heading5"/>
      </w:pPr>
      <w:bookmarkStart w:id="5" w:name="_Toc396399418"/>
      <w:bookmarkStart w:id="6" w:name="_Toc460420050"/>
      <w:r>
        <w:rPr>
          <w:rStyle w:val="CharSectno"/>
        </w:rPr>
        <w:t>2</w:t>
      </w:r>
      <w:r>
        <w:t>.</w:t>
      </w:r>
      <w:r>
        <w:tab/>
        <w:t>Commencement</w:t>
      </w:r>
      <w:bookmarkEnd w:id="5"/>
      <w:bookmarkEnd w:id="6"/>
    </w:p>
    <w:p>
      <w:pPr>
        <w:pStyle w:val="Subsection"/>
      </w:pPr>
      <w:r>
        <w:tab/>
      </w:r>
      <w:r>
        <w:tab/>
        <w:t>These by</w:t>
      </w:r>
      <w:r>
        <w:noBreakHyphen/>
        <w:t>laws come into operation on 1 April 2006.</w:t>
      </w:r>
    </w:p>
    <w:p>
      <w:pPr>
        <w:pStyle w:val="Heading5"/>
        <w:rPr>
          <w:snapToGrid w:val="0"/>
        </w:rPr>
      </w:pPr>
      <w:bookmarkStart w:id="7" w:name="_Toc396399419"/>
      <w:bookmarkStart w:id="8" w:name="_Toc460420051"/>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4(1)(a);</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 27 Dec 2013 p. 6477; 22 Aug 2014 p. 3024.]</w:t>
      </w:r>
    </w:p>
    <w:p>
      <w:pPr>
        <w:pStyle w:val="Ednotesection"/>
      </w:pPr>
      <w:r>
        <w:t>[</w:t>
      </w:r>
      <w:r>
        <w:rPr>
          <w:b/>
          <w:bCs/>
        </w:rPr>
        <w:t>3A.</w:t>
      </w:r>
      <w:r>
        <w:tab/>
        <w:t>Deleted in Gazette 26 Mar 2010 p. 1136.]</w:t>
      </w:r>
    </w:p>
    <w:p>
      <w:pPr>
        <w:pStyle w:val="Ednotesection"/>
      </w:pPr>
      <w:r>
        <w:t>[</w:t>
      </w:r>
      <w:r>
        <w:rPr>
          <w:b/>
          <w:bCs/>
        </w:rPr>
        <w:t>4A.</w:t>
      </w:r>
      <w:r>
        <w:tab/>
        <w:t>Deleted in Gazette 22 Aug 2014 p. 3024.]</w:t>
      </w:r>
    </w:p>
    <w:p>
      <w:pPr>
        <w:pStyle w:val="Heading5"/>
        <w:rPr>
          <w:snapToGrid w:val="0"/>
        </w:rPr>
      </w:pPr>
      <w:bookmarkStart w:id="9" w:name="_Toc396399420"/>
      <w:bookmarkStart w:id="10" w:name="_Toc460420052"/>
      <w:r>
        <w:rPr>
          <w:rStyle w:val="CharSectno"/>
        </w:rPr>
        <w:t>4</w:t>
      </w:r>
      <w:r>
        <w:t>.</w:t>
      </w:r>
      <w:r>
        <w:tab/>
      </w:r>
      <w:r>
        <w:rPr>
          <w:snapToGrid w:val="0"/>
        </w:rPr>
        <w:t>Electricity charges payable by consumers (Sch. 1, Sch. 2)</w:t>
      </w:r>
      <w:bookmarkEnd w:id="9"/>
      <w:bookmarkEnd w:id="10"/>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11" w:name="_Toc396399421"/>
      <w:bookmarkStart w:id="12" w:name="_Toc460420053"/>
      <w:r>
        <w:rPr>
          <w:rStyle w:val="CharSectno"/>
        </w:rPr>
        <w:t>5</w:t>
      </w:r>
      <w:r>
        <w:t>.</w:t>
      </w:r>
      <w:r>
        <w:tab/>
        <w:t>Residential tariffs, when applicable</w:t>
      </w:r>
      <w:bookmarkEnd w:id="11"/>
      <w:bookmarkEnd w:id="12"/>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13" w:name="_Toc396399422"/>
      <w:bookmarkStart w:id="14" w:name="_Toc460420054"/>
      <w:r>
        <w:rPr>
          <w:rStyle w:val="CharSectno"/>
        </w:rPr>
        <w:t>6</w:t>
      </w:r>
      <w:r>
        <w:t>.</w:t>
      </w:r>
      <w:r>
        <w:tab/>
        <w:t>Subsidiary meters, rental for (Sch. 3)</w:t>
      </w:r>
      <w:bookmarkEnd w:id="13"/>
      <w:bookmarkEnd w:id="14"/>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15" w:name="_Toc396399423"/>
      <w:bookmarkStart w:id="16" w:name="_Toc460420055"/>
      <w:r>
        <w:rPr>
          <w:rStyle w:val="CharSectno"/>
        </w:rPr>
        <w:t>7</w:t>
      </w:r>
      <w:r>
        <w:t>.</w:t>
      </w:r>
      <w:r>
        <w:tab/>
        <w:t>Fees (Sch. 4)</w:t>
      </w:r>
      <w:bookmarkEnd w:id="15"/>
      <w:bookmarkEnd w:id="16"/>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17" w:name="_Toc396399424"/>
      <w:bookmarkStart w:id="18" w:name="_Toc460420056"/>
      <w:r>
        <w:rPr>
          <w:rStyle w:val="CharSectno"/>
        </w:rPr>
        <w:t>8</w:t>
      </w:r>
      <w:r>
        <w:t>.</w:t>
      </w:r>
      <w:r>
        <w:tab/>
        <w:t>When charges payable; interest on unpaid charges</w:t>
      </w:r>
      <w:bookmarkEnd w:id="17"/>
      <w:bookmarkEnd w:id="18"/>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r>
        <w:t>[</w:t>
      </w:r>
      <w:r>
        <w:rPr>
          <w:b/>
          <w:bCs/>
        </w:rPr>
        <w:t>9.</w:t>
      </w:r>
      <w:r>
        <w:tab/>
        <w:t>Deleted in Gazette 21 Sep 2012 p. 4424.]</w:t>
      </w:r>
    </w:p>
    <w:p>
      <w:pPr>
        <w:pStyle w:val="Heading5"/>
      </w:pPr>
      <w:bookmarkStart w:id="19" w:name="_Toc396399425"/>
      <w:bookmarkStart w:id="20" w:name="_Toc460420057"/>
      <w:r>
        <w:rPr>
          <w:rStyle w:val="CharSectno"/>
        </w:rPr>
        <w:t>10</w:t>
      </w:r>
      <w:r>
        <w:t>.</w:t>
      </w:r>
      <w:r>
        <w:tab/>
        <w:t>Calculation of charges</w:t>
      </w:r>
      <w:bookmarkEnd w:id="19"/>
      <w:bookmarkEnd w:id="2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21" w:name="_Toc396399426"/>
      <w:bookmarkStart w:id="22" w:name="_Toc460420058"/>
      <w:r>
        <w:rPr>
          <w:rStyle w:val="CharSectno"/>
        </w:rPr>
        <w:t>11</w:t>
      </w:r>
      <w:r>
        <w:t>.</w:t>
      </w:r>
      <w:r>
        <w:tab/>
        <w:t>Changes to rate of charges, adjustment for</w:t>
      </w:r>
      <w:bookmarkEnd w:id="21"/>
      <w:bookmarkEnd w:id="2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23" w:name="_Toc396399427"/>
      <w:bookmarkStart w:id="24" w:name="_Toc460420059"/>
      <w:r>
        <w:rPr>
          <w:rStyle w:val="CharSectno"/>
        </w:rPr>
        <w:t>12</w:t>
      </w:r>
      <w:r>
        <w:t>.</w:t>
      </w:r>
      <w:r>
        <w:tab/>
        <w:t>Interest rate prescribed (Act s. 62(16))</w:t>
      </w:r>
      <w:bookmarkEnd w:id="23"/>
      <w:bookmarkEnd w:id="2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 w:name="_Toc396399428"/>
      <w:bookmarkStart w:id="26" w:name="_Toc416788112"/>
      <w:bookmarkStart w:id="27" w:name="_Toc416788147"/>
      <w:bookmarkStart w:id="28" w:name="_Toc423342525"/>
      <w:bookmarkStart w:id="29" w:name="_Toc423441951"/>
      <w:bookmarkStart w:id="30" w:name="_Toc455134909"/>
      <w:bookmarkStart w:id="31" w:name="_Toc460419152"/>
      <w:bookmarkStart w:id="32" w:name="_Toc460420060"/>
      <w:bookmarkStart w:id="33" w:name="_Toc391912279"/>
      <w:r>
        <w:rPr>
          <w:rStyle w:val="CharSchNo"/>
        </w:rPr>
        <w:t>Schedule 1</w:t>
      </w:r>
      <w:r>
        <w:rPr>
          <w:rStyle w:val="CharSDivNo"/>
        </w:rPr>
        <w:t> </w:t>
      </w:r>
      <w:r>
        <w:t>—</w:t>
      </w:r>
      <w:r>
        <w:rPr>
          <w:rStyle w:val="CharSDivText"/>
        </w:rPr>
        <w:t> </w:t>
      </w:r>
      <w:r>
        <w:rPr>
          <w:rStyle w:val="CharSchText"/>
        </w:rPr>
        <w:t>Supply charges</w:t>
      </w:r>
      <w:bookmarkEnd w:id="25"/>
      <w:bookmarkEnd w:id="26"/>
      <w:bookmarkEnd w:id="27"/>
      <w:bookmarkEnd w:id="28"/>
      <w:bookmarkEnd w:id="29"/>
      <w:bookmarkEnd w:id="30"/>
      <w:bookmarkEnd w:id="31"/>
      <w:bookmarkEnd w:id="32"/>
    </w:p>
    <w:p>
      <w:pPr>
        <w:pStyle w:val="yShoulderClause"/>
      </w:pPr>
      <w:r>
        <w:t>[bl. 3, 4(1) and 10(1)]</w:t>
      </w:r>
    </w:p>
    <w:p>
      <w:pPr>
        <w:pStyle w:val="yFootnoteheading"/>
      </w:pPr>
      <w:r>
        <w:tab/>
        <w:t>[Heading inserted in Gazette 22 Aug 2014 p. 3024.]</w:t>
      </w:r>
    </w:p>
    <w:p>
      <w:pPr>
        <w:pStyle w:val="yHeading5"/>
      </w:pPr>
      <w:bookmarkStart w:id="34" w:name="_Toc460420061"/>
      <w:bookmarkStart w:id="35" w:name="_Toc396399429"/>
      <w:r>
        <w:rPr>
          <w:rStyle w:val="CharSClsNo"/>
        </w:rPr>
        <w:t>1</w:t>
      </w:r>
      <w:r>
        <w:t>.</w:t>
      </w:r>
      <w:r>
        <w:tab/>
        <w:t>Tariff L1 (general supply — low/medium voltage tariff)</w:t>
      </w:r>
      <w:bookmarkEnd w:id="34"/>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46.1185 cents per day; and</w:t>
      </w:r>
    </w:p>
    <w:p>
      <w:pPr>
        <w:pStyle w:val="yIndenta"/>
      </w:pPr>
      <w:r>
        <w:tab/>
        <w:t>(b)</w:t>
      </w:r>
      <w:r>
        <w:tab/>
        <w:t xml:space="preserve">a charge for metered consumption at the rate of — </w:t>
      </w:r>
    </w:p>
    <w:p>
      <w:pPr>
        <w:pStyle w:val="yIndenti0"/>
      </w:pPr>
      <w:r>
        <w:tab/>
        <w:t>(i)</w:t>
      </w:r>
      <w:r>
        <w:tab/>
        <w:t>30.3104 cents per unit for the first 1 650 units per day; and</w:t>
      </w:r>
    </w:p>
    <w:p>
      <w:pPr>
        <w:pStyle w:val="yIndenti0"/>
      </w:pPr>
      <w:r>
        <w:tab/>
        <w:t>(ii)</w:t>
      </w:r>
      <w:r>
        <w:tab/>
        <w:t>27.3503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26 Jun 2015 p. 2239</w:t>
      </w:r>
      <w:r>
        <w:noBreakHyphen/>
        <w:t>40; amended in Gazette 28 Jun 2016 p. 2623.]</w:t>
      </w:r>
    </w:p>
    <w:p>
      <w:pPr>
        <w:pStyle w:val="yHeading5"/>
      </w:pPr>
      <w:bookmarkStart w:id="36" w:name="_Toc460420062"/>
      <w:r>
        <w:rPr>
          <w:rStyle w:val="CharSClsNo"/>
        </w:rPr>
        <w:t>2</w:t>
      </w:r>
      <w:r>
        <w:t>.</w:t>
      </w:r>
      <w:r>
        <w:tab/>
        <w:t>Tariff L3 (general supply — low/medium voltage tariff)</w:t>
      </w:r>
      <w:bookmarkEnd w:id="36"/>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r>
        <w:rPr>
          <w:szCs w:val="22"/>
        </w:rPr>
        <w:t xml:space="preserve">53.1612 </w:t>
      </w:r>
      <w:r>
        <w:t>cents per day; and</w:t>
      </w:r>
    </w:p>
    <w:p>
      <w:pPr>
        <w:pStyle w:val="yIndenta"/>
      </w:pPr>
      <w:r>
        <w:tab/>
        <w:t>(b)</w:t>
      </w:r>
      <w:r>
        <w:tab/>
        <w:t xml:space="preserve">a charge for metered consumption at the rate of — </w:t>
      </w:r>
    </w:p>
    <w:p>
      <w:pPr>
        <w:pStyle w:val="yIndenti0"/>
      </w:pPr>
      <w:r>
        <w:tab/>
        <w:t>(i)</w:t>
      </w:r>
      <w:r>
        <w:tab/>
      </w:r>
      <w:r>
        <w:rPr>
          <w:szCs w:val="22"/>
        </w:rPr>
        <w:t xml:space="preserve">34.9313 </w:t>
      </w:r>
      <w:r>
        <w:t>cents per unit for the first 1 650 units per day; and</w:t>
      </w:r>
    </w:p>
    <w:p>
      <w:pPr>
        <w:pStyle w:val="yIndenti0"/>
      </w:pPr>
      <w:r>
        <w:tab/>
        <w:t>(ii)</w:t>
      </w:r>
      <w:r>
        <w:tab/>
      </w:r>
      <w:r>
        <w:rPr>
          <w:szCs w:val="22"/>
        </w:rPr>
        <w:t xml:space="preserve">31.5293 </w:t>
      </w:r>
      <w:r>
        <w:t>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pPr>
      <w:r>
        <w:tab/>
        <w:t>[Clause 2 inserted in Gazette 26 Jun 2015 p. 2240; amended in Gazette 31 Aug 2016 p. 3702.]</w:t>
      </w:r>
    </w:p>
    <w:p>
      <w:pPr>
        <w:pStyle w:val="yEdnotesection"/>
      </w:pPr>
      <w:r>
        <w:t>[</w:t>
      </w:r>
      <w:r>
        <w:rPr>
          <w:b/>
        </w:rPr>
        <w:t>3.</w:t>
      </w:r>
      <w:r>
        <w:tab/>
        <w:t>Deleted in Gazette 31 Aug 2016 p. 3701.]</w:t>
      </w:r>
    </w:p>
    <w:p>
      <w:pPr>
        <w:pStyle w:val="yHeading5"/>
      </w:pPr>
      <w:bookmarkStart w:id="37" w:name="_Toc460420063"/>
      <w:r>
        <w:rPr>
          <w:rStyle w:val="CharSClsNo"/>
        </w:rPr>
        <w:t>4</w:t>
      </w:r>
      <w:r>
        <w:t>.</w:t>
      </w:r>
      <w:r>
        <w:tab/>
        <w:t>Tariff R1 (time of use tariff)</w:t>
      </w:r>
      <w:bookmarkEnd w:id="37"/>
    </w:p>
    <w:p>
      <w:pPr>
        <w:pStyle w:val="ySubsection"/>
      </w:pPr>
      <w:r>
        <w:tab/>
        <w:t>(1)</w:t>
      </w:r>
      <w:r>
        <w:tab/>
        <w:t>Tariff R1 comprises —</w:t>
      </w:r>
    </w:p>
    <w:p>
      <w:pPr>
        <w:pStyle w:val="yIndenta"/>
      </w:pPr>
      <w:r>
        <w:tab/>
        <w:t>(a)</w:t>
      </w:r>
      <w:r>
        <w:tab/>
        <w:t>a fixed charge at the rate of $1.8907 per day; and</w:t>
      </w:r>
    </w:p>
    <w:p>
      <w:pPr>
        <w:pStyle w:val="yIndenta"/>
      </w:pPr>
      <w:r>
        <w:tab/>
        <w:t>(b)</w:t>
      </w:r>
      <w:r>
        <w:tab/>
        <w:t>an energy charge consisting of — </w:t>
      </w:r>
    </w:p>
    <w:p>
      <w:pPr>
        <w:pStyle w:val="yIndenti0"/>
      </w:pPr>
      <w:r>
        <w:tab/>
        <w:t>(i)</w:t>
      </w:r>
      <w:r>
        <w:tab/>
        <w:t>an on peak energy charge at the rate of 33.1873 cents per unit; and</w:t>
      </w:r>
    </w:p>
    <w:p>
      <w:pPr>
        <w:pStyle w:val="yIndenti0"/>
      </w:pPr>
      <w:r>
        <w:tab/>
        <w:t>(ii)</w:t>
      </w:r>
      <w:r>
        <w:tab/>
        <w:t>an off peak energy charge at the rate of 10.2357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26 Jun 2015 p. 2240</w:t>
      </w:r>
      <w:r>
        <w:noBreakHyphen/>
        <w:t>1; amended in Gazette 28 Jun 2016 p. 2624.]</w:t>
      </w:r>
    </w:p>
    <w:p>
      <w:pPr>
        <w:pStyle w:val="yHeading5"/>
      </w:pPr>
      <w:bookmarkStart w:id="38" w:name="_Toc460420064"/>
      <w:r>
        <w:rPr>
          <w:rStyle w:val="CharSClsNo"/>
        </w:rPr>
        <w:t>5</w:t>
      </w:r>
      <w:r>
        <w:t>.</w:t>
      </w:r>
      <w:r>
        <w:tab/>
        <w:t>Tariff R3 (time of use tariff)</w:t>
      </w:r>
      <w:bookmarkEnd w:id="38"/>
    </w:p>
    <w:p>
      <w:pPr>
        <w:pStyle w:val="ySubsection"/>
      </w:pPr>
      <w:r>
        <w:tab/>
        <w:t>(1)</w:t>
      </w:r>
      <w:r>
        <w:tab/>
        <w:t>Tariff R3 comprises —</w:t>
      </w:r>
    </w:p>
    <w:p>
      <w:pPr>
        <w:pStyle w:val="yIndenta"/>
      </w:pPr>
      <w:r>
        <w:tab/>
        <w:t>(a)</w:t>
      </w:r>
      <w:r>
        <w:tab/>
        <w:t xml:space="preserve">a fixed charge at the rate of </w:t>
      </w:r>
      <w:r>
        <w:rPr>
          <w:szCs w:val="22"/>
        </w:rPr>
        <w:t>$2.5741</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 xml:space="preserve">45.0674 </w:t>
      </w:r>
      <w:r>
        <w:t>cents per unit; and</w:t>
      </w:r>
    </w:p>
    <w:p>
      <w:pPr>
        <w:pStyle w:val="yIndenti0"/>
      </w:pPr>
      <w:r>
        <w:tab/>
        <w:t>(ii)</w:t>
      </w:r>
      <w:r>
        <w:tab/>
        <w:t xml:space="preserve">an off peak energy charge at the rate of </w:t>
      </w:r>
      <w:r>
        <w:rPr>
          <w:szCs w:val="22"/>
        </w:rPr>
        <w:t xml:space="preserve">13.8742 </w:t>
      </w:r>
      <w:r>
        <w:t>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26 Jun 2015 p. 2241; amended in Gazette 31 Aug 2016 p. 3702.]</w:t>
      </w:r>
    </w:p>
    <w:p>
      <w:pPr>
        <w:pStyle w:val="yEdnotesection"/>
      </w:pPr>
      <w:r>
        <w:t>[</w:t>
      </w:r>
      <w:r>
        <w:rPr>
          <w:b/>
        </w:rPr>
        <w:t>6, 7.</w:t>
      </w:r>
      <w:r>
        <w:tab/>
        <w:t>Deleted in Gazette 31 Aug 2016 p. 3701.]</w:t>
      </w:r>
    </w:p>
    <w:p>
      <w:pPr>
        <w:pStyle w:val="yHeading5"/>
      </w:pPr>
      <w:bookmarkStart w:id="39" w:name="_Toc396399436"/>
      <w:bookmarkStart w:id="40" w:name="_Toc460420065"/>
      <w:bookmarkEnd w:id="35"/>
      <w:r>
        <w:rPr>
          <w:rStyle w:val="CharSClsNo"/>
        </w:rPr>
        <w:t>8</w:t>
      </w:r>
      <w:r>
        <w:t>.</w:t>
      </w:r>
      <w:r>
        <w:tab/>
        <w:t>Standby charges</w:t>
      </w:r>
      <w:bookmarkEnd w:id="39"/>
      <w:bookmarkEnd w:id="40"/>
    </w:p>
    <w:p>
      <w:pPr>
        <w:pStyle w:val="ySubsection"/>
      </w:pPr>
      <w:r>
        <w:tab/>
        <w:t>(1)</w:t>
      </w:r>
      <w:r>
        <w:tab/>
        <w:t>Standby charges are applicable to consumers with their own generation and supplied on Tariff L1, L3, R1 or R3 and are payable in addition to those tariffs.</w:t>
      </w:r>
    </w:p>
    <w:p>
      <w:pPr>
        <w:pStyle w:val="ySubsection"/>
      </w:pPr>
      <w:r>
        <w:tab/>
        <w:t>(2)</w:t>
      </w:r>
      <w:r>
        <w:tab/>
        <w:t>In the case of Tariff L1, L3, R1 or R3, the standby charge is 5.72 cents per day per kW based on the difference between total half</w:t>
      </w:r>
      <w:r>
        <w:noBreakHyphen/>
        <w:t>hourly maximum demand and normal half</w:t>
      </w:r>
      <w:r>
        <w:noBreakHyphen/>
        <w:t>hourly maximum demand.</w:t>
      </w:r>
    </w:p>
    <w:p>
      <w:pPr>
        <w:pStyle w:val="yEdnotesubsection"/>
      </w:pPr>
      <w:r>
        <w:tab/>
        <w:t>[(3)-(5)</w:t>
      </w:r>
      <w:r>
        <w:tab/>
        <w:t>deleted]</w:t>
      </w:r>
    </w:p>
    <w:p>
      <w:pPr>
        <w:pStyle w:val="ySubsection"/>
      </w:pPr>
      <w:r>
        <w:tab/>
        <w:t>(6)</w:t>
      </w:r>
      <w:r>
        <w:tab/>
        <w:t>The normal half</w:t>
      </w:r>
      <w:r>
        <w:noBreakHyphen/>
        <w:t>hourly maximum demand is to be assessed by the corporation and is to be based on loading normally supplied from the corporation’s supply.</w:t>
      </w:r>
    </w:p>
    <w:p>
      <w:pPr>
        <w:pStyle w:val="ySubsection"/>
      </w:pPr>
      <w:r>
        <w:tab/>
        <w:t>(7)</w:t>
      </w:r>
      <w:r>
        <w:tab/>
        <w:t>Notwithstanding the corporation’s assessment, in any accounting period the normal half</w:t>
      </w:r>
      <w:r>
        <w:noBreakHyphen/>
        <w:t>hourly maximum demand is taken to be not less than — </w:t>
      </w:r>
    </w:p>
    <w:p>
      <w:pPr>
        <w:pStyle w:val="ySubsection"/>
      </w:pPr>
      <w:r>
        <w:tab/>
      </w:r>
      <w:r>
        <w:tab/>
      </w:r>
      <w:r>
        <w:rPr>
          <w:noProof/>
          <w:position w:val="-28"/>
        </w:rPr>
        <w:drawing>
          <wp:inline distT="0" distB="0" distL="0" distR="0">
            <wp:extent cx="2968625" cy="416560"/>
            <wp:effectExtent l="0" t="0" r="317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68625" cy="416560"/>
                    </a:xfrm>
                    <a:prstGeom prst="rect">
                      <a:avLst/>
                    </a:prstGeom>
                    <a:noFill/>
                    <a:ln>
                      <a:noFill/>
                    </a:ln>
                  </pic:spPr>
                </pic:pic>
              </a:graphicData>
            </a:graphic>
          </wp:inline>
        </w:drawing>
      </w:r>
    </w:p>
    <w:p>
      <w:pPr>
        <w:pStyle w:val="ySubsection"/>
      </w:pPr>
      <w:r>
        <w:tab/>
        <w:t>(8)</w:t>
      </w:r>
      <w:r>
        <w:tab/>
        <w:t>The total half</w:t>
      </w:r>
      <w:r>
        <w:noBreakHyphen/>
        <w:t>hourly maximum demand is to be assessed by the corporation as the consumer’s expected half</w:t>
      </w:r>
      <w:r>
        <w:noBreakHyphen/>
        <w:t>hourly minimum demand on the corporation’s system without the consumer’s generation equipment in operation.</w:t>
      </w:r>
    </w:p>
    <w:p>
      <w:pPr>
        <w:pStyle w:val="ySubsection"/>
      </w:pPr>
      <w:r>
        <w:tab/>
        <w:t>(9)</w:t>
      </w:r>
      <w:r>
        <w:tab/>
        <w:t>The difference between total half</w:t>
      </w:r>
      <w:r>
        <w:noBreakHyphen/>
        <w:t>hourly maximum demand and normal half</w:t>
      </w:r>
      <w:r>
        <w:noBreakHyphen/>
        <w:t>hourly maximum demand is not to exceed — </w:t>
      </w:r>
    </w:p>
    <w:p>
      <w:pPr>
        <w:pStyle w:val="yIndenta"/>
      </w:pPr>
      <w:r>
        <w:tab/>
        <w:t>(a)</w:t>
      </w:r>
      <w:r>
        <w:tab/>
        <w:t>the capacity of the consumer’s generation equipment; or</w:t>
      </w:r>
    </w:p>
    <w:p>
      <w:pPr>
        <w:pStyle w:val="yIndenta"/>
      </w:pPr>
      <w:r>
        <w:tab/>
        <w:t>(b)</w:t>
      </w:r>
      <w:r>
        <w:tab/>
        <w:t>the expected maximum loading of such generation equipment, as assessed by the corporation.</w:t>
      </w:r>
    </w:p>
    <w:p>
      <w:pPr>
        <w:pStyle w:val="ySubsection"/>
      </w:pPr>
      <w:r>
        <w:tab/>
        <w:t>(10)</w:t>
      </w:r>
      <w:r>
        <w:tab/>
        <w:t xml:space="preserve">The provision of a standby service is subject to the following conditions — </w:t>
      </w:r>
    </w:p>
    <w:p>
      <w:pPr>
        <w:pStyle w:val="yIndenta"/>
      </w:pPr>
      <w:r>
        <w:tab/>
        <w:t>(a)</w:t>
      </w:r>
      <w:r>
        <w:tab/>
        <w:t>the consumer must pay for the cost of all additional mains and equipment necessary to provide the standby service;</w:t>
      </w:r>
    </w:p>
    <w:p>
      <w:pPr>
        <w:pStyle w:val="yIndenta"/>
      </w:pPr>
      <w:r>
        <w:tab/>
        <w:t>(b)</w:t>
      </w:r>
      <w:r>
        <w:tab/>
        <w:t>the standby service agreement must be for a minimum period of 12 months;</w:t>
      </w:r>
    </w:p>
    <w:p>
      <w:pPr>
        <w:pStyle w:val="yIndenta"/>
      </w:pPr>
      <w:r>
        <w:tab/>
        <w:t>(c)</w:t>
      </w:r>
      <w:r>
        <w:tab/>
        <w:t>the consumer must give 6 months’ notice in writing to the corporation of intention to terminate the standby service agreement.</w:t>
      </w:r>
    </w:p>
    <w:p>
      <w:pPr>
        <w:pStyle w:val="yFootnotesection"/>
      </w:pPr>
      <w:r>
        <w:tab/>
        <w:t>[Clause 8 inserted in Gazette 22 Aug 2014 p. 3027</w:t>
      </w:r>
      <w:r>
        <w:noBreakHyphen/>
        <w:t>9; amended in Gazette 31 Aug 2016 p. 3702.]</w:t>
      </w:r>
    </w:p>
    <w:p>
      <w:pPr>
        <w:pStyle w:val="yHeading5"/>
      </w:pPr>
      <w:bookmarkStart w:id="41" w:name="_Toc460420066"/>
      <w:bookmarkStart w:id="42" w:name="_Toc396399437"/>
      <w:r>
        <w:rPr>
          <w:rStyle w:val="CharSClsNo"/>
        </w:rPr>
        <w:t>9</w:t>
      </w:r>
      <w:r>
        <w:t>.</w:t>
      </w:r>
      <w:r>
        <w:tab/>
        <w:t>Tariff A1 (residential tariff)</w:t>
      </w:r>
      <w:bookmarkEnd w:id="41"/>
    </w:p>
    <w:p>
      <w:pPr>
        <w:pStyle w:val="ySubsection"/>
      </w:pPr>
      <w:r>
        <w:tab/>
        <w:t>(1)</w:t>
      </w:r>
      <w:r>
        <w:tab/>
        <w:t>Tariff A1 is available for residential use only.</w:t>
      </w:r>
    </w:p>
    <w:p>
      <w:pPr>
        <w:pStyle w:val="ySubsection"/>
      </w:pPr>
      <w:r>
        <w:tab/>
        <w:t>(2)</w:t>
      </w:r>
      <w:r>
        <w:tab/>
        <w:t xml:space="preserve">Tariff A1 comprises — </w:t>
      </w:r>
    </w:p>
    <w:p>
      <w:pPr>
        <w:pStyle w:val="yIndenta"/>
      </w:pPr>
      <w:r>
        <w:tab/>
        <w:t>(a)</w:t>
      </w:r>
      <w:r>
        <w:tab/>
        <w:t>a fixed charge at the rate of 48.5989 cents per day or, for multiple dwellings supplied through one metered supply point, a fixed charge at the rate of —</w:t>
      </w:r>
    </w:p>
    <w:p>
      <w:pPr>
        <w:pStyle w:val="yIndenti0"/>
      </w:pPr>
      <w:r>
        <w:tab/>
        <w:t>(i)</w:t>
      </w:r>
      <w:r>
        <w:tab/>
        <w:t>48.5989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9 inserted in Gazette 26 Jun 2015 p. 2242</w:t>
      </w:r>
      <w:r>
        <w:noBreakHyphen/>
        <w:t>3; amended in Gazette 28 Jun 2016 p. 2624.]</w:t>
      </w:r>
    </w:p>
    <w:p>
      <w:pPr>
        <w:pStyle w:val="yHeading5"/>
      </w:pPr>
      <w:bookmarkStart w:id="43" w:name="_Toc460420067"/>
      <w:r>
        <w:rPr>
          <w:rStyle w:val="CharSClsNo"/>
        </w:rPr>
        <w:t>10</w:t>
      </w:r>
      <w:r>
        <w:t>.</w:t>
      </w:r>
      <w:r>
        <w:tab/>
        <w:t>Tariff B1 (residential water heating tariff)</w:t>
      </w:r>
      <w:bookmarkEnd w:id="43"/>
    </w:p>
    <w:p>
      <w:pPr>
        <w:pStyle w:val="ySubsection"/>
      </w:pPr>
      <w:r>
        <w:tab/>
        <w:t>(1)</w:t>
      </w:r>
      <w:r>
        <w:tab/>
        <w:t>Tariff B1 is available for residential water heating during a 6 hour period between the hours of 11.00 p.m. and 6.00 a.m. for installations approved by the corporation.  Other single phase hardwired appliances may be connected in conjunction with the water heater.</w:t>
      </w:r>
    </w:p>
    <w:p>
      <w:pPr>
        <w:pStyle w:val="ySubsection"/>
      </w:pPr>
      <w:r>
        <w:tab/>
        <w:t>(2)</w:t>
      </w:r>
      <w:r>
        <w:tab/>
        <w:t xml:space="preserve">Tariff B1 comprises — </w:t>
      </w:r>
    </w:p>
    <w:p>
      <w:pPr>
        <w:pStyle w:val="yIndenta"/>
      </w:pPr>
      <w:r>
        <w:tab/>
        <w:t>(a)</w:t>
      </w:r>
      <w:r>
        <w:tab/>
        <w:t>a fixed charge at the rate of 21.6970 cents per day or, for multiple dwellings supplied through one metered supply point, a fixed charge at the rate of 21.6970 cents per day for each dwelling; and</w:t>
      </w:r>
    </w:p>
    <w:p>
      <w:pPr>
        <w:pStyle w:val="yIndenta"/>
      </w:pPr>
      <w:r>
        <w:tab/>
        <w:t>(b)</w:t>
      </w:r>
      <w:r>
        <w:tab/>
        <w:t>a charge for metered consumption at the rate of 11.9863 cents per unit.</w:t>
      </w:r>
    </w:p>
    <w:p>
      <w:pPr>
        <w:pStyle w:val="yFootnotesection"/>
      </w:pPr>
      <w:r>
        <w:tab/>
        <w:t>[Clause 10 inserted in Gazette 26 Jun 2015 p. 2243; amended in Gazette 28 Jun 2016 p. 2624.]</w:t>
      </w:r>
    </w:p>
    <w:p>
      <w:pPr>
        <w:pStyle w:val="yHeading5"/>
      </w:pPr>
      <w:bookmarkStart w:id="44" w:name="_Toc460420068"/>
      <w:r>
        <w:rPr>
          <w:rStyle w:val="CharSClsNo"/>
        </w:rPr>
        <w:t>11</w:t>
      </w:r>
      <w:r>
        <w:t>.</w:t>
      </w:r>
      <w:r>
        <w:tab/>
        <w:t>Tariff C1 (special community service tariff)</w:t>
      </w:r>
      <w:bookmarkEnd w:id="44"/>
    </w:p>
    <w:p>
      <w:pPr>
        <w:pStyle w:val="ySubsection"/>
      </w:pPr>
      <w:r>
        <w:tab/>
        <w:t>(1)</w:t>
      </w:r>
      <w:r>
        <w:tab/>
        <w:t>Tariff 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a fixed charge at the rate of 35.7763 cents per day; and</w:t>
      </w:r>
    </w:p>
    <w:p>
      <w:pPr>
        <w:pStyle w:val="yIndenta"/>
      </w:pPr>
      <w:r>
        <w:tab/>
        <w:t>(b)</w:t>
      </w:r>
      <w:r>
        <w:tab/>
        <w:t xml:space="preserve">a charge for metered consumption at the rate of — </w:t>
      </w:r>
    </w:p>
    <w:p>
      <w:pPr>
        <w:pStyle w:val="yIndenti0"/>
      </w:pPr>
      <w:r>
        <w:tab/>
        <w:t>(i)</w:t>
      </w:r>
      <w:r>
        <w:tab/>
        <w:t>19.5011 cents per unit for the first 20 units per day; and</w:t>
      </w:r>
    </w:p>
    <w:p>
      <w:pPr>
        <w:pStyle w:val="yIndenti0"/>
      </w:pPr>
      <w:r>
        <w:tab/>
        <w:t>(ii)</w:t>
      </w:r>
      <w:r>
        <w:tab/>
        <w:t>24.4331 cents per unit for the next 1 630 units per day; and</w:t>
      </w:r>
    </w:p>
    <w:p>
      <w:pPr>
        <w:pStyle w:val="yIndenti0"/>
      </w:pPr>
      <w:r>
        <w:tab/>
        <w:t>(iii)</w:t>
      </w:r>
      <w:r>
        <w:tab/>
        <w:t>22.0470 cents per unit for all units exceeding 1 650 units per day.</w:t>
      </w:r>
    </w:p>
    <w:p>
      <w:pPr>
        <w:pStyle w:val="ySubsection"/>
      </w:pPr>
      <w:r>
        <w:tab/>
        <w:t>(3)</w:t>
      </w:r>
      <w:r>
        <w:tab/>
        <w:t xml:space="preserve">Tariff C1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C1 must make an application to the corporation in writing accompanied by evidence which clearly demonstrates that the consumer meets all the conditions listed in subclause (3).</w:t>
      </w:r>
    </w:p>
    <w:p>
      <w:pPr>
        <w:pStyle w:val="yFootnotesection"/>
      </w:pPr>
      <w:r>
        <w:tab/>
        <w:t>[Clause 11 inserted in Gazette 26 Jun 2015 p. 2243</w:t>
      </w:r>
      <w:r>
        <w:noBreakHyphen/>
        <w:t>4; amended in Gazette 28 Jun 2016 p. 2624.]</w:t>
      </w:r>
    </w:p>
    <w:p>
      <w:pPr>
        <w:pStyle w:val="yHeading5"/>
      </w:pPr>
      <w:bookmarkStart w:id="45" w:name="_Toc460420069"/>
      <w:r>
        <w:rPr>
          <w:rStyle w:val="CharSClsNo"/>
        </w:rPr>
        <w:t>12</w:t>
      </w:r>
      <w:r>
        <w:t>.</w:t>
      </w:r>
      <w:r>
        <w:tab/>
        <w:t>Tariff D1 (special tariff for certain premises)</w:t>
      </w:r>
      <w:bookmarkEnd w:id="45"/>
    </w:p>
    <w:p>
      <w:pPr>
        <w:pStyle w:val="ySubsection"/>
      </w:pPr>
      <w:r>
        <w:tab/>
        <w:t>(1)</w:t>
      </w:r>
      <w:r>
        <w:tab/>
        <w:t>Tariff D1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a fixed charge at the rate of 40.8681 cents per day; and</w:t>
      </w:r>
    </w:p>
    <w:p>
      <w:pPr>
        <w:pStyle w:val="yIndenta"/>
      </w:pPr>
      <w:r>
        <w:tab/>
        <w:t>(b)</w:t>
      </w:r>
      <w:r>
        <w:tab/>
        <w:t>if under subclause (3) there is deemed to be more than one equivalent domestic residence in the premises, a charge of 31.7323 cents per day for each equivalent domestic residence except the first that is deemed to be in the premises; and</w:t>
      </w:r>
    </w:p>
    <w:p>
      <w:pPr>
        <w:pStyle w:val="yIndenta"/>
      </w:pPr>
      <w:r>
        <w:tab/>
        <w:t>(c)</w:t>
      </w:r>
      <w:r>
        <w:tab/>
        <w:t>a charge for metered consumption at the rate of 22.2764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26 Jun 2015 p. 2244; amended in Gazette 28 Jun 2016 p. 2625.]</w:t>
      </w:r>
    </w:p>
    <w:p>
      <w:pPr>
        <w:pStyle w:val="yHeading5"/>
      </w:pPr>
      <w:bookmarkStart w:id="46" w:name="_Toc460420070"/>
      <w:r>
        <w:rPr>
          <w:rStyle w:val="CharSClsNo"/>
        </w:rPr>
        <w:t>13</w:t>
      </w:r>
      <w:r>
        <w:t>.</w:t>
      </w:r>
      <w:r>
        <w:tab/>
        <w:t>Tariff K1 (general supply with residential tariff)</w:t>
      </w:r>
      <w:bookmarkEnd w:id="46"/>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a fixed charge at the rate of 48.5989 cents per day; and</w:t>
      </w:r>
    </w:p>
    <w:p>
      <w:pPr>
        <w:pStyle w:val="yIndenta"/>
      </w:pPr>
      <w:r>
        <w:tab/>
        <w:t>(b)</w:t>
      </w:r>
      <w:r>
        <w:tab/>
        <w:t>a charge for metered consumption at the rate of —</w:t>
      </w:r>
    </w:p>
    <w:p>
      <w:pPr>
        <w:pStyle w:val="yIndenti0"/>
      </w:pPr>
      <w:r>
        <w:tab/>
        <w:t>(i)</w:t>
      </w:r>
      <w:r>
        <w:tab/>
        <w:t>26.4740 cents per unit for the first 20 units per day; and</w:t>
      </w:r>
    </w:p>
    <w:p>
      <w:pPr>
        <w:pStyle w:val="yIndenti0"/>
      </w:pPr>
      <w:r>
        <w:tab/>
        <w:t>(ii)</w:t>
      </w:r>
      <w:r>
        <w:tab/>
        <w:t>30.3104 cents per unit for the next 1 630 units per day; and</w:t>
      </w:r>
    </w:p>
    <w:p>
      <w:pPr>
        <w:pStyle w:val="yIndenti0"/>
      </w:pPr>
      <w:r>
        <w:tab/>
        <w:t>(iii)</w:t>
      </w:r>
      <w:r>
        <w:tab/>
        <w:t>27.3503 cents per unit for all units exceeding 1 650 units per day.</w:t>
      </w:r>
    </w:p>
    <w:p>
      <w:pPr>
        <w:pStyle w:val="yFootnotesection"/>
      </w:pPr>
      <w:r>
        <w:tab/>
        <w:t>[Clause 13 inserted in Gazette 26 Jun 2015 p. 2244; amended in Gazette 28 Jun 2016 p. 2625.]</w:t>
      </w:r>
    </w:p>
    <w:bookmarkEnd w:id="33"/>
    <w:bookmarkEnd w:id="42"/>
    <w:p>
      <w:pPr>
        <w:pStyle w:val="yEdnoteschedule"/>
      </w:pPr>
      <w:r>
        <w:t>[Schedule 2A deleted in Gazette 22 Aug 2014 p. 3031.]</w:t>
      </w:r>
    </w:p>
    <w:p>
      <w:pPr>
        <w:rPr>
          <w:u w:val="words"/>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47" w:name="_Toc423342539"/>
      <w:bookmarkStart w:id="48" w:name="_Toc423441965"/>
      <w:bookmarkStart w:id="49" w:name="_Toc455134923"/>
      <w:bookmarkStart w:id="50" w:name="_Toc460419163"/>
      <w:bookmarkStart w:id="51" w:name="_Toc460420071"/>
      <w:bookmarkStart w:id="52" w:name="_Toc391912296"/>
      <w:bookmarkStart w:id="53" w:name="_Toc396399442"/>
      <w:bookmarkStart w:id="54" w:name="_Toc416788126"/>
      <w:bookmarkStart w:id="55" w:name="_Toc416788161"/>
      <w:r>
        <w:rPr>
          <w:rStyle w:val="CharSchNo"/>
        </w:rPr>
        <w:t>Schedule 2</w:t>
      </w:r>
      <w:r>
        <w:t> — </w:t>
      </w:r>
      <w:r>
        <w:rPr>
          <w:rStyle w:val="CharSchText"/>
        </w:rPr>
        <w:t>Unmetered supply</w:t>
      </w:r>
      <w:bookmarkEnd w:id="47"/>
      <w:bookmarkEnd w:id="48"/>
      <w:bookmarkEnd w:id="49"/>
      <w:bookmarkEnd w:id="50"/>
      <w:bookmarkEnd w:id="51"/>
    </w:p>
    <w:p>
      <w:pPr>
        <w:pStyle w:val="yShoulderClause"/>
      </w:pPr>
      <w:r>
        <w:t>[bl. 4(2) and (3)]</w:t>
      </w:r>
    </w:p>
    <w:p>
      <w:pPr>
        <w:pStyle w:val="yFootnoteheading"/>
        <w:spacing w:after="120"/>
      </w:pPr>
      <w:r>
        <w:tab/>
        <w:t>[Heading inserted in Gazette 26 Jun 2015 p. 2245.]</w:t>
      </w:r>
    </w:p>
    <w:p>
      <w:pPr>
        <w:pStyle w:val="yHeading3"/>
      </w:pPr>
      <w:bookmarkStart w:id="56" w:name="_Toc460419164"/>
      <w:bookmarkStart w:id="57" w:name="_Toc460420072"/>
      <w:bookmarkStart w:id="58" w:name="_Toc423342540"/>
      <w:bookmarkStart w:id="59" w:name="_Toc423441966"/>
      <w:bookmarkStart w:id="60" w:name="_Toc455134924"/>
      <w:r>
        <w:rPr>
          <w:rStyle w:val="CharSDivNo"/>
        </w:rPr>
        <w:t>Division 1</w:t>
      </w:r>
      <w:r>
        <w:rPr>
          <w:b w:val="0"/>
        </w:rPr>
        <w:t> — </w:t>
      </w:r>
      <w:r>
        <w:rPr>
          <w:rStyle w:val="CharSDivText"/>
        </w:rPr>
        <w:t>Street lighting</w:t>
      </w:r>
      <w:bookmarkEnd w:id="56"/>
      <w:bookmarkEnd w:id="57"/>
    </w:p>
    <w:p>
      <w:pPr>
        <w:pStyle w:val="yFootnoteheading"/>
        <w:spacing w:after="80"/>
      </w:pPr>
      <w:r>
        <w:tab/>
        <w:t>[Heading inserted in Gazette 31 Aug 2016 p. 3703.]</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32.8606</w:t>
            </w:r>
          </w:p>
        </w:tc>
        <w:tc>
          <w:tcPr>
            <w:tcW w:w="1512" w:type="dxa"/>
          </w:tcPr>
          <w:p>
            <w:pPr>
              <w:pStyle w:val="yTableNAm"/>
            </w:pPr>
            <w:r>
              <w:rPr>
                <w:sz w:val="16"/>
                <w:szCs w:val="16"/>
              </w:rPr>
              <w:t>33.5644</w:t>
            </w:r>
          </w:p>
        </w:tc>
        <w:tc>
          <w:tcPr>
            <w:tcW w:w="1370" w:type="dxa"/>
          </w:tcPr>
          <w:p>
            <w:pPr>
              <w:pStyle w:val="yTableNAm"/>
            </w:pPr>
            <w:r>
              <w:rPr>
                <w:sz w:val="16"/>
                <w:szCs w:val="16"/>
              </w:rPr>
              <w:t>36.1068</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47.8599</w:t>
            </w:r>
          </w:p>
        </w:tc>
        <w:tc>
          <w:tcPr>
            <w:tcW w:w="1512" w:type="dxa"/>
          </w:tcPr>
          <w:p>
            <w:pPr>
              <w:pStyle w:val="yTableNAm"/>
            </w:pPr>
            <w:r>
              <w:rPr>
                <w:sz w:val="16"/>
                <w:szCs w:val="16"/>
              </w:rPr>
              <w:t>49.4111</w:t>
            </w:r>
          </w:p>
        </w:tc>
        <w:tc>
          <w:tcPr>
            <w:tcW w:w="1370" w:type="dxa"/>
          </w:tcPr>
          <w:p>
            <w:pPr>
              <w:pStyle w:val="yTableNAm"/>
            </w:pPr>
            <w:r>
              <w:rPr>
                <w:sz w:val="16"/>
                <w:szCs w:val="16"/>
              </w:rPr>
              <w:t>55.0077</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48.9793</w:t>
            </w:r>
          </w:p>
        </w:tc>
        <w:tc>
          <w:tcPr>
            <w:tcW w:w="1512" w:type="dxa"/>
          </w:tcPr>
          <w:p>
            <w:pPr>
              <w:pStyle w:val="yTableNAm"/>
            </w:pPr>
            <w:r>
              <w:rPr>
                <w:sz w:val="16"/>
                <w:szCs w:val="16"/>
              </w:rPr>
              <w:t>50.5784</w:t>
            </w:r>
          </w:p>
        </w:tc>
        <w:tc>
          <w:tcPr>
            <w:tcW w:w="1370" w:type="dxa"/>
          </w:tcPr>
          <w:p>
            <w:pPr>
              <w:pStyle w:val="yTableNAm"/>
            </w:pPr>
            <w:r>
              <w:rPr>
                <w:sz w:val="16"/>
                <w:szCs w:val="16"/>
              </w:rPr>
              <w:t>57.0066</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59.3892</w:t>
            </w:r>
          </w:p>
        </w:tc>
        <w:tc>
          <w:tcPr>
            <w:tcW w:w="1512" w:type="dxa"/>
          </w:tcPr>
          <w:p>
            <w:pPr>
              <w:pStyle w:val="yTableNAm"/>
            </w:pPr>
            <w:r>
              <w:rPr>
                <w:sz w:val="16"/>
                <w:szCs w:val="16"/>
              </w:rPr>
              <w:t>62.4114</w:t>
            </w:r>
          </w:p>
        </w:tc>
        <w:tc>
          <w:tcPr>
            <w:tcW w:w="1370" w:type="dxa"/>
          </w:tcPr>
          <w:p>
            <w:pPr>
              <w:pStyle w:val="yTableNAm"/>
            </w:pPr>
            <w:r>
              <w:rPr>
                <w:sz w:val="16"/>
                <w:szCs w:val="16"/>
              </w:rPr>
              <w:t>73.6847</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87.9803</w:t>
            </w:r>
          </w:p>
        </w:tc>
        <w:tc>
          <w:tcPr>
            <w:tcW w:w="1512" w:type="dxa"/>
          </w:tcPr>
          <w:p>
            <w:pPr>
              <w:pStyle w:val="yTableNAm"/>
            </w:pPr>
            <w:r>
              <w:rPr>
                <w:sz w:val="16"/>
                <w:szCs w:val="16"/>
              </w:rPr>
              <w:t>92.5856</w:t>
            </w:r>
          </w:p>
        </w:tc>
        <w:tc>
          <w:tcPr>
            <w:tcW w:w="1370" w:type="dxa"/>
          </w:tcPr>
          <w:p>
            <w:pPr>
              <w:pStyle w:val="yTableNAm"/>
            </w:pPr>
            <w:r>
              <w:rPr>
                <w:sz w:val="16"/>
                <w:szCs w:val="16"/>
              </w:rPr>
              <w:t>110.1752</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45.3334</w:t>
            </w:r>
          </w:p>
        </w:tc>
        <w:tc>
          <w:tcPr>
            <w:tcW w:w="1512" w:type="dxa"/>
          </w:tcPr>
          <w:p>
            <w:pPr>
              <w:pStyle w:val="yTableNAm"/>
            </w:pPr>
            <w:r>
              <w:rPr>
                <w:sz w:val="16"/>
                <w:szCs w:val="16"/>
              </w:rPr>
              <w:t>46.9965</w:t>
            </w:r>
          </w:p>
        </w:tc>
        <w:tc>
          <w:tcPr>
            <w:tcW w:w="1370" w:type="dxa"/>
          </w:tcPr>
          <w:p>
            <w:pPr>
              <w:pStyle w:val="yTableNAm"/>
            </w:pPr>
            <w:r>
              <w:rPr>
                <w:sz w:val="16"/>
                <w:szCs w:val="16"/>
              </w:rPr>
              <w:t>56.3028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67.2085</w:t>
            </w:r>
          </w:p>
        </w:tc>
        <w:tc>
          <w:tcPr>
            <w:tcW w:w="1512" w:type="dxa"/>
          </w:tcPr>
          <w:p>
            <w:pPr>
              <w:pStyle w:val="yTableNAm"/>
            </w:pPr>
            <w:r>
              <w:rPr>
                <w:sz w:val="16"/>
                <w:szCs w:val="16"/>
              </w:rPr>
              <w:t>70.7905</w:t>
            </w:r>
          </w:p>
        </w:tc>
        <w:tc>
          <w:tcPr>
            <w:tcW w:w="1370" w:type="dxa"/>
          </w:tcPr>
          <w:p>
            <w:pPr>
              <w:pStyle w:val="yTableNAm"/>
            </w:pPr>
            <w:r>
              <w:rPr>
                <w:sz w:val="16"/>
                <w:szCs w:val="16"/>
              </w:rPr>
              <w:t>84.6063</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245.3436</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68.1679</w:t>
            </w:r>
          </w:p>
        </w:tc>
        <w:tc>
          <w:tcPr>
            <w:tcW w:w="1512" w:type="dxa"/>
          </w:tcPr>
          <w:p>
            <w:pPr>
              <w:pStyle w:val="yTableNAm"/>
            </w:pPr>
            <w:r>
              <w:rPr>
                <w:sz w:val="16"/>
                <w:szCs w:val="16"/>
              </w:rPr>
              <w:t>71.1423</w:t>
            </w:r>
          </w:p>
        </w:tc>
        <w:tc>
          <w:tcPr>
            <w:tcW w:w="1370" w:type="dxa"/>
          </w:tcPr>
          <w:p>
            <w:pPr>
              <w:pStyle w:val="yTableNAm"/>
            </w:pPr>
            <w:r>
              <w:rPr>
                <w:sz w:val="16"/>
                <w:szCs w:val="16"/>
              </w:rPr>
              <w:t>82.4636</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76.9628</w:t>
            </w:r>
          </w:p>
        </w:tc>
        <w:tc>
          <w:tcPr>
            <w:tcW w:w="1512" w:type="dxa"/>
          </w:tcPr>
          <w:p>
            <w:pPr>
              <w:pStyle w:val="yTableNAm"/>
            </w:pPr>
            <w:r>
              <w:rPr>
                <w:sz w:val="16"/>
                <w:szCs w:val="16"/>
              </w:rPr>
              <w:t>79.9690</w:t>
            </w:r>
          </w:p>
        </w:tc>
        <w:tc>
          <w:tcPr>
            <w:tcW w:w="1370" w:type="dxa"/>
          </w:tcPr>
          <w:p>
            <w:pPr>
              <w:pStyle w:val="yTableNAm"/>
            </w:pPr>
            <w:r>
              <w:rPr>
                <w:sz w:val="16"/>
                <w:szCs w:val="16"/>
              </w:rPr>
              <w:t>91.2584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96.7751</w:t>
            </w:r>
          </w:p>
        </w:tc>
        <w:tc>
          <w:tcPr>
            <w:tcW w:w="1512" w:type="dxa"/>
          </w:tcPr>
          <w:p>
            <w:pPr>
              <w:pStyle w:val="yTableNAm"/>
            </w:pPr>
            <w:r>
              <w:rPr>
                <w:sz w:val="16"/>
                <w:szCs w:val="16"/>
              </w:rPr>
              <w:t>101.3966</w:t>
            </w:r>
          </w:p>
        </w:tc>
        <w:tc>
          <w:tcPr>
            <w:tcW w:w="1370" w:type="dxa"/>
          </w:tcPr>
          <w:p>
            <w:pPr>
              <w:pStyle w:val="yTableNAm"/>
            </w:pPr>
            <w:r>
              <w:rPr>
                <w:sz w:val="16"/>
                <w:szCs w:val="16"/>
              </w:rPr>
              <w:t>118.9222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105.5700</w:t>
            </w:r>
          </w:p>
        </w:tc>
        <w:tc>
          <w:tcPr>
            <w:tcW w:w="1512" w:type="dxa"/>
          </w:tcPr>
          <w:p>
            <w:pPr>
              <w:pStyle w:val="yTableNAm"/>
            </w:pPr>
            <w:r>
              <w:rPr>
                <w:sz w:val="16"/>
                <w:szCs w:val="16"/>
              </w:rPr>
              <w:t>110.1752</w:t>
            </w:r>
          </w:p>
        </w:tc>
        <w:tc>
          <w:tcPr>
            <w:tcW w:w="1370" w:type="dxa"/>
          </w:tcPr>
          <w:p>
            <w:pPr>
              <w:pStyle w:val="yTableNAm"/>
            </w:pPr>
            <w:r>
              <w:rPr>
                <w:sz w:val="16"/>
                <w:szCs w:val="16"/>
              </w:rPr>
              <w:t>127.6849</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69.9428</w:t>
            </w:r>
          </w:p>
        </w:tc>
        <w:tc>
          <w:tcPr>
            <w:tcW w:w="1512" w:type="dxa"/>
          </w:tcPr>
          <w:p>
            <w:pPr>
              <w:pStyle w:val="yTableNAm"/>
            </w:pPr>
            <w:r>
              <w:rPr>
                <w:sz w:val="16"/>
                <w:szCs w:val="16"/>
              </w:rPr>
              <w:t>71.5739</w:t>
            </w:r>
          </w:p>
        </w:tc>
        <w:tc>
          <w:tcPr>
            <w:tcW w:w="1370" w:type="dxa"/>
          </w:tcPr>
          <w:p>
            <w:pPr>
              <w:pStyle w:val="yTableNAm"/>
            </w:pPr>
            <w:r>
              <w:rPr>
                <w:sz w:val="16"/>
                <w:szCs w:val="16"/>
              </w:rPr>
              <w:t>80.8485</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80.3688</w:t>
            </w:r>
          </w:p>
        </w:tc>
        <w:tc>
          <w:tcPr>
            <w:tcW w:w="1512" w:type="dxa"/>
          </w:tcPr>
          <w:p>
            <w:pPr>
              <w:pStyle w:val="yTableNAm"/>
            </w:pPr>
            <w:r>
              <w:rPr>
                <w:sz w:val="16"/>
                <w:szCs w:val="16"/>
              </w:rPr>
              <w:t>83.9827</w:t>
            </w:r>
          </w:p>
        </w:tc>
        <w:tc>
          <w:tcPr>
            <w:tcW w:w="1370" w:type="dxa"/>
          </w:tcPr>
          <w:p>
            <w:pPr>
              <w:pStyle w:val="yTableNAm"/>
            </w:pPr>
            <w:r>
              <w:rPr>
                <w:sz w:val="16"/>
                <w:szCs w:val="16"/>
              </w:rPr>
              <w:t>97.7666</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93.4969</w:t>
            </w:r>
          </w:p>
        </w:tc>
        <w:tc>
          <w:tcPr>
            <w:tcW w:w="1512" w:type="dxa"/>
          </w:tcPr>
          <w:p>
            <w:pPr>
              <w:pStyle w:val="yTableNAm"/>
            </w:pPr>
            <w:r>
              <w:rPr>
                <w:sz w:val="16"/>
                <w:szCs w:val="16"/>
              </w:rPr>
              <w:t>97.1589</w:t>
            </w:r>
          </w:p>
        </w:tc>
        <w:tc>
          <w:tcPr>
            <w:tcW w:w="1370" w:type="dxa"/>
          </w:tcPr>
          <w:p>
            <w:pPr>
              <w:pStyle w:val="yTableNAm"/>
            </w:pPr>
            <w:r>
              <w:rPr>
                <w:sz w:val="16"/>
                <w:szCs w:val="16"/>
              </w:rPr>
              <w:t>110.9588</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32.8607</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36.1066</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38.6973</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47.8599</w:t>
            </w:r>
          </w:p>
        </w:tc>
        <w:tc>
          <w:tcPr>
            <w:tcW w:w="1512" w:type="dxa"/>
          </w:tcPr>
          <w:p>
            <w:pPr>
              <w:pStyle w:val="yTableNAm"/>
            </w:pPr>
            <w:r>
              <w:rPr>
                <w:sz w:val="16"/>
                <w:szCs w:val="16"/>
              </w:rPr>
              <w:t>49.4109</w:t>
            </w:r>
          </w:p>
        </w:tc>
        <w:tc>
          <w:tcPr>
            <w:tcW w:w="1370" w:type="dxa"/>
          </w:tcPr>
          <w:p>
            <w:pPr>
              <w:pStyle w:val="yTableNAm"/>
            </w:pPr>
            <w:r>
              <w:rPr>
                <w:sz w:val="16"/>
                <w:szCs w:val="16"/>
              </w:rPr>
              <w:t>55.0076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76.9627</w:t>
            </w:r>
          </w:p>
        </w:tc>
        <w:tc>
          <w:tcPr>
            <w:tcW w:w="1512" w:type="dxa"/>
          </w:tcPr>
          <w:p>
            <w:pPr>
              <w:pStyle w:val="yTableNAm"/>
            </w:pPr>
            <w:r>
              <w:rPr>
                <w:sz w:val="16"/>
                <w:szCs w:val="16"/>
              </w:rPr>
              <w:t>79.9689</w:t>
            </w:r>
          </w:p>
        </w:tc>
        <w:tc>
          <w:tcPr>
            <w:tcW w:w="1370" w:type="dxa"/>
          </w:tcPr>
          <w:p>
            <w:pPr>
              <w:pStyle w:val="yTableNAm"/>
            </w:pPr>
            <w:r>
              <w:rPr>
                <w:sz w:val="16"/>
                <w:szCs w:val="16"/>
              </w:rPr>
              <w:t>91.2583</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32.8606</w:t>
            </w:r>
          </w:p>
        </w:tc>
        <w:tc>
          <w:tcPr>
            <w:tcW w:w="1512" w:type="dxa"/>
          </w:tcPr>
          <w:p>
            <w:pPr>
              <w:pStyle w:val="yTableNAm"/>
            </w:pPr>
            <w:r>
              <w:rPr>
                <w:sz w:val="16"/>
                <w:szCs w:val="16"/>
              </w:rPr>
              <w:t>33.5643</w:t>
            </w:r>
          </w:p>
        </w:tc>
        <w:tc>
          <w:tcPr>
            <w:tcW w:w="1370" w:type="dxa"/>
          </w:tcPr>
          <w:p>
            <w:pPr>
              <w:pStyle w:val="yTableNAm"/>
            </w:pPr>
            <w:r>
              <w:rPr>
                <w:sz w:val="16"/>
                <w:szCs w:val="16"/>
              </w:rPr>
              <w:t>36.1067</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38.6971</w:t>
            </w:r>
          </w:p>
        </w:tc>
        <w:tc>
          <w:tcPr>
            <w:tcW w:w="1512" w:type="dxa"/>
          </w:tcPr>
          <w:p>
            <w:pPr>
              <w:pStyle w:val="yTableNAm"/>
            </w:pPr>
            <w:r>
              <w:rPr>
                <w:sz w:val="16"/>
                <w:szCs w:val="16"/>
              </w:rPr>
              <w:t>39.5607</w:t>
            </w:r>
          </w:p>
        </w:tc>
        <w:tc>
          <w:tcPr>
            <w:tcW w:w="1370" w:type="dxa"/>
          </w:tcPr>
          <w:p>
            <w:pPr>
              <w:pStyle w:val="yTableNAm"/>
            </w:pPr>
            <w:r>
              <w:rPr>
                <w:sz w:val="16"/>
                <w:szCs w:val="16"/>
              </w:rPr>
              <w:t>43.5266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54.1284</w:t>
            </w:r>
          </w:p>
        </w:tc>
        <w:tc>
          <w:tcPr>
            <w:tcW w:w="1512" w:type="dxa"/>
            <w:tcBorders>
              <w:bottom w:val="single" w:sz="4" w:space="0" w:color="auto"/>
            </w:tcBorders>
          </w:tcPr>
          <w:p>
            <w:pPr>
              <w:pStyle w:val="yTableNAm"/>
            </w:pPr>
            <w:r>
              <w:rPr>
                <w:sz w:val="16"/>
                <w:szCs w:val="16"/>
              </w:rPr>
              <w:t>54.8797</w:t>
            </w:r>
          </w:p>
        </w:tc>
        <w:tc>
          <w:tcPr>
            <w:tcW w:w="1370" w:type="dxa"/>
            <w:tcBorders>
              <w:bottom w:val="single" w:sz="4" w:space="0" w:color="auto"/>
            </w:tcBorders>
          </w:tcPr>
          <w:p>
            <w:pPr>
              <w:pStyle w:val="yTableNAm"/>
            </w:pPr>
            <w:r>
              <w:rPr>
                <w:sz w:val="16"/>
                <w:szCs w:val="16"/>
              </w:rPr>
              <w:t>63.6745</w:t>
            </w:r>
          </w:p>
        </w:tc>
      </w:tr>
    </w:tbl>
    <w:p>
      <w:pPr>
        <w:pStyle w:val="yFootnotesection"/>
      </w:pPr>
      <w:r>
        <w:tab/>
        <w:t>[Division 1 inserted in Gazette 31 Aug 2016 p. 3703</w:t>
      </w:r>
      <w:r>
        <w:noBreakHyphen/>
        <w:t>4.]</w:t>
      </w:r>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bookmarkStart w:id="61" w:name="_Toc423342541"/>
      <w:bookmarkStart w:id="62" w:name="_Toc423441967"/>
      <w:bookmarkStart w:id="63" w:name="_Toc455134925"/>
      <w:bookmarkStart w:id="64" w:name="_Toc460419165"/>
      <w:bookmarkEnd w:id="58"/>
      <w:bookmarkEnd w:id="59"/>
      <w:bookmarkEnd w:id="60"/>
    </w:p>
    <w:p>
      <w:pPr>
        <w:pStyle w:val="yHeading3"/>
        <w:keepLines/>
        <w:pageBreakBefore/>
      </w:pPr>
      <w:bookmarkStart w:id="65" w:name="_Toc460420073"/>
      <w:r>
        <w:rPr>
          <w:rStyle w:val="CharSDivNo"/>
        </w:rPr>
        <w:t>Division 2</w:t>
      </w:r>
      <w:r>
        <w:t> — </w:t>
      </w:r>
      <w:r>
        <w:rPr>
          <w:rStyle w:val="CharSDivText"/>
        </w:rPr>
        <w:t>Miscellaneous</w:t>
      </w:r>
      <w:bookmarkEnd w:id="61"/>
      <w:bookmarkEnd w:id="62"/>
      <w:bookmarkEnd w:id="63"/>
      <w:bookmarkEnd w:id="64"/>
      <w:bookmarkEnd w:id="65"/>
    </w:p>
    <w:p>
      <w:pPr>
        <w:pStyle w:val="yFootnoteheading"/>
        <w:keepNext/>
        <w:spacing w:after="120"/>
      </w:pPr>
      <w:r>
        <w:tab/>
        <w:t>[Heading inserted in Gazette 26 Jun 2015 p. 2246.]</w:t>
      </w:r>
    </w:p>
    <w:p>
      <w:pPr>
        <w:pStyle w:val="yHeading5"/>
      </w:pPr>
      <w:bookmarkStart w:id="66" w:name="_Toc460420074"/>
      <w:r>
        <w:rPr>
          <w:rStyle w:val="CharSClsNo"/>
        </w:rPr>
        <w:t>1</w:t>
      </w:r>
      <w:r>
        <w:t>.</w:t>
      </w:r>
      <w:r>
        <w:tab/>
        <w:t>Traffic light installation</w:t>
      </w:r>
      <w:bookmarkEnd w:id="66"/>
    </w:p>
    <w:p>
      <w:pPr>
        <w:pStyle w:val="ySubsection"/>
      </w:pPr>
      <w:r>
        <w:tab/>
      </w:r>
      <w:r>
        <w:tab/>
        <w:t xml:space="preserve">Supply of electricity to traffic light installations comprises a charge of </w:t>
      </w:r>
      <w:r>
        <w:rPr>
          <w:szCs w:val="22"/>
        </w:rPr>
        <w:t xml:space="preserve">$6.4517 </w:t>
      </w:r>
      <w:r>
        <w:t>per day per kW of installed wattage.</w:t>
      </w:r>
    </w:p>
    <w:p>
      <w:pPr>
        <w:pStyle w:val="yFootnotesection"/>
      </w:pPr>
      <w:r>
        <w:tab/>
        <w:t>[Clause 1 inserted in Gazette 26 Jun 2015 p. 2246; amended in Gazette 31 Aug 2016 p. 3705.]</w:t>
      </w:r>
    </w:p>
    <w:p>
      <w:pPr>
        <w:pStyle w:val="yHeading5"/>
      </w:pPr>
      <w:bookmarkStart w:id="67" w:name="_Toc460420075"/>
      <w:r>
        <w:rPr>
          <w:rStyle w:val="CharSClsNo"/>
        </w:rPr>
        <w:t>2</w:t>
      </w:r>
      <w:r>
        <w:t>.</w:t>
      </w:r>
      <w:r>
        <w:tab/>
        <w:t>Public telephone facility</w:t>
      </w:r>
      <w:bookmarkEnd w:id="67"/>
    </w:p>
    <w:p>
      <w:pPr>
        <w:pStyle w:val="ySubsection"/>
      </w:pPr>
      <w:r>
        <w:tab/>
      </w:r>
      <w:r>
        <w:tab/>
        <w:t xml:space="preserve">Supply of electricity to a standard public telephone facility where supply is not independently metered comprises a charge of </w:t>
      </w:r>
      <w:r>
        <w:rPr>
          <w:szCs w:val="22"/>
        </w:rPr>
        <w:t>56.3511</w:t>
      </w:r>
      <w:r>
        <w:t xml:space="preserve"> cents per day.</w:t>
      </w:r>
    </w:p>
    <w:p>
      <w:pPr>
        <w:pStyle w:val="yFootnotesection"/>
      </w:pPr>
      <w:r>
        <w:tab/>
        <w:t>[Clause 2 inserted in Gazette 26 Jun 2015 p. 2246; amended in Gazette 31 Aug 2016 p. 3705.]</w:t>
      </w:r>
    </w:p>
    <w:p>
      <w:pPr>
        <w:pStyle w:val="yHeading5"/>
      </w:pPr>
      <w:bookmarkStart w:id="68" w:name="_Toc460420076"/>
      <w:r>
        <w:rPr>
          <w:rStyle w:val="CharSClsNo"/>
        </w:rPr>
        <w:t>3</w:t>
      </w:r>
      <w:r>
        <w:t>.</w:t>
      </w:r>
      <w:r>
        <w:tab/>
        <w:t>Railway crossing</w:t>
      </w:r>
      <w:bookmarkEnd w:id="68"/>
    </w:p>
    <w:p>
      <w:pPr>
        <w:pStyle w:val="ySubsection"/>
      </w:pPr>
      <w:r>
        <w:tab/>
      </w:r>
      <w:r>
        <w:tab/>
        <w:t xml:space="preserve">Supply of electricity to standard railway crossing lights comprises a charge of </w:t>
      </w:r>
      <w:r>
        <w:rPr>
          <w:szCs w:val="22"/>
        </w:rPr>
        <w:t xml:space="preserve">72.0130 </w:t>
      </w:r>
      <w:r>
        <w:t>cents per day.</w:t>
      </w:r>
    </w:p>
    <w:p>
      <w:pPr>
        <w:pStyle w:val="yFootnotesection"/>
      </w:pPr>
      <w:r>
        <w:tab/>
        <w:t>[Clause 3 inserted in Gazette 26 Jun 2015 p. 2246; amended in Gazette 31 Aug 2016 p. 3705.]</w:t>
      </w:r>
    </w:p>
    <w:bookmarkEnd w:id="52"/>
    <w:bookmarkEnd w:id="53"/>
    <w:bookmarkEnd w:id="54"/>
    <w:bookmarkEnd w:id="55"/>
    <w:p>
      <w:pPr>
        <w:sectPr>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9" w:name="_Toc391912302"/>
      <w:bookmarkStart w:id="70" w:name="_Toc396399448"/>
      <w:bookmarkStart w:id="71" w:name="_Toc416788132"/>
      <w:bookmarkStart w:id="72" w:name="_Toc416788167"/>
      <w:bookmarkStart w:id="73" w:name="_Toc423342545"/>
      <w:bookmarkStart w:id="74" w:name="_Toc423441971"/>
      <w:bookmarkStart w:id="75" w:name="_Toc455134929"/>
      <w:bookmarkStart w:id="76" w:name="_Toc460419169"/>
      <w:bookmarkStart w:id="77" w:name="_Toc460420077"/>
      <w:r>
        <w:rPr>
          <w:rStyle w:val="CharSchNo"/>
        </w:rPr>
        <w:t>Schedule 3</w:t>
      </w:r>
      <w:r>
        <w:rPr>
          <w:rStyle w:val="CharSDivNo"/>
        </w:rPr>
        <w:t> </w:t>
      </w:r>
      <w:r>
        <w:t>—</w:t>
      </w:r>
      <w:r>
        <w:rPr>
          <w:rStyle w:val="CharSDivText"/>
        </w:rPr>
        <w:t> </w:t>
      </w:r>
      <w:r>
        <w:rPr>
          <w:rStyle w:val="CharSchText"/>
        </w:rPr>
        <w:t>Meter rental</w:t>
      </w:r>
      <w:bookmarkEnd w:id="69"/>
      <w:bookmarkEnd w:id="70"/>
      <w:bookmarkEnd w:id="71"/>
      <w:bookmarkEnd w:id="72"/>
      <w:bookmarkEnd w:id="73"/>
      <w:bookmarkEnd w:id="74"/>
      <w:bookmarkEnd w:id="75"/>
      <w:bookmarkEnd w:id="76"/>
      <w:bookmarkEnd w:id="77"/>
    </w:p>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78" w:name="_Toc391912303"/>
      <w:bookmarkStart w:id="79" w:name="_Toc396399449"/>
      <w:bookmarkStart w:id="80" w:name="_Toc416788133"/>
      <w:bookmarkStart w:id="81" w:name="_Toc416788168"/>
      <w:bookmarkStart w:id="82" w:name="_Toc423342546"/>
      <w:bookmarkStart w:id="83" w:name="_Toc423441972"/>
      <w:bookmarkStart w:id="84" w:name="_Toc455134930"/>
      <w:bookmarkStart w:id="85" w:name="_Toc460419170"/>
      <w:bookmarkStart w:id="86" w:name="_Toc460420078"/>
      <w:r>
        <w:rPr>
          <w:rStyle w:val="CharSchNo"/>
        </w:rPr>
        <w:t>Schedule 4</w:t>
      </w:r>
      <w:r>
        <w:rPr>
          <w:rStyle w:val="CharSDivNo"/>
        </w:rPr>
        <w:t> </w:t>
      </w:r>
      <w:r>
        <w:t>—</w:t>
      </w:r>
      <w:r>
        <w:rPr>
          <w:rStyle w:val="CharSDivText"/>
        </w:rPr>
        <w:t> </w:t>
      </w:r>
      <w:r>
        <w:rPr>
          <w:rStyle w:val="CharSchText"/>
        </w:rPr>
        <w:t>Fees</w:t>
      </w:r>
      <w:bookmarkEnd w:id="78"/>
      <w:bookmarkEnd w:id="79"/>
      <w:bookmarkEnd w:id="80"/>
      <w:bookmarkEnd w:id="81"/>
      <w:bookmarkEnd w:id="82"/>
      <w:bookmarkEnd w:id="83"/>
      <w:bookmarkEnd w:id="84"/>
      <w:bookmarkEnd w:id="85"/>
      <w:bookmarkEnd w:id="86"/>
    </w:p>
    <w:p>
      <w:pPr>
        <w:pStyle w:val="yShoulderClause"/>
        <w:spacing w:before="60" w:after="120"/>
      </w:pPr>
      <w:r>
        <w:rPr>
          <w:szCs w:val="22"/>
        </w:rPr>
        <w:t>[bl. 7]</w:t>
      </w:r>
    </w:p>
    <w:p>
      <w:pPr>
        <w:pStyle w:val="yFootnoteheading"/>
        <w:spacing w:after="120"/>
      </w:pPr>
      <w:r>
        <w:tab/>
        <w:t>[Heading amended in Gazette 22 Aug 2014 p. 3032.]</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$233.30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$336.15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$14.89</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t>$5.50</w:t>
            </w:r>
          </w:p>
        </w:tc>
      </w:tr>
      <w:tr>
        <w:tc>
          <w:tcPr>
            <w:tcW w:w="5586" w:type="dxa"/>
          </w:tcPr>
          <w:p>
            <w:pPr>
              <w:pStyle w:val="yTableNAm"/>
              <w:keepNext/>
              <w:ind w:left="556" w:hanging="556"/>
            </w:pPr>
            <w:r>
              <w:t>11.</w:t>
            </w:r>
            <w:r>
              <w:tab/>
              <w:t>Tariff R1 or R3 “time</w:t>
            </w:r>
            <w:r>
              <w:noBreakHyphen/>
              <w:t>of</w:t>
            </w:r>
            <w:r>
              <w:noBreakHyphen/>
              <w:t xml:space="preserve">use meter” installation fee </w:t>
            </w:r>
          </w:p>
        </w:tc>
        <w:tc>
          <w:tcPr>
            <w:tcW w:w="1482" w:type="dxa"/>
          </w:tcPr>
          <w:p>
            <w:pPr>
              <w:pStyle w:val="yTableNAm"/>
              <w:keepNext/>
            </w:pPr>
            <w:r>
              <w:t>$809.60</w:t>
            </w:r>
          </w:p>
        </w:tc>
      </w:tr>
      <w:tr>
        <w:tc>
          <w:tcPr>
            <w:tcW w:w="5586" w:type="dxa"/>
          </w:tcPr>
          <w:p>
            <w:pPr>
              <w:pStyle w:val="yTableNAm"/>
              <w:keepNext/>
              <w:ind w:left="556" w:hanging="556"/>
            </w:pPr>
            <w:r>
              <w:t>12.</w:t>
            </w:r>
            <w:r>
              <w:tab/>
              <w:t>A transaction fee where a consumer makes a payment to the corporation by means of one of the following — </w:t>
            </w:r>
          </w:p>
        </w:tc>
        <w:tc>
          <w:tcPr>
            <w:tcW w:w="1482" w:type="dxa"/>
          </w:tcPr>
          <w:p>
            <w:pPr>
              <w:pStyle w:val="yTableNAm"/>
              <w:keepNext/>
            </w:pPr>
          </w:p>
        </w:tc>
      </w:tr>
      <w:tr>
        <w:tc>
          <w:tcPr>
            <w:tcW w:w="5586" w:type="dxa"/>
          </w:tcPr>
          <w:p>
            <w:pPr>
              <w:pStyle w:val="yTableNAm"/>
              <w:keepNext/>
              <w:tabs>
                <w:tab w:val="left" w:pos="1156"/>
                <w:tab w:val="right" w:leader="dot" w:pos="5273"/>
              </w:tabs>
              <w:ind w:left="1156" w:hanging="1156"/>
            </w:pPr>
            <w:r>
              <w:tab/>
              <w:t>(a)</w:t>
            </w:r>
            <w:r>
              <w:tab/>
              <w:t xml:space="preserve">a Visa or a MasterCard credit card or debit card </w:t>
            </w:r>
            <w:r>
              <w:tab/>
            </w:r>
          </w:p>
        </w:tc>
        <w:tc>
          <w:tcPr>
            <w:tcW w:w="1482" w:type="dxa"/>
          </w:tcPr>
          <w:p>
            <w:pPr>
              <w:pStyle w:val="yTableNAm"/>
              <w:keepNext/>
            </w:pPr>
            <w:r>
              <w:br/>
              <w:t>0.53% of the amount of the charge</w:t>
            </w:r>
          </w:p>
        </w:tc>
      </w:tr>
      <w:tr>
        <w:tc>
          <w:tcPr>
            <w:tcW w:w="5586" w:type="dxa"/>
            <w:tcBorders>
              <w:bottom w:val="single" w:sz="4" w:space="0" w:color="auto"/>
            </w:tcBorders>
          </w:tcPr>
          <w:p>
            <w:pPr>
              <w:pStyle w:val="yTableNAm"/>
              <w:tabs>
                <w:tab w:val="left" w:pos="1156"/>
                <w:tab w:val="right" w:leader="dot" w:pos="5273"/>
              </w:tabs>
              <w:ind w:left="1156" w:hanging="1156"/>
            </w:pPr>
            <w:r>
              <w:tab/>
              <w:t>(b)</w:t>
            </w:r>
            <w:r>
              <w:tab/>
              <w:t>an American Express credit card</w:t>
            </w:r>
            <w:r>
              <w:tab/>
            </w:r>
          </w:p>
        </w:tc>
        <w:tc>
          <w:tcPr>
            <w:tcW w:w="1482" w:type="dxa"/>
            <w:tcBorders>
              <w:bottom w:val="single" w:sz="4" w:space="0" w:color="auto"/>
            </w:tcBorders>
          </w:tcPr>
          <w:p>
            <w:pPr>
              <w:pStyle w:val="yTableNAm"/>
              <w:keepNext/>
            </w:pPr>
            <w:r>
              <w:t>1.68% of the amount of the charge</w:t>
            </w:r>
          </w:p>
        </w:tc>
      </w:tr>
    </w:tbl>
    <w:p>
      <w:pPr>
        <w:pStyle w:val="yFootnotesection"/>
      </w:pPr>
      <w:r>
        <w:tab/>
        <w:t>[Schedule 4 amended in Gazette 26 Jun 2007 p. 3017; 30 Mar 2009 p. 982 and 994; 26 Mar 2010 p. 1138 and 1141-2; 24 Jun 2011 p. 2502; 29 Jun 2012 p. 2926; 30 Aug 2013 p. 4100; 27 Jun 2014 p. 2319; 28 Jun 2016 p. 2625.]</w:t>
      </w:r>
    </w:p>
    <w:p>
      <w:pPr>
        <w:pStyle w:val="CentredBaseLine"/>
        <w:spacing w:before="18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87" w:name="_Toc391912304"/>
      <w:bookmarkStart w:id="88" w:name="_Toc396399450"/>
      <w:bookmarkStart w:id="89" w:name="_Toc416788134"/>
      <w:bookmarkStart w:id="90" w:name="_Toc416788169"/>
      <w:bookmarkStart w:id="91" w:name="_Toc423342547"/>
      <w:bookmarkStart w:id="92" w:name="_Toc423441973"/>
      <w:bookmarkStart w:id="93" w:name="_Toc455134931"/>
      <w:bookmarkStart w:id="94" w:name="_Toc460419171"/>
      <w:bookmarkStart w:id="95" w:name="_Toc460420079"/>
      <w:r>
        <w:t>Notes</w:t>
      </w:r>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Generation and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96" w:name="_Toc396399451"/>
      <w:bookmarkStart w:id="97" w:name="_Toc460420080"/>
      <w:r>
        <w:t>Compilation table</w:t>
      </w:r>
      <w:bookmarkEnd w:id="96"/>
      <w:bookmarkEnd w:id="9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Energy Operators (Electricity Retail Corporation) (Charges) By</w:t>
            </w:r>
            <w:r>
              <w:rPr>
                <w:i/>
              </w:rPr>
              <w:noBreakHyphen/>
              <w:t>laws 2006</w:t>
            </w:r>
            <w:r>
              <w:rPr>
                <w:i/>
                <w:vertAlign w:val="superscript"/>
              </w:rPr>
              <w:t> </w:t>
            </w:r>
            <w:r>
              <w:rPr>
                <w:vertAlign w:val="superscript"/>
              </w:rPr>
              <w:t>2</w:t>
            </w:r>
          </w:p>
        </w:tc>
        <w:tc>
          <w:tcPr>
            <w:tcW w:w="1276" w:type="dxa"/>
            <w:tcBorders>
              <w:top w:val="single" w:sz="8" w:space="0" w:color="auto"/>
            </w:tcBorders>
          </w:tcPr>
          <w:p>
            <w:pPr>
              <w:pStyle w:val="nTable"/>
              <w:spacing w:after="40"/>
            </w:pPr>
            <w:r>
              <w:t>31 Mar 2006 p. 1225</w:t>
            </w:r>
            <w:r>
              <w:noBreakHyphen/>
              <w:t>46</w:t>
            </w:r>
          </w:p>
        </w:tc>
        <w:tc>
          <w:tcPr>
            <w:tcW w:w="2694" w:type="dxa"/>
            <w:tcBorders>
              <w:top w:val="single" w:sz="8" w:space="0" w:color="auto"/>
            </w:tcBorders>
          </w:tcPr>
          <w:p>
            <w:pPr>
              <w:pStyle w:val="nTable"/>
              <w:spacing w:after="40"/>
            </w:pPr>
            <w:r>
              <w:t>1 Apr 2006 (see bl. 2)</w:t>
            </w:r>
          </w:p>
        </w:tc>
      </w:tr>
      <w:tr>
        <w:tc>
          <w:tcPr>
            <w:tcW w:w="3118" w:type="dxa"/>
          </w:tcPr>
          <w:p>
            <w:pPr>
              <w:pStyle w:val="nTable"/>
              <w:spacing w:after="40"/>
              <w:rPr>
                <w:i/>
              </w:rPr>
            </w:pPr>
            <w:r>
              <w:rPr>
                <w:i/>
              </w:rPr>
              <w:t>Energy Operators (Electricity Retail Corporation) (Charges) Amendment By</w:t>
            </w:r>
            <w:r>
              <w:rPr>
                <w:i/>
              </w:rPr>
              <w:noBreakHyphen/>
              <w:t>laws 2006</w:t>
            </w:r>
          </w:p>
        </w:tc>
        <w:tc>
          <w:tcPr>
            <w:tcW w:w="1276" w:type="dxa"/>
          </w:tcPr>
          <w:p>
            <w:pPr>
              <w:pStyle w:val="nTable"/>
              <w:spacing w:after="40"/>
            </w:pPr>
            <w:r>
              <w:t>1 Dec 2006 p. 5349</w:t>
            </w:r>
            <w:r>
              <w:noBreakHyphen/>
              <w:t>50</w:t>
            </w:r>
          </w:p>
        </w:tc>
        <w:tc>
          <w:tcPr>
            <w:tcW w:w="2694" w:type="dxa"/>
          </w:tcPr>
          <w:p>
            <w:pPr>
              <w:pStyle w:val="nTable"/>
              <w:spacing w:after="40"/>
            </w:pPr>
            <w:r>
              <w:t>1 Dec 2006</w:t>
            </w:r>
          </w:p>
        </w:tc>
      </w:tr>
      <w:tr>
        <w:tc>
          <w:tcPr>
            <w:tcW w:w="3118" w:type="dxa"/>
          </w:tcPr>
          <w:p>
            <w:pPr>
              <w:pStyle w:val="nTable"/>
              <w:spacing w:after="40"/>
              <w:rPr>
                <w:i/>
              </w:rPr>
            </w:pPr>
            <w:r>
              <w:rPr>
                <w:i/>
              </w:rPr>
              <w:t>Energy Operators (Electricity Retail Corporation) (Charges) Amendment By</w:t>
            </w:r>
            <w:r>
              <w:rPr>
                <w:i/>
              </w:rPr>
              <w:noBreakHyphen/>
              <w:t>laws 2007</w:t>
            </w:r>
          </w:p>
        </w:tc>
        <w:tc>
          <w:tcPr>
            <w:tcW w:w="1276" w:type="dxa"/>
          </w:tcPr>
          <w:p>
            <w:pPr>
              <w:pStyle w:val="nTable"/>
              <w:spacing w:after="40"/>
            </w:pPr>
            <w:r>
              <w:t>26 Jun 2007 p. 3013</w:t>
            </w:r>
            <w:r>
              <w:noBreakHyphen/>
              <w:t>17</w:t>
            </w:r>
          </w:p>
        </w:tc>
        <w:tc>
          <w:tcPr>
            <w:tcW w:w="2694" w:type="dxa"/>
          </w:tcPr>
          <w:p>
            <w:pPr>
              <w:pStyle w:val="nTable"/>
              <w:spacing w:after="40"/>
            </w:pPr>
            <w:r>
              <w:t>bl. 1 and 2: 26 Jun 2007 (see bl. 2(a));</w:t>
            </w:r>
            <w:r>
              <w:br/>
              <w:t>By</w:t>
            </w:r>
            <w:r>
              <w:noBreakHyphen/>
              <w:t>laws other than bl. 1 and 2: 1 Jul 2007 (see bl. 2(b))</w:t>
            </w:r>
          </w:p>
        </w:tc>
      </w:tr>
      <w:tr>
        <w:tc>
          <w:tcPr>
            <w:tcW w:w="3118" w:type="dxa"/>
          </w:tcPr>
          <w:p>
            <w:pPr>
              <w:pStyle w:val="nTable"/>
              <w:spacing w:after="40"/>
              <w:rPr>
                <w:i/>
              </w:rPr>
            </w:pPr>
            <w:r>
              <w:rPr>
                <w:i/>
              </w:rPr>
              <w:t>Energy Operators (Electricity Retail Corporation) (Charges) Amendment By</w:t>
            </w:r>
            <w:r>
              <w:rPr>
                <w:i/>
              </w:rPr>
              <w:noBreakHyphen/>
              <w:t>laws 2009</w:t>
            </w:r>
          </w:p>
        </w:tc>
        <w:tc>
          <w:tcPr>
            <w:tcW w:w="1276" w:type="dxa"/>
          </w:tcPr>
          <w:p>
            <w:pPr>
              <w:pStyle w:val="nTable"/>
              <w:spacing w:after="40"/>
            </w:pPr>
            <w:r>
              <w:t>30 Mar 2009 p. 967</w:t>
            </w:r>
            <w:r>
              <w:noBreakHyphen/>
              <w:t>95</w:t>
            </w:r>
          </w:p>
        </w:tc>
        <w:tc>
          <w:tcPr>
            <w:tcW w:w="2694" w:type="dxa"/>
          </w:tcPr>
          <w:p>
            <w:pPr>
              <w:pStyle w:val="nTable"/>
              <w:spacing w:after="40"/>
            </w:pPr>
            <w:r>
              <w:t>bl. 1 and 2: 30 Mar 2009 (see bl. 2(a));</w:t>
            </w:r>
            <w:r>
              <w:br/>
              <w:t>bl. 3 and Pt. 2: 1 Apr 2009 (see bl. 2(b));</w:t>
            </w:r>
            <w:r>
              <w:br/>
              <w:t>Pt. 3: 1 Jul 2009 (see bl. 2(c))</w:t>
            </w:r>
          </w:p>
        </w:tc>
      </w:tr>
      <w:tr>
        <w:trPr>
          <w:cantSplit/>
        </w:trPr>
        <w:tc>
          <w:tcPr>
            <w:tcW w:w="7088" w:type="dxa"/>
            <w:gridSpan w:val="3"/>
          </w:tcPr>
          <w:p>
            <w:pPr>
              <w:pStyle w:val="nTable"/>
              <w:spacing w:after="40"/>
            </w:pPr>
            <w:r>
              <w:rPr>
                <w:b/>
                <w:bCs/>
              </w:rPr>
              <w:t xml:space="preserve">Reprint 1: The </w:t>
            </w:r>
            <w:r>
              <w:rPr>
                <w:b/>
                <w:bCs/>
                <w:i/>
              </w:rPr>
              <w:t>Energy Operators (Electricity Retail Corporation) (Charges) By</w:t>
            </w:r>
            <w:r>
              <w:rPr>
                <w:b/>
                <w:bCs/>
                <w:i/>
              </w:rPr>
              <w:noBreakHyphen/>
              <w:t>laws 2006</w:t>
            </w:r>
            <w:r>
              <w:rPr>
                <w:b/>
                <w:bCs/>
              </w:rPr>
              <w:t xml:space="preserve"> as at 18 Sep 2009</w:t>
            </w:r>
            <w:r>
              <w:t xml:space="preserve"> (includes amendments listed above)</w:t>
            </w:r>
          </w:p>
        </w:tc>
      </w:tr>
      <w:tr>
        <w:tc>
          <w:tcPr>
            <w:tcW w:w="3118" w:type="dxa"/>
          </w:tcPr>
          <w:p>
            <w:pPr>
              <w:pStyle w:val="nTable"/>
              <w:spacing w:after="40"/>
              <w:rPr>
                <w:iCs/>
              </w:rPr>
            </w:pPr>
            <w:r>
              <w:rPr>
                <w:i/>
              </w:rPr>
              <w:t>Energy Operators (Electricity Retail Corporation) (Charges) Amendment By</w:t>
            </w:r>
            <w:r>
              <w:rPr>
                <w:i/>
              </w:rPr>
              <w:noBreakHyphen/>
              <w:t>laws 2010</w:t>
            </w:r>
            <w:r>
              <w:rPr>
                <w:iCs/>
              </w:rPr>
              <w:t xml:space="preserve"> </w:t>
            </w:r>
          </w:p>
        </w:tc>
        <w:tc>
          <w:tcPr>
            <w:tcW w:w="1276" w:type="dxa"/>
          </w:tcPr>
          <w:p>
            <w:pPr>
              <w:pStyle w:val="nTable"/>
              <w:spacing w:after="40"/>
            </w:pPr>
            <w:r>
              <w:t>26 Mar 2010 p. 1135-42</w:t>
            </w:r>
          </w:p>
        </w:tc>
        <w:tc>
          <w:tcPr>
            <w:tcW w:w="2694" w:type="dxa"/>
          </w:tcPr>
          <w:p>
            <w:pPr>
              <w:pStyle w:val="nTable"/>
              <w:spacing w:after="40"/>
            </w:pPr>
            <w:r>
              <w:t>Pt. 1: 26 Mar 2010 (see bl. 2(a));</w:t>
            </w:r>
            <w:r>
              <w:br/>
              <w:t>Pt. 2: 1 Apr 2010 (see bl. 2(b));</w:t>
            </w:r>
            <w:r>
              <w:br/>
              <w:t>Pt. 3: 1 Jul 2010 (see bl. 2(c))</w:t>
            </w:r>
          </w:p>
        </w:tc>
      </w:tr>
      <w:tr>
        <w:tc>
          <w:tcPr>
            <w:tcW w:w="3118" w:type="dxa"/>
          </w:tcPr>
          <w:p>
            <w:pPr>
              <w:pStyle w:val="nTable"/>
              <w:spacing w:after="40"/>
              <w:rPr>
                <w:i/>
              </w:rPr>
            </w:pPr>
            <w:r>
              <w:rPr>
                <w:i/>
              </w:rPr>
              <w:t>Energy Operators (Electricity Retail Corporation) (Charges) Amendment By</w:t>
            </w:r>
            <w:r>
              <w:rPr>
                <w:i/>
              </w:rPr>
              <w:noBreakHyphen/>
              <w:t>laws 2011</w:t>
            </w:r>
          </w:p>
        </w:tc>
        <w:tc>
          <w:tcPr>
            <w:tcW w:w="1276" w:type="dxa"/>
          </w:tcPr>
          <w:p>
            <w:pPr>
              <w:pStyle w:val="nTable"/>
              <w:spacing w:after="40"/>
            </w:pPr>
            <w:r>
              <w:t>24 Jun 2011 p. 2499</w:t>
            </w:r>
            <w:r>
              <w:noBreakHyphen/>
              <w:t>503</w:t>
            </w:r>
          </w:p>
        </w:tc>
        <w:tc>
          <w:tcPr>
            <w:tcW w:w="2694" w:type="dxa"/>
          </w:tcPr>
          <w:p>
            <w:pPr>
              <w:pStyle w:val="nTable"/>
              <w:spacing w:after="40"/>
            </w:pPr>
            <w:r>
              <w:t>bl. 1 and 2: 24 Jun 2011 (see bl. 2(a));</w:t>
            </w:r>
            <w:r>
              <w:br/>
              <w:t>By-laws other than bl. 1 and 2: 1 Jul 2011 (see bl. 2(b))</w:t>
            </w:r>
          </w:p>
        </w:tc>
      </w:tr>
      <w:tr>
        <w:tc>
          <w:tcPr>
            <w:tcW w:w="7088" w:type="dxa"/>
            <w:gridSpan w:val="3"/>
            <w:shd w:val="clear" w:color="auto" w:fill="auto"/>
          </w:tcPr>
          <w:p>
            <w:pPr>
              <w:pStyle w:val="nTable"/>
              <w:spacing w:after="40"/>
            </w:pPr>
            <w:r>
              <w:rPr>
                <w:b/>
                <w:bCs/>
              </w:rPr>
              <w:t xml:space="preserve">Reprint 2: The </w:t>
            </w:r>
            <w:r>
              <w:rPr>
                <w:b/>
                <w:bCs/>
                <w:i/>
              </w:rPr>
              <w:t>Energy Operators (Electricity Retail Corporation) (Charges) By</w:t>
            </w:r>
            <w:r>
              <w:rPr>
                <w:b/>
                <w:bCs/>
                <w:i/>
              </w:rPr>
              <w:noBreakHyphen/>
              <w:t>laws 2006</w:t>
            </w:r>
            <w:r>
              <w:rPr>
                <w:b/>
                <w:bCs/>
              </w:rPr>
              <w:t xml:space="preserve"> as at 27 Apr 2012</w:t>
            </w:r>
            <w:r>
              <w:t xml:space="preserve"> (includes amendments listed above)</w:t>
            </w:r>
          </w:p>
        </w:tc>
      </w:tr>
      <w:tr>
        <w:tc>
          <w:tcPr>
            <w:tcW w:w="3118" w:type="dxa"/>
          </w:tcPr>
          <w:p>
            <w:pPr>
              <w:pStyle w:val="nTable"/>
              <w:spacing w:after="40"/>
              <w:rPr>
                <w:i/>
              </w:rPr>
            </w:pPr>
            <w:r>
              <w:rPr>
                <w:i/>
              </w:rPr>
              <w:t>Energy Operators (Electricity Retail Corporation) (Charges) Amendment By</w:t>
            </w:r>
            <w:r>
              <w:rPr>
                <w:i/>
              </w:rPr>
              <w:noBreakHyphen/>
              <w:t>laws 2012</w:t>
            </w:r>
          </w:p>
        </w:tc>
        <w:tc>
          <w:tcPr>
            <w:tcW w:w="1276" w:type="dxa"/>
          </w:tcPr>
          <w:p>
            <w:pPr>
              <w:pStyle w:val="nTable"/>
              <w:spacing w:after="40"/>
            </w:pPr>
            <w:r>
              <w:t>29 Jun 2012 p. 2913-26</w:t>
            </w:r>
          </w:p>
        </w:tc>
        <w:tc>
          <w:tcPr>
            <w:tcW w:w="2694" w:type="dxa"/>
          </w:tcPr>
          <w:p>
            <w:pPr>
              <w:pStyle w:val="nTable"/>
              <w:spacing w:after="40"/>
            </w:pPr>
            <w:r>
              <w:t>bl. 1 and 2: 29 Jun 2012 (see bl. 2(a));</w:t>
            </w:r>
            <w:r>
              <w:br/>
              <w:t>By-laws other than bl. 1 and 2: 1 Jul 2012 (see bl. 2(b))</w:t>
            </w:r>
          </w:p>
        </w:tc>
      </w:tr>
      <w:tr>
        <w:trPr>
          <w:cantSplit/>
        </w:trPr>
        <w:tc>
          <w:tcPr>
            <w:tcW w:w="3118" w:type="dxa"/>
          </w:tcPr>
          <w:p>
            <w:pPr>
              <w:pStyle w:val="nTable"/>
              <w:spacing w:after="40"/>
              <w:rPr>
                <w:i/>
              </w:rPr>
            </w:pPr>
            <w:r>
              <w:rPr>
                <w:i/>
              </w:rPr>
              <w:t>Energy Operators (Electricity Retail Corporation) (Charges) Amendment By-laws (No. 2) 2012</w:t>
            </w:r>
          </w:p>
        </w:tc>
        <w:tc>
          <w:tcPr>
            <w:tcW w:w="1276" w:type="dxa"/>
          </w:tcPr>
          <w:p>
            <w:pPr>
              <w:pStyle w:val="nTable"/>
              <w:spacing w:after="40"/>
            </w:pPr>
            <w:r>
              <w:t>21 Sep 2012 p. 4424</w:t>
            </w:r>
          </w:p>
        </w:tc>
        <w:tc>
          <w:tcPr>
            <w:tcW w:w="2694" w:type="dxa"/>
          </w:tcPr>
          <w:p>
            <w:pPr>
              <w:pStyle w:val="nTable"/>
              <w:spacing w:after="40"/>
            </w:pPr>
            <w:r>
              <w:t>bl. 1 and 2: 21 Sep 2012 (see bl. 2(a));</w:t>
            </w:r>
            <w:r>
              <w:br/>
              <w:t>By-laws other than bl. 1 and 2: 1 Oct 2012 (see bl. 2(b))</w:t>
            </w:r>
          </w:p>
        </w:tc>
      </w:tr>
      <w:tr>
        <w:tc>
          <w:tcPr>
            <w:tcW w:w="3118" w:type="dxa"/>
          </w:tcPr>
          <w:p>
            <w:pPr>
              <w:pStyle w:val="nTable"/>
              <w:spacing w:after="40"/>
              <w:rPr>
                <w:i/>
              </w:rPr>
            </w:pPr>
            <w:r>
              <w:rPr>
                <w:i/>
              </w:rPr>
              <w:t>Energy Operators (Electricity Retail Corporation) (Charges) Amendment By-laws 2013</w:t>
            </w:r>
          </w:p>
        </w:tc>
        <w:tc>
          <w:tcPr>
            <w:tcW w:w="1276" w:type="dxa"/>
          </w:tcPr>
          <w:p>
            <w:pPr>
              <w:pStyle w:val="nTable"/>
              <w:spacing w:after="40"/>
            </w:pPr>
            <w:r>
              <w:t>14 Jun 2013 p. 2217-22</w:t>
            </w:r>
          </w:p>
        </w:tc>
        <w:tc>
          <w:tcPr>
            <w:tcW w:w="2694" w:type="dxa"/>
          </w:tcPr>
          <w:p>
            <w:pPr>
              <w:pStyle w:val="nTable"/>
              <w:spacing w:after="40"/>
            </w:pPr>
            <w:r>
              <w:t>bl. 1 and 2: 14 Jun 2013 (see bl. 2(a));</w:t>
            </w:r>
            <w:r>
              <w:br/>
              <w:t>By-laws other than bl. 1 and 2: 1 Jul 2013 (see bl. 2(b))</w:t>
            </w:r>
          </w:p>
        </w:tc>
      </w:tr>
      <w:tr>
        <w:tc>
          <w:tcPr>
            <w:tcW w:w="3118" w:type="dxa"/>
          </w:tcPr>
          <w:p>
            <w:pPr>
              <w:pStyle w:val="nTable"/>
              <w:spacing w:after="40"/>
              <w:rPr>
                <w:i/>
              </w:rPr>
            </w:pPr>
            <w:r>
              <w:rPr>
                <w:i/>
              </w:rPr>
              <w:t>Energy Operators (Electricity Retail Corporation) (Charges) Amendment By-laws (No. 2) 2013</w:t>
            </w:r>
          </w:p>
        </w:tc>
        <w:tc>
          <w:tcPr>
            <w:tcW w:w="1276" w:type="dxa"/>
          </w:tcPr>
          <w:p>
            <w:pPr>
              <w:pStyle w:val="nTable"/>
              <w:spacing w:after="40"/>
            </w:pPr>
            <w:r>
              <w:t>30 Aug 2013 p. 4097-100</w:t>
            </w:r>
          </w:p>
        </w:tc>
        <w:tc>
          <w:tcPr>
            <w:tcW w:w="2694" w:type="dxa"/>
          </w:tcPr>
          <w:p>
            <w:pPr>
              <w:pStyle w:val="nTable"/>
              <w:spacing w:after="40"/>
            </w:pPr>
            <w:r>
              <w:t>bl. 1 and 2: 30 Aug 2013 (see bl. 2(a));</w:t>
            </w:r>
            <w:r>
              <w:br/>
              <w:t>By-laws other than bl. 1 and 2: 1 Sep 2013 (see bl. 2(b))</w:t>
            </w:r>
          </w:p>
        </w:tc>
      </w:tr>
      <w:tr>
        <w:tc>
          <w:tcPr>
            <w:tcW w:w="3118" w:type="dxa"/>
            <w:shd w:val="clear" w:color="auto" w:fill="auto"/>
          </w:tcPr>
          <w:p>
            <w:pPr>
              <w:pStyle w:val="nTable"/>
              <w:spacing w:after="40"/>
              <w:rPr>
                <w:i/>
              </w:rPr>
            </w:pPr>
            <w:r>
              <w:rPr>
                <w:i/>
              </w:rPr>
              <w:t>Electricity Corporations (Consequential Amendments) Regulations 2013</w:t>
            </w:r>
            <w:r>
              <w:t xml:space="preserve"> r. 12</w:t>
            </w:r>
          </w:p>
        </w:tc>
        <w:tc>
          <w:tcPr>
            <w:tcW w:w="1276" w:type="dxa"/>
            <w:shd w:val="clear" w:color="auto" w:fill="auto"/>
          </w:tcPr>
          <w:p>
            <w:pPr>
              <w:pStyle w:val="nTable"/>
              <w:spacing w:after="40"/>
            </w:pPr>
            <w:r>
              <w:t>27 Dec 2013 p. 6469-79</w:t>
            </w:r>
          </w:p>
        </w:tc>
        <w:tc>
          <w:tcPr>
            <w:tcW w:w="2694" w:type="dxa"/>
            <w:shd w:val="clear" w:color="auto" w:fill="auto"/>
          </w:tcPr>
          <w:p>
            <w:pPr>
              <w:pStyle w:val="nTable"/>
              <w:spacing w:after="40"/>
            </w:pPr>
            <w:r>
              <w:t xml:space="preserve">1 Jan 2014 (see r. 2(c) and </w:t>
            </w:r>
            <w:r>
              <w:rPr>
                <w:i/>
              </w:rPr>
              <w:t>Gazette</w:t>
            </w:r>
            <w:r>
              <w:t xml:space="preserve"> 27 Dec 2013 p. 6465)</w:t>
            </w:r>
          </w:p>
        </w:tc>
      </w:tr>
      <w:tr>
        <w:tc>
          <w:tcPr>
            <w:tcW w:w="7088" w:type="dxa"/>
            <w:gridSpan w:val="3"/>
            <w:shd w:val="clear" w:color="auto" w:fill="auto"/>
          </w:tcPr>
          <w:p>
            <w:pPr>
              <w:pStyle w:val="nTable"/>
              <w:spacing w:after="40"/>
            </w:pPr>
            <w:r>
              <w:rPr>
                <w:b/>
                <w:bCs/>
              </w:rPr>
              <w:t xml:space="preserve">Reprint 3: The </w:t>
            </w:r>
            <w:r>
              <w:rPr>
                <w:b/>
                <w:i/>
                <w:noProof/>
                <w:snapToGrid w:val="0"/>
              </w:rPr>
              <w:t xml:space="preserve">Energy Operators (Electricity </w:t>
            </w:r>
            <w:r>
              <w:rPr>
                <w:b/>
                <w:i/>
              </w:rPr>
              <w:t>Generation and</w:t>
            </w:r>
            <w:r>
              <w:rPr>
                <w:b/>
                <w:i/>
                <w:noProof/>
                <w:snapToGrid w:val="0"/>
              </w:rPr>
              <w:t xml:space="preserve"> Retail Corporation) (Charges) By-laws 2006</w:t>
            </w:r>
            <w:r>
              <w:rPr>
                <w:b/>
                <w:bCs/>
              </w:rPr>
              <w:t xml:space="preserve"> as at 14 Mar 2014</w:t>
            </w:r>
            <w:r>
              <w:t xml:space="preserve"> (includes amendments listed above)</w:t>
            </w:r>
          </w:p>
        </w:tc>
      </w:tr>
      <w:tr>
        <w:tc>
          <w:tcPr>
            <w:tcW w:w="3118" w:type="dxa"/>
            <w:shd w:val="clear" w:color="auto" w:fill="auto"/>
          </w:tcPr>
          <w:p>
            <w:pPr>
              <w:pStyle w:val="nTable"/>
              <w:spacing w:after="40"/>
              <w:rPr>
                <w:i/>
              </w:rPr>
            </w:pPr>
            <w:r>
              <w:rPr>
                <w:i/>
              </w:rPr>
              <w:t>Energy Operators (Electricity Generation and Retail Corporation) (Charges) Amendment By-laws 2014</w:t>
            </w:r>
          </w:p>
        </w:tc>
        <w:tc>
          <w:tcPr>
            <w:tcW w:w="1276" w:type="dxa"/>
            <w:shd w:val="clear" w:color="auto" w:fill="auto"/>
          </w:tcPr>
          <w:p>
            <w:pPr>
              <w:pStyle w:val="nTable"/>
              <w:spacing w:after="40"/>
            </w:pPr>
            <w:r>
              <w:t>27 Jun 2014 p. 2313-19</w:t>
            </w:r>
          </w:p>
        </w:tc>
        <w:tc>
          <w:tcPr>
            <w:tcW w:w="2694" w:type="dxa"/>
            <w:shd w:val="clear" w:color="auto" w:fill="auto"/>
          </w:tcPr>
          <w:p>
            <w:pPr>
              <w:pStyle w:val="nTable"/>
              <w:spacing w:after="40"/>
            </w:pPr>
            <w:r>
              <w:t>bl. 1 and 2: 27 Jun 2014 (see bl. 2(a));</w:t>
            </w:r>
            <w:r>
              <w:br/>
              <w:t>By-laws other than bl. 1 and 2: 1 Jul 2014 (see bl. 2(b))</w:t>
            </w:r>
          </w:p>
        </w:tc>
      </w:tr>
      <w:tr>
        <w:tc>
          <w:tcPr>
            <w:tcW w:w="3118" w:type="dxa"/>
            <w:shd w:val="clear" w:color="auto" w:fill="auto"/>
          </w:tcPr>
          <w:p>
            <w:pPr>
              <w:pStyle w:val="nTable"/>
              <w:spacing w:after="40"/>
              <w:rPr>
                <w:i/>
              </w:rPr>
            </w:pPr>
            <w:r>
              <w:rPr>
                <w:i/>
              </w:rPr>
              <w:t>Energy Operators (Electricity Generation and Retail Corporation) (Charges) Amendment By-laws (No. 2) 2014</w:t>
            </w:r>
          </w:p>
        </w:tc>
        <w:tc>
          <w:tcPr>
            <w:tcW w:w="1276" w:type="dxa"/>
            <w:shd w:val="clear" w:color="auto" w:fill="auto"/>
          </w:tcPr>
          <w:p>
            <w:pPr>
              <w:pStyle w:val="nTable"/>
              <w:spacing w:after="40"/>
            </w:pPr>
            <w:r>
              <w:t>22 Aug 2014 p. 3024</w:t>
            </w:r>
            <w:r>
              <w:noBreakHyphen/>
              <w:t>32</w:t>
            </w:r>
          </w:p>
        </w:tc>
        <w:tc>
          <w:tcPr>
            <w:tcW w:w="2694" w:type="dxa"/>
            <w:shd w:val="clear" w:color="auto" w:fill="auto"/>
          </w:tcPr>
          <w:p>
            <w:pPr>
              <w:pStyle w:val="nTable"/>
              <w:spacing w:after="40"/>
            </w:pPr>
            <w:r>
              <w:t>bl. 1 and 2: 22 Aug 2014 (see bl. 2(a));</w:t>
            </w:r>
            <w:r>
              <w:br/>
              <w:t>By-laws other than bl. 1 and 2: 1 Sep 2014 (see bl. 2(b))</w:t>
            </w:r>
          </w:p>
        </w:tc>
      </w:tr>
      <w:tr>
        <w:tc>
          <w:tcPr>
            <w:tcW w:w="3118" w:type="dxa"/>
            <w:shd w:val="clear" w:color="auto" w:fill="auto"/>
          </w:tcPr>
          <w:p>
            <w:pPr>
              <w:pStyle w:val="nTable"/>
              <w:spacing w:after="40"/>
              <w:rPr>
                <w:i/>
              </w:rPr>
            </w:pPr>
            <w:r>
              <w:rPr>
                <w:i/>
              </w:rPr>
              <w:t>Energy Operators (Electricity Generation and Retail Corporation) (Charges) Amendment By-laws  2015</w:t>
            </w:r>
          </w:p>
        </w:tc>
        <w:tc>
          <w:tcPr>
            <w:tcW w:w="1276" w:type="dxa"/>
            <w:shd w:val="clear" w:color="auto" w:fill="auto"/>
          </w:tcPr>
          <w:p>
            <w:pPr>
              <w:pStyle w:val="nTable"/>
              <w:spacing w:after="40"/>
            </w:pPr>
            <w:r>
              <w:t>26 Jun 2015 p. 2239</w:t>
            </w:r>
            <w:r>
              <w:noBreakHyphen/>
              <w:t>46</w:t>
            </w:r>
          </w:p>
        </w:tc>
        <w:tc>
          <w:tcPr>
            <w:tcW w:w="2694" w:type="dxa"/>
            <w:shd w:val="clear" w:color="auto" w:fill="auto"/>
          </w:tcPr>
          <w:p>
            <w:pPr>
              <w:pStyle w:val="nTable"/>
              <w:spacing w:after="40"/>
            </w:pPr>
            <w:r>
              <w:t>bl. 1 and 2: 26 Jun 2015 (see bl. 2(a));</w:t>
            </w:r>
            <w:r>
              <w:br/>
              <w:t>By-laws other than bl. 1 and 2: 1 Jul 2015 (see bl. 2(b))</w:t>
            </w:r>
          </w:p>
        </w:tc>
      </w:tr>
      <w:tr>
        <w:tc>
          <w:tcPr>
            <w:tcW w:w="3118" w:type="dxa"/>
            <w:shd w:val="clear" w:color="auto" w:fill="auto"/>
          </w:tcPr>
          <w:p>
            <w:pPr>
              <w:pStyle w:val="nTable"/>
              <w:spacing w:after="40"/>
              <w:rPr>
                <w:i/>
              </w:rPr>
            </w:pPr>
            <w:r>
              <w:rPr>
                <w:i/>
              </w:rPr>
              <w:t>Energy Operators (Electricity Generation and Retail Corporation) (Charges) Amendment By-laws  2016</w:t>
            </w:r>
          </w:p>
        </w:tc>
        <w:tc>
          <w:tcPr>
            <w:tcW w:w="1276" w:type="dxa"/>
            <w:shd w:val="clear" w:color="auto" w:fill="auto"/>
          </w:tcPr>
          <w:p>
            <w:pPr>
              <w:pStyle w:val="nTable"/>
              <w:spacing w:after="40"/>
            </w:pPr>
            <w:r>
              <w:t>28 Jun 2016 p. 2623</w:t>
            </w:r>
            <w:r>
              <w:noBreakHyphen/>
              <w:t>5</w:t>
            </w:r>
          </w:p>
        </w:tc>
        <w:tc>
          <w:tcPr>
            <w:tcW w:w="2694" w:type="dxa"/>
            <w:shd w:val="clear" w:color="auto" w:fill="auto"/>
          </w:tcPr>
          <w:p>
            <w:pPr>
              <w:pStyle w:val="nTable"/>
              <w:spacing w:after="40"/>
            </w:pPr>
            <w:r>
              <w:t>bl. 1 and 2: 28 Jun 2016 (see bl. 2(a));</w:t>
            </w:r>
            <w:r>
              <w:br/>
              <w:t>By-laws other than bl. 1 and 2: 1 Jul 2016 (see bl. 2(b))</w:t>
            </w:r>
          </w:p>
        </w:tc>
      </w:tr>
      <w:tr>
        <w:tc>
          <w:tcPr>
            <w:tcW w:w="3118" w:type="dxa"/>
            <w:tcBorders>
              <w:bottom w:val="single" w:sz="4" w:space="0" w:color="auto"/>
            </w:tcBorders>
            <w:shd w:val="clear" w:color="auto" w:fill="auto"/>
          </w:tcPr>
          <w:p>
            <w:pPr>
              <w:pStyle w:val="nTable"/>
              <w:spacing w:after="40"/>
              <w:rPr>
                <w:i/>
              </w:rPr>
            </w:pPr>
            <w:r>
              <w:rPr>
                <w:i/>
              </w:rPr>
              <w:t>Energy Operators (Electricity Generation and Retail Corporation) (Charges) Amendment By</w:t>
            </w:r>
            <w:r>
              <w:rPr>
                <w:i/>
              </w:rPr>
              <w:noBreakHyphen/>
              <w:t>laws (No. 2) 2016</w:t>
            </w:r>
          </w:p>
        </w:tc>
        <w:tc>
          <w:tcPr>
            <w:tcW w:w="1276" w:type="dxa"/>
            <w:tcBorders>
              <w:bottom w:val="single" w:sz="4" w:space="0" w:color="auto"/>
            </w:tcBorders>
            <w:shd w:val="clear" w:color="auto" w:fill="auto"/>
          </w:tcPr>
          <w:p>
            <w:pPr>
              <w:pStyle w:val="nTable"/>
              <w:spacing w:after="40"/>
            </w:pPr>
            <w:r>
              <w:t>31 Aug 2016 p. 3701</w:t>
            </w:r>
            <w:r>
              <w:noBreakHyphen/>
              <w:t>5</w:t>
            </w:r>
          </w:p>
        </w:tc>
        <w:tc>
          <w:tcPr>
            <w:tcW w:w="2694" w:type="dxa"/>
            <w:tcBorders>
              <w:bottom w:val="single" w:sz="4" w:space="0" w:color="auto"/>
            </w:tcBorders>
            <w:shd w:val="clear" w:color="auto" w:fill="auto"/>
          </w:tcPr>
          <w:p>
            <w:pPr>
              <w:pStyle w:val="nTable"/>
              <w:spacing w:after="40"/>
            </w:pPr>
            <w:r>
              <w:rPr>
                <w:rFonts w:ascii="Times" w:hAnsi="Times"/>
                <w:bCs/>
                <w:snapToGrid w:val="0"/>
                <w:spacing w:val="-2"/>
              </w:rPr>
              <w:t>bl. 1 and 2: 31 Aug 2016 (see bl. 2(a));</w:t>
            </w:r>
            <w:r>
              <w:rPr>
                <w:rFonts w:ascii="Times" w:hAnsi="Times"/>
                <w:bCs/>
                <w:snapToGrid w:val="0"/>
                <w:spacing w:val="-2"/>
              </w:rPr>
              <w:br/>
              <w:t>By-laws other than bl. 1 and 2: 1 Sep 2016 (see bl. 2(b))</w:t>
            </w:r>
          </w:p>
        </w:tc>
      </w:tr>
    </w:tbl>
    <w:p>
      <w:pPr>
        <w:pStyle w:val="nSubsection"/>
      </w:pPr>
      <w:r>
        <w:rPr>
          <w:vertAlign w:val="superscript"/>
        </w:rPr>
        <w:t>2</w:t>
      </w:r>
      <w:r>
        <w:tab/>
        <w:t xml:space="preserve">Now known as the </w:t>
      </w:r>
      <w:r>
        <w:rPr>
          <w:i/>
          <w:noProof/>
          <w:snapToGrid w:val="0"/>
        </w:rPr>
        <w:t xml:space="preserve">Energy Operators (Electricity </w:t>
      </w:r>
      <w:r>
        <w:rPr>
          <w:i/>
        </w:rPr>
        <w:t>Generation and</w:t>
      </w:r>
      <w:r>
        <w:rPr>
          <w:i/>
          <w:noProof/>
          <w:snapToGrid w:val="0"/>
        </w:rPr>
        <w:t xml:space="preserve"> Retail Corporation) (Charges) By-laws 2006</w:t>
      </w:r>
      <w:r>
        <w:rPr>
          <w:noProof/>
          <w:snapToGrid w:val="0"/>
        </w:rPr>
        <w:t>; citation changed (see note under bl. 1).</w:t>
      </w: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9" w:name="_Toc460419173"/>
      <w:bookmarkStart w:id="100" w:name="_Toc460420081"/>
      <w:r>
        <w:rPr>
          <w:sz w:val="28"/>
        </w:rPr>
        <w:t>Defined terms</w:t>
      </w:r>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Supply charges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Unmetered supply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Street lighting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(Electricity Generation and Retail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(Electricity Generation and Retail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lvlText w:val="%1."/>
      <w:lvlJc w:val="left"/>
      <w:pPr>
        <w:tabs>
          <w:tab w:val="num" w:pos="1492"/>
        </w:tabs>
        <w:ind w:left="1492" w:hanging="360"/>
      </w:pPr>
    </w:lvl>
  </w:abstractNum>
  <w:abstractNum w:abstractNumId="1">
    <w:nsid w:val="FFFFFF7D"/>
    <w:multiLevelType w:val="singleLevel"/>
    <w:tmpl w:val="0542043A"/>
    <w:lvl w:ilvl="0">
      <w:start w:val="1"/>
      <w:numFmt w:val="decimal"/>
      <w:lvlText w:val="%1."/>
      <w:lvlJc w:val="left"/>
      <w:pPr>
        <w:tabs>
          <w:tab w:val="num" w:pos="1209"/>
        </w:tabs>
        <w:ind w:left="1209" w:hanging="360"/>
      </w:pPr>
    </w:lvl>
  </w:abstractNum>
  <w:abstractNum w:abstractNumId="2">
    <w:nsid w:val="FFFFFF7E"/>
    <w:multiLevelType w:val="singleLevel"/>
    <w:tmpl w:val="F718FF40"/>
    <w:lvl w:ilvl="0">
      <w:start w:val="1"/>
      <w:numFmt w:val="decimal"/>
      <w:lvlText w:val="%1."/>
      <w:lvlJc w:val="left"/>
      <w:pPr>
        <w:tabs>
          <w:tab w:val="num" w:pos="926"/>
        </w:tabs>
        <w:ind w:left="926" w:hanging="360"/>
      </w:pPr>
    </w:lvl>
  </w:abstractNum>
  <w:abstractNum w:abstractNumId="3">
    <w:nsid w:val="FFFFFF7F"/>
    <w:multiLevelType w:val="singleLevel"/>
    <w:tmpl w:val="13CA9712"/>
    <w:lvl w:ilvl="0">
      <w:start w:val="1"/>
      <w:numFmt w:val="decimal"/>
      <w:lvlText w:val="%1."/>
      <w:lvlJc w:val="left"/>
      <w:pPr>
        <w:tabs>
          <w:tab w:val="num" w:pos="643"/>
        </w:tabs>
        <w:ind w:left="643" w:hanging="360"/>
      </w:pPr>
    </w:lvl>
  </w:abstractNum>
  <w:abstractNum w:abstractNumId="4">
    <w:nsid w:val="FFFFFF80"/>
    <w:multiLevelType w:val="singleLevel"/>
    <w:tmpl w:val="0E02D7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lvlText w:val="%1."/>
      <w:lvlJc w:val="left"/>
      <w:pPr>
        <w:tabs>
          <w:tab w:val="num" w:pos="360"/>
        </w:tabs>
        <w:ind w:left="360" w:hanging="360"/>
      </w:pPr>
    </w:lvl>
  </w:abstractNum>
  <w:abstractNum w:abstractNumId="9">
    <w:nsid w:val="FFFFFF89"/>
    <w:multiLevelType w:val="singleLevel"/>
    <w:tmpl w:val="4E6E6B9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89637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3736"/>
    <w:docVar w:name="WAFER_20131230155955" w:val="RemoveTocBookmarks,RunningHeaders"/>
    <w:docVar w:name="WAFER_20131230155955_GUID" w:val="eb34285e-f376-44c6-b366-471e87ad5125"/>
    <w:docVar w:name="WAFER_20140102122411" w:val="RemoveTocBookmarks,RemoveUnusedBookmarks,RemoveLanguageTags,UsedStyles,ResetPageSize"/>
    <w:docVar w:name="WAFER_20140102122411_GUID" w:val="02ef6dc1-0e5f-4966-a4c9-7262b8eb8f47"/>
    <w:docVar w:name="WAFER_20140102133815" w:val="UpdateArrangement"/>
    <w:docVar w:name="WAFER_20140102133815_GUID" w:val="35f96604-a81b-4449-ab3f-fd0946a291a0"/>
    <w:docVar w:name="WAFER_20140304101823" w:val="RemoveTocBookmarks,RemoveUnusedBookmarks,RemoveLanguageTags,UsedStyles,RemoveTrackChanges"/>
    <w:docVar w:name="WAFER_20140304101823_GUID" w:val="2ce80b97-e1c9-4dfc-b091-a87e3f05d44e"/>
    <w:docVar w:name="WAFER_20140304101836" w:val="RemoveTocBookmarks,RemoveLanguageTags,RemoveTrackChanges,RunningHeaders"/>
    <w:docVar w:name="WAFER_20140304101836_GUID" w:val="6c90dd79-80ce-4673-b03d-ddb2f712d1fe"/>
    <w:docVar w:name="WAFER_20140630170559" w:val="RemoveTocBookmarks,RunningHeaders"/>
    <w:docVar w:name="WAFER_20140630170559_GUID" w:val="a36765fc-3309-4489-9a11-5b874c20d50b"/>
    <w:docVar w:name="WAFER_20140630170848" w:val="RemoveTocBookmarks,RunningHeaders"/>
    <w:docVar w:name="WAFER_20140630170848_GUID" w:val="a8e2b761-c903-4c2c-85e0-5026f20670e4"/>
    <w:docVar w:name="WAFER_20150414151033" w:val="ResetPageSize,UpdateArrangement,UpdateNTable"/>
    <w:docVar w:name="WAFER_20150414151033_GUID" w:val="a34f8568-801b-402b-8d0f-5effbae48f03"/>
    <w:docVar w:name="WAFER_20151105123736" w:val="UpdateStyles,UsedStyles"/>
    <w:docVar w:name="WAFER_20151105123736_GUID" w:val="3ce5933b-4c35-4cd5-978b-5013e0139c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4552</Words>
  <Characters>22442</Characters>
  <Application>Microsoft Office Word</Application>
  <DocSecurity>0</DocSecurity>
  <Lines>897</Lines>
  <Paragraphs>642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Generation and Retail Corporation) (Charges) By-laws 2006 - 03-f0-00</dc:title>
  <dc:subject/>
  <dc:creator/>
  <cp:keywords/>
  <dc:description/>
  <cp:lastModifiedBy>svcMRProcess</cp:lastModifiedBy>
  <cp:revision>4</cp:revision>
  <cp:lastPrinted>2014-03-19T07:03:00Z</cp:lastPrinted>
  <dcterms:created xsi:type="dcterms:W3CDTF">2020-02-24T15:25:00Z</dcterms:created>
  <dcterms:modified xsi:type="dcterms:W3CDTF">2020-02-24T15:25:00Z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OwlsUID">
    <vt:i4>38407</vt:i4>
  </property>
  <property fmtid="{D5CDD505-2E9C-101B-9397-08002B2CF9AE}" pid="4" name="ReprintNo">
    <vt:lpwstr>3</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Sep 2016</vt:lpwstr>
  </property>
  <property fmtid="{D5CDD505-2E9C-101B-9397-08002B2CF9AE}" pid="8" name="Suffix">
    <vt:lpwstr>03-f0-00</vt:lpwstr>
  </property>
  <property fmtid="{D5CDD505-2E9C-101B-9397-08002B2CF9AE}" pid="9" name="CommencementDate">
    <vt:lpwstr>20160901</vt:lpwstr>
  </property>
</Properties>
</file>