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Insurance Commission of Western Australia Act 1986</w:t>
      </w:r>
      <w:r>
        <w:rPr>
          <w:sz w:val="48"/>
        </w:rPr>
        <w:fldChar w:fldCharType="end"/>
      </w:r>
    </w:p>
    <w:p>
      <w:pPr>
        <w:pStyle w:val="ReprintNo"/>
      </w:pPr>
      <w:r>
        <w:t>Reprint 5:  The Act as at 31 August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F25A38" w:rsidRDefault="00F25A38">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F25A38" w:rsidRDefault="00F25A38">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F25A38" w:rsidRDefault="00F25A38">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F25A38" w:rsidRDefault="00F25A38">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8"/>
        </w:numPr>
        <w:tabs>
          <w:tab w:val="num" w:pos="1209"/>
        </w:tabs>
        <w:ind w:left="1200" w:hanging="349"/>
        <w:rPr>
          <w:sz w:val="20"/>
        </w:rPr>
      </w:pPr>
      <w:r>
        <w:rPr>
          <w:sz w:val="20"/>
        </w:rPr>
        <w:t>removed (because it was repealed or deleted from the law); or</w:t>
      </w:r>
    </w:p>
    <w:p>
      <w:pPr>
        <w:numPr>
          <w:ilvl w:val="0"/>
          <w:numId w:val="28"/>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31 August 2016</w:t>
            </w:r>
          </w:p>
        </w:tc>
      </w:tr>
    </w:tbl>
    <w:p>
      <w:pPr>
        <w:pStyle w:val="WA"/>
        <w:spacing w:before="12"/>
      </w:pPr>
      <w:r>
        <w:t>Western Australia</w:t>
      </w:r>
    </w:p>
    <w:p>
      <w:pPr>
        <w:pStyle w:val="NameofActRegPage1"/>
        <w:ind w:left="340" w:right="340"/>
      </w:pPr>
      <w:r>
        <w:fldChar w:fldCharType="begin"/>
      </w:r>
      <w:r>
        <w:instrText xml:space="preserve"> STYLEREF "Name Of Act/Reg"</w:instrText>
      </w:r>
      <w:r>
        <w:fldChar w:fldCharType="separate"/>
      </w:r>
      <w:r>
        <w:rPr>
          <w:noProof/>
        </w:rPr>
        <w:t>Insurance Commission of Western Australia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_Toc457815039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_Toc457815040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_Toc457815041 \h </w:instrText>
      </w:r>
      <w:r>
        <w:fldChar w:fldCharType="separate"/>
      </w:r>
      <w:r>
        <w:t>2</w:t>
      </w:r>
      <w:r>
        <w:fldChar w:fldCharType="end"/>
      </w:r>
    </w:p>
    <w:p>
      <w:pPr>
        <w:pStyle w:val="TOC8"/>
        <w:rPr>
          <w:rFonts w:asciiTheme="minorHAnsi" w:eastAsiaTheme="minorEastAsia" w:hAnsiTheme="minorHAnsi" w:cstheme="minorBidi"/>
          <w:szCs w:val="22"/>
        </w:rPr>
      </w:pPr>
      <w:r>
        <w:t>3A.</w:t>
      </w:r>
      <w:r>
        <w:tab/>
        <w:t>Eligible community organisations</w:t>
      </w:r>
      <w:r>
        <w:tab/>
      </w:r>
      <w:r>
        <w:fldChar w:fldCharType="begin"/>
      </w:r>
      <w:r>
        <w:instrText xml:space="preserve"> PAGEREF _Toc457815042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Insurance Commission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Commission and the board of commissioners</w:t>
      </w:r>
    </w:p>
    <w:p>
      <w:pPr>
        <w:pStyle w:val="TOC8"/>
        <w:rPr>
          <w:rFonts w:asciiTheme="minorHAnsi" w:eastAsiaTheme="minorEastAsia" w:hAnsiTheme="minorHAnsi" w:cstheme="minorBidi"/>
          <w:szCs w:val="22"/>
        </w:rPr>
      </w:pPr>
      <w:r>
        <w:t>4</w:t>
      </w:r>
      <w:r>
        <w:rPr>
          <w:snapToGrid w:val="0"/>
        </w:rPr>
        <w:t>.</w:t>
      </w:r>
      <w:r>
        <w:rPr>
          <w:snapToGrid w:val="0"/>
        </w:rPr>
        <w:tab/>
        <w:t>Insurance Commission of Western Australia: corporate identity and status</w:t>
      </w:r>
      <w:r>
        <w:tab/>
      </w:r>
      <w:r>
        <w:fldChar w:fldCharType="begin"/>
      </w:r>
      <w:r>
        <w:instrText xml:space="preserve"> PAGEREF _Toc457815045 \h </w:instrText>
      </w:r>
      <w:r>
        <w:fldChar w:fldCharType="separate"/>
      </w:r>
      <w:r>
        <w:t>5</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Agent of Crown</w:t>
      </w:r>
      <w:r>
        <w:tab/>
      </w:r>
      <w:r>
        <w:fldChar w:fldCharType="begin"/>
      </w:r>
      <w:r>
        <w:instrText xml:space="preserve"> PAGEREF _Toc457815046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 of commissioners</w:t>
      </w:r>
      <w:r>
        <w:tab/>
      </w:r>
      <w:r>
        <w:fldChar w:fldCharType="begin"/>
      </w:r>
      <w:r>
        <w:instrText xml:space="preserve"> PAGEREF _Toc457815047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powers of the Commission</w:t>
      </w:r>
    </w:p>
    <w:p>
      <w:pPr>
        <w:pStyle w:val="TOC8"/>
        <w:rPr>
          <w:rFonts w:asciiTheme="minorHAnsi" w:eastAsiaTheme="minorEastAsia" w:hAnsiTheme="minorHAnsi" w:cstheme="minorBidi"/>
          <w:szCs w:val="22"/>
        </w:rPr>
      </w:pPr>
      <w:r>
        <w:t>6</w:t>
      </w:r>
      <w:r>
        <w:rPr>
          <w:snapToGrid w:val="0"/>
        </w:rPr>
        <w:t>.</w:t>
      </w:r>
      <w:r>
        <w:rPr>
          <w:snapToGrid w:val="0"/>
        </w:rPr>
        <w:tab/>
        <w:t>Functions</w:t>
      </w:r>
      <w:r>
        <w:tab/>
      </w:r>
      <w:r>
        <w:fldChar w:fldCharType="begin"/>
      </w:r>
      <w:r>
        <w:instrText xml:space="preserve"> PAGEREF _Toc457815049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w:t>
      </w:r>
      <w:r>
        <w:tab/>
      </w:r>
      <w:r>
        <w:fldChar w:fldCharType="begin"/>
      </w:r>
      <w:r>
        <w:instrText xml:space="preserve"> PAGEREF _Toc457815050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Commission to act efficiently and economically</w:t>
      </w:r>
      <w:r>
        <w:tab/>
      </w:r>
      <w:r>
        <w:fldChar w:fldCharType="begin"/>
      </w:r>
      <w:r>
        <w:instrText xml:space="preserve"> PAGEREF _Toc457815051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w:t>
      </w:r>
      <w:r>
        <w:tab/>
      </w:r>
      <w:r>
        <w:fldChar w:fldCharType="begin"/>
      </w:r>
      <w:r>
        <w:instrText xml:space="preserve"> PAGEREF _Toc457815052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Directions by Minister</w:t>
      </w:r>
      <w:r>
        <w:tab/>
      </w:r>
      <w:r>
        <w:fldChar w:fldCharType="begin"/>
      </w:r>
      <w:r>
        <w:instrText xml:space="preserve"> PAGEREF _Toc457815053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Minister to have access to information</w:t>
      </w:r>
      <w:r>
        <w:tab/>
      </w:r>
      <w:r>
        <w:fldChar w:fldCharType="begin"/>
      </w:r>
      <w:r>
        <w:instrText xml:space="preserve"> PAGEREF _Toc457815054 \h </w:instrText>
      </w:r>
      <w:r>
        <w:fldChar w:fldCharType="separate"/>
      </w:r>
      <w:r>
        <w:t>11</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Confidential information</w:t>
      </w:r>
      <w:r>
        <w:tab/>
      </w:r>
      <w:r>
        <w:fldChar w:fldCharType="begin"/>
      </w:r>
      <w:r>
        <w:instrText xml:space="preserve"> PAGEREF _Toc457815055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 of the Commission</w:t>
      </w:r>
    </w:p>
    <w:p>
      <w:pPr>
        <w:pStyle w:val="TOC8"/>
        <w:rPr>
          <w:rFonts w:asciiTheme="minorHAnsi" w:eastAsiaTheme="minorEastAsia" w:hAnsiTheme="minorHAnsi" w:cstheme="minorBidi"/>
          <w:szCs w:val="22"/>
        </w:rPr>
      </w:pPr>
      <w:r>
        <w:t>11</w:t>
      </w:r>
      <w:r>
        <w:rPr>
          <w:snapToGrid w:val="0"/>
        </w:rPr>
        <w:t>.</w:t>
      </w:r>
      <w:r>
        <w:rPr>
          <w:snapToGrid w:val="0"/>
        </w:rPr>
        <w:tab/>
        <w:t>Managing director</w:t>
      </w:r>
      <w:r>
        <w:tab/>
      </w:r>
      <w:r>
        <w:fldChar w:fldCharType="begin"/>
      </w:r>
      <w:r>
        <w:instrText xml:space="preserve"> PAGEREF _Toc457815057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Appointment of staff and consultants</w:t>
      </w:r>
      <w:r>
        <w:tab/>
      </w:r>
      <w:r>
        <w:fldChar w:fldCharType="begin"/>
      </w:r>
      <w:r>
        <w:instrText xml:space="preserve"> PAGEREF _Toc457815058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Status of managing director and officers and employees of Commission</w:t>
      </w:r>
      <w:r>
        <w:tab/>
      </w:r>
      <w:r>
        <w:fldChar w:fldCharType="begin"/>
      </w:r>
      <w:r>
        <w:instrText xml:space="preserve"> PAGEREF _Toc457815059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Use of staff and facilities of departments and instrumentalities</w:t>
      </w:r>
      <w:r>
        <w:tab/>
      </w:r>
      <w:r>
        <w:fldChar w:fldCharType="begin"/>
      </w:r>
      <w:r>
        <w:instrText xml:space="preserve"> PAGEREF _Toc457815060 \h </w:instrText>
      </w:r>
      <w:r>
        <w:fldChar w:fldCharType="separate"/>
      </w:r>
      <w:r>
        <w:t>14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Use of staff and facilities of insurer</w:t>
      </w:r>
      <w:r>
        <w:tab/>
      </w:r>
      <w:r>
        <w:fldChar w:fldCharType="begin"/>
      </w:r>
      <w:r>
        <w:instrText xml:space="preserve"> PAGEREF _Toc457815061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Superannuation</w:t>
      </w:r>
      <w:r>
        <w:tab/>
      </w:r>
      <w:r>
        <w:fldChar w:fldCharType="begin"/>
      </w:r>
      <w:r>
        <w:instrText xml:space="preserve"> PAGEREF _Toc457815062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3A — Strategic development plan and statement of corporate intent</w:t>
      </w:r>
    </w:p>
    <w:p>
      <w:pPr>
        <w:pStyle w:val="TOC8"/>
        <w:rPr>
          <w:rFonts w:asciiTheme="minorHAnsi" w:eastAsiaTheme="minorEastAsia" w:hAnsiTheme="minorHAnsi" w:cstheme="minorBidi"/>
          <w:szCs w:val="22"/>
        </w:rPr>
      </w:pPr>
      <w:r>
        <w:t>14A.</w:t>
      </w:r>
      <w:r>
        <w:tab/>
        <w:t>Duty to observe policy instruments</w:t>
      </w:r>
      <w:r>
        <w:tab/>
      </w:r>
      <w:r>
        <w:fldChar w:fldCharType="begin"/>
      </w:r>
      <w:r>
        <w:instrText xml:space="preserve"> PAGEREF _Toc457815064 \h </w:instrText>
      </w:r>
      <w:r>
        <w:fldChar w:fldCharType="separate"/>
      </w:r>
      <w:r>
        <w:t>16</w:t>
      </w:r>
      <w:r>
        <w:fldChar w:fldCharType="end"/>
      </w:r>
    </w:p>
    <w:p>
      <w:pPr>
        <w:pStyle w:val="TOC8"/>
        <w:rPr>
          <w:rFonts w:asciiTheme="minorHAnsi" w:eastAsiaTheme="minorEastAsia" w:hAnsiTheme="minorHAnsi" w:cstheme="minorBidi"/>
          <w:szCs w:val="22"/>
        </w:rPr>
      </w:pPr>
      <w:r>
        <w:t>14B.</w:t>
      </w:r>
      <w:r>
        <w:tab/>
        <w:t>Strategic development plan and statement of corporate intent</w:t>
      </w:r>
      <w:r>
        <w:tab/>
      </w:r>
      <w:r>
        <w:fldChar w:fldCharType="begin"/>
      </w:r>
      <w:r>
        <w:instrText xml:space="preserve"> PAGEREF _Toc457815065 \h </w:instrText>
      </w:r>
      <w:r>
        <w:fldChar w:fldCharType="separate"/>
      </w:r>
      <w:r>
        <w:t>16</w:t>
      </w:r>
      <w:r>
        <w:fldChar w:fldCharType="end"/>
      </w:r>
    </w:p>
    <w:p>
      <w:pPr>
        <w:pStyle w:val="TOC8"/>
        <w:rPr>
          <w:rFonts w:asciiTheme="minorHAnsi" w:eastAsiaTheme="minorEastAsia" w:hAnsiTheme="minorHAnsi" w:cstheme="minorBidi"/>
          <w:szCs w:val="22"/>
        </w:rPr>
      </w:pPr>
      <w:r>
        <w:t>14C.</w:t>
      </w:r>
      <w:r>
        <w:tab/>
        <w:t>Laying directions about strategic development plan or statement of corporate intent before Parliament</w:t>
      </w:r>
      <w:r>
        <w:tab/>
      </w:r>
      <w:r>
        <w:fldChar w:fldCharType="begin"/>
      </w:r>
      <w:r>
        <w:instrText xml:space="preserve"> PAGEREF _Toc457815066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Financial provisions relating to the Commission</w:t>
      </w:r>
    </w:p>
    <w:p>
      <w:pPr>
        <w:pStyle w:val="TOC6"/>
        <w:tabs>
          <w:tab w:val="right" w:leader="dot" w:pos="7077"/>
        </w:tabs>
        <w:rPr>
          <w:rFonts w:asciiTheme="minorHAnsi" w:eastAsiaTheme="minorEastAsia" w:hAnsiTheme="minorHAnsi" w:cstheme="minorBidi"/>
          <w:b w:val="0"/>
          <w:sz w:val="22"/>
          <w:szCs w:val="22"/>
        </w:rPr>
      </w:pPr>
      <w:r>
        <w:rPr>
          <w:snapToGrid w:val="0"/>
        </w:rPr>
        <w:t>Subdivision A — Income, expenditure and property of the Commission</w:t>
      </w:r>
    </w:p>
    <w:p>
      <w:pPr>
        <w:pStyle w:val="TOC8"/>
        <w:rPr>
          <w:rFonts w:asciiTheme="minorHAnsi" w:eastAsiaTheme="minorEastAsia" w:hAnsiTheme="minorHAnsi" w:cstheme="minorBidi"/>
          <w:szCs w:val="22"/>
        </w:rPr>
      </w:pPr>
      <w:r>
        <w:t>15</w:t>
      </w:r>
      <w:r>
        <w:rPr>
          <w:snapToGrid w:val="0"/>
        </w:rPr>
        <w:t>.</w:t>
      </w:r>
      <w:r>
        <w:rPr>
          <w:snapToGrid w:val="0"/>
        </w:rPr>
        <w:tab/>
        <w:t>Moneys available to Commission</w:t>
      </w:r>
      <w:r>
        <w:tab/>
      </w:r>
      <w:r>
        <w:fldChar w:fldCharType="begin"/>
      </w:r>
      <w:r>
        <w:instrText xml:space="preserve"> PAGEREF _Toc457815069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Establishment and composition of Funds</w:t>
      </w:r>
      <w:r>
        <w:tab/>
      </w:r>
      <w:r>
        <w:fldChar w:fldCharType="begin"/>
      </w:r>
      <w:r>
        <w:instrText xml:space="preserve"> PAGEREF _Toc457815070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Apportionment of income, expenditure and assets</w:t>
      </w:r>
      <w:r>
        <w:tab/>
      </w:r>
      <w:r>
        <w:fldChar w:fldCharType="begin"/>
      </w:r>
      <w:r>
        <w:instrText xml:space="preserve"> PAGEREF _Toc457815071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Transfer between Funds</w:t>
      </w:r>
      <w:r>
        <w:tab/>
      </w:r>
      <w:r>
        <w:fldChar w:fldCharType="begin"/>
      </w:r>
      <w:r>
        <w:instrText xml:space="preserve"> PAGEREF _Toc457815072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ab/>
      </w:r>
      <w:r>
        <w:rPr>
          <w:snapToGrid w:val="0"/>
        </w:rPr>
        <w:t>Subdivision Aa — Investment and property management</w:t>
      </w:r>
    </w:p>
    <w:p>
      <w:pPr>
        <w:pStyle w:val="TOC8"/>
        <w:rPr>
          <w:rFonts w:asciiTheme="minorHAnsi" w:eastAsiaTheme="minorEastAsia" w:hAnsiTheme="minorHAnsi" w:cstheme="minorBidi"/>
          <w:szCs w:val="22"/>
        </w:rPr>
      </w:pPr>
      <w:r>
        <w:t>19</w:t>
      </w:r>
      <w:r>
        <w:rPr>
          <w:snapToGrid w:val="0"/>
        </w:rPr>
        <w:t>.</w:t>
      </w:r>
      <w:r>
        <w:rPr>
          <w:snapToGrid w:val="0"/>
        </w:rPr>
        <w:tab/>
        <w:t>Arrangements for appointment of investment managers</w:t>
      </w:r>
      <w:r>
        <w:tab/>
      </w:r>
      <w:r>
        <w:fldChar w:fldCharType="begin"/>
      </w:r>
      <w:r>
        <w:instrText xml:space="preserve"> PAGEREF _Toc457815074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Investment policy</w:t>
      </w:r>
      <w:r>
        <w:tab/>
      </w:r>
      <w:r>
        <w:fldChar w:fldCharType="begin"/>
      </w:r>
      <w:r>
        <w:instrText xml:space="preserve"> PAGEREF _Toc457815075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B — Financial administration, audit and reporting</w:t>
      </w:r>
    </w:p>
    <w:p>
      <w:pPr>
        <w:pStyle w:val="TOC8"/>
        <w:rPr>
          <w:rFonts w:asciiTheme="minorHAnsi" w:eastAsiaTheme="minorEastAsia" w:hAnsiTheme="minorHAnsi" w:cstheme="minorBidi"/>
          <w:szCs w:val="22"/>
        </w:rPr>
      </w:pPr>
      <w: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r>
        <w:tab/>
      </w:r>
      <w:r>
        <w:fldChar w:fldCharType="begin"/>
      </w:r>
      <w:r>
        <w:instrText xml:space="preserve"> PAGEREF _Toc457815077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Provisions and reserves</w:t>
      </w:r>
      <w:r>
        <w:tab/>
      </w:r>
      <w:r>
        <w:fldChar w:fldCharType="begin"/>
      </w:r>
      <w:r>
        <w:instrText xml:space="preserve"> PAGEREF _Toc457815078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Accounts</w:t>
      </w:r>
      <w:r>
        <w:tab/>
      </w:r>
      <w:r>
        <w:fldChar w:fldCharType="begin"/>
      </w:r>
      <w:r>
        <w:instrText xml:space="preserve"> PAGEREF _Toc457815079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Annual reports, financial statements</w:t>
      </w:r>
      <w:r>
        <w:tab/>
      </w:r>
      <w:r>
        <w:fldChar w:fldCharType="begin"/>
      </w:r>
      <w:r>
        <w:instrText xml:space="preserve"> PAGEREF _Toc457815080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Borrowing and financial accommodation</w:t>
      </w:r>
    </w:p>
    <w:p>
      <w:pPr>
        <w:pStyle w:val="TOC8"/>
        <w:rPr>
          <w:rFonts w:asciiTheme="minorHAnsi" w:eastAsiaTheme="minorEastAsia" w:hAnsiTheme="minorHAnsi" w:cstheme="minorBidi"/>
          <w:szCs w:val="22"/>
        </w:rPr>
      </w:pPr>
      <w:r>
        <w:t>24</w:t>
      </w:r>
      <w:r>
        <w:rPr>
          <w:snapToGrid w:val="0"/>
        </w:rPr>
        <w:t>.</w:t>
      </w:r>
      <w:r>
        <w:rPr>
          <w:snapToGrid w:val="0"/>
        </w:rPr>
        <w:tab/>
        <w:t>Power to borrow etc., generally</w:t>
      </w:r>
      <w:r>
        <w:tab/>
      </w:r>
      <w:r>
        <w:fldChar w:fldCharType="begin"/>
      </w:r>
      <w:r>
        <w:instrText xml:space="preserve"> PAGEREF _Toc457815082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to make provision to pay off loans</w:t>
      </w:r>
      <w:r>
        <w:tab/>
      </w:r>
      <w:r>
        <w:fldChar w:fldCharType="begin"/>
      </w:r>
      <w:r>
        <w:instrText xml:space="preserve"> PAGEREF _Toc457815083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Borrowing power, from Treasury sources</w:t>
      </w:r>
      <w:r>
        <w:tab/>
      </w:r>
      <w:r>
        <w:fldChar w:fldCharType="begin"/>
      </w:r>
      <w:r>
        <w:instrText xml:space="preserve"> PAGEREF _Toc457815084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Specific State guarantees</w:t>
      </w:r>
      <w:r>
        <w:tab/>
      </w:r>
      <w:r>
        <w:fldChar w:fldCharType="begin"/>
      </w:r>
      <w:r>
        <w:instrText xml:space="preserve"> PAGEREF _Toc457815085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D — Dividends to State</w:t>
      </w:r>
    </w:p>
    <w:p>
      <w:pPr>
        <w:pStyle w:val="TOC8"/>
        <w:rPr>
          <w:rFonts w:asciiTheme="minorHAnsi" w:eastAsiaTheme="minorEastAsia" w:hAnsiTheme="minorHAnsi" w:cstheme="minorBidi"/>
          <w:szCs w:val="22"/>
        </w:rPr>
      </w:pPr>
      <w:r>
        <w:t>28.</w:t>
      </w:r>
      <w:r>
        <w:tab/>
        <w:t>Interim dividend</w:t>
      </w:r>
      <w:r>
        <w:tab/>
      </w:r>
      <w:r>
        <w:fldChar w:fldCharType="begin"/>
      </w:r>
      <w:r>
        <w:instrText xml:space="preserve"> PAGEREF _Toc457815087 \h </w:instrText>
      </w:r>
      <w:r>
        <w:fldChar w:fldCharType="separate"/>
      </w:r>
      <w:r>
        <w:t>28</w:t>
      </w:r>
      <w:r>
        <w:fldChar w:fldCharType="end"/>
      </w:r>
    </w:p>
    <w:p>
      <w:pPr>
        <w:pStyle w:val="TOC8"/>
        <w:rPr>
          <w:rFonts w:asciiTheme="minorHAnsi" w:eastAsiaTheme="minorEastAsia" w:hAnsiTheme="minorHAnsi" w:cstheme="minorBidi"/>
          <w:szCs w:val="22"/>
        </w:rPr>
      </w:pPr>
      <w:r>
        <w:t>29.</w:t>
      </w:r>
      <w:r>
        <w:tab/>
        <w:t>Annual dividend</w:t>
      </w:r>
      <w:r>
        <w:tab/>
      </w:r>
      <w:r>
        <w:fldChar w:fldCharType="begin"/>
      </w:r>
      <w:r>
        <w:instrText xml:space="preserve"> PAGEREF _Toc457815088 \h </w:instrText>
      </w:r>
      <w:r>
        <w:fldChar w:fldCharType="separate"/>
      </w:r>
      <w:r>
        <w:t>29</w:t>
      </w:r>
      <w:r>
        <w:fldChar w:fldCharType="end"/>
      </w:r>
    </w:p>
    <w:p>
      <w:pPr>
        <w:pStyle w:val="TOC8"/>
        <w:rPr>
          <w:rFonts w:asciiTheme="minorHAnsi" w:eastAsiaTheme="minorEastAsia" w:hAnsiTheme="minorHAnsi" w:cstheme="minorBidi"/>
          <w:szCs w:val="22"/>
        </w:rPr>
      </w:pPr>
      <w:r>
        <w:t>30.</w:t>
      </w:r>
      <w:r>
        <w:tab/>
        <w:t>Provisions for s. 28 and 29</w:t>
      </w:r>
      <w:r>
        <w:tab/>
      </w:r>
      <w:r>
        <w:fldChar w:fldCharType="begin"/>
      </w:r>
      <w:r>
        <w:instrText xml:space="preserve"> PAGEREF _Toc457815089 \h </w:instrText>
      </w:r>
      <w:r>
        <w:fldChar w:fldCharType="separate"/>
      </w:r>
      <w:r>
        <w:t>30</w:t>
      </w:r>
      <w:r>
        <w:fldChar w:fldCharType="end"/>
      </w:r>
    </w:p>
    <w:p>
      <w:pPr>
        <w:pStyle w:val="TOC8"/>
        <w:rPr>
          <w:rFonts w:asciiTheme="minorHAnsi" w:eastAsiaTheme="minorEastAsia" w:hAnsiTheme="minorHAnsi" w:cstheme="minorBidi"/>
          <w:szCs w:val="22"/>
        </w:rPr>
      </w:pPr>
      <w:r>
        <w:t>31.</w:t>
      </w:r>
      <w:r>
        <w:tab/>
        <w:t xml:space="preserve">Transitional provisions for </w:t>
      </w:r>
      <w:r>
        <w:rPr>
          <w:i/>
        </w:rPr>
        <w:t>Insurance Commission of Western Australia Amendment Act 2013</w:t>
      </w:r>
      <w:r>
        <w:t>: interim dividends</w:t>
      </w:r>
      <w:r>
        <w:tab/>
      </w:r>
      <w:r>
        <w:fldChar w:fldCharType="begin"/>
      </w:r>
      <w:r>
        <w:instrText xml:space="preserve"> PAGEREF _Toc457815090 \h </w:instrText>
      </w:r>
      <w:r>
        <w:fldChar w:fldCharType="separate"/>
      </w:r>
      <w:r>
        <w:t>31</w:t>
      </w:r>
      <w:r>
        <w:fldChar w:fldCharType="end"/>
      </w:r>
    </w:p>
    <w:p>
      <w:pPr>
        <w:pStyle w:val="TOC8"/>
        <w:rPr>
          <w:rFonts w:asciiTheme="minorHAnsi" w:eastAsiaTheme="minorEastAsia" w:hAnsiTheme="minorHAnsi" w:cstheme="minorBidi"/>
          <w:szCs w:val="22"/>
        </w:rPr>
      </w:pPr>
      <w:r>
        <w:t>32.</w:t>
      </w:r>
      <w:r>
        <w:tab/>
        <w:t xml:space="preserve">Transitional provisions for </w:t>
      </w:r>
      <w:r>
        <w:rPr>
          <w:i/>
        </w:rPr>
        <w:t>Insurance Commission of Western Australia Amendment Act 2013</w:t>
      </w:r>
      <w:r>
        <w:t>: annual dividends</w:t>
      </w:r>
      <w:r>
        <w:tab/>
      </w:r>
      <w:r>
        <w:fldChar w:fldCharType="begin"/>
      </w:r>
      <w:r>
        <w:instrText xml:space="preserve"> PAGEREF _Toc457815091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42</w:t>
      </w:r>
      <w:r>
        <w:rPr>
          <w:snapToGrid w:val="0"/>
        </w:rPr>
        <w:t>.</w:t>
      </w:r>
      <w:r>
        <w:rPr>
          <w:snapToGrid w:val="0"/>
        </w:rPr>
        <w:tab/>
        <w:t>Secrecy</w:t>
      </w:r>
      <w:r>
        <w:tab/>
      </w:r>
      <w:r>
        <w:fldChar w:fldCharType="begin"/>
      </w:r>
      <w:r>
        <w:instrText xml:space="preserve"> PAGEREF _Toc457815093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Execution of documents and entry into contracts</w:t>
      </w:r>
      <w:r>
        <w:tab/>
      </w:r>
      <w:r>
        <w:fldChar w:fldCharType="begin"/>
      </w:r>
      <w:r>
        <w:instrText xml:space="preserve"> PAGEREF _Toc457815094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Exemption of certain public authorities from workers’ compensation insurance requirements</w:t>
      </w:r>
      <w:r>
        <w:tab/>
      </w:r>
      <w:r>
        <w:fldChar w:fldCharType="begin"/>
      </w:r>
      <w:r>
        <w:instrText xml:space="preserve"> PAGEREF _Toc457815095 \h </w:instrText>
      </w:r>
      <w:r>
        <w:fldChar w:fldCharType="separate"/>
      </w:r>
      <w:r>
        <w:t>36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Regulations</w:t>
      </w:r>
      <w:r>
        <w:tab/>
      </w:r>
      <w:r>
        <w:fldChar w:fldCharType="begin"/>
      </w:r>
      <w:r>
        <w:instrText xml:space="preserve"> PAGEREF _Toc457815096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 — Repeal, amendments, saving, validation and transitional</w:t>
      </w:r>
    </w:p>
    <w:p>
      <w:pPr>
        <w:pStyle w:val="TOC8"/>
        <w:rPr>
          <w:rFonts w:asciiTheme="minorHAnsi" w:eastAsiaTheme="minorEastAsia" w:hAnsiTheme="minorHAnsi" w:cstheme="minorBidi"/>
          <w:szCs w:val="22"/>
        </w:rPr>
      </w:pPr>
      <w:r>
        <w:t>46</w:t>
      </w:r>
      <w:r>
        <w:rPr>
          <w:snapToGrid w:val="0"/>
        </w:rPr>
        <w:t>.</w:t>
      </w:r>
      <w:r>
        <w:rPr>
          <w:snapToGrid w:val="0"/>
        </w:rPr>
        <w:tab/>
        <w:t>Repeal and amendments</w:t>
      </w:r>
      <w:r>
        <w:tab/>
      </w:r>
      <w:r>
        <w:fldChar w:fldCharType="begin"/>
      </w:r>
      <w:r>
        <w:instrText xml:space="preserve"> PAGEREF _Toc457815098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Saving, validation and transitional provisions</w:t>
      </w:r>
      <w:r>
        <w:tab/>
      </w:r>
      <w:r>
        <w:fldChar w:fldCharType="begin"/>
      </w:r>
      <w:r>
        <w:instrText xml:space="preserve"> PAGEREF _Toc457815099 \h </w:instrText>
      </w:r>
      <w:r>
        <w:fldChar w:fldCharType="separate"/>
      </w:r>
      <w:r>
        <w:t>37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Oversight by Public Accounts Committee</w:t>
      </w:r>
      <w:r>
        <w:tab/>
      </w:r>
      <w:r>
        <w:fldChar w:fldCharType="begin"/>
      </w:r>
      <w:r>
        <w:instrText xml:space="preserve"> PAGEREF _Toc457815100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commissioners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_Toc457815102 \h </w:instrText>
      </w:r>
      <w:r>
        <w:fldChar w:fldCharType="separate"/>
      </w:r>
      <w:r>
        <w:t>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Commissioners — terms and vacation of office</w:t>
      </w:r>
      <w:r>
        <w:tab/>
      </w:r>
      <w:r>
        <w:fldChar w:fldCharType="begin"/>
      </w:r>
      <w:r>
        <w:instrText xml:space="preserve"> PAGEREF _Toc457815103 \h </w:instrText>
      </w:r>
      <w:r>
        <w:fldChar w:fldCharType="separate"/>
      </w:r>
      <w:r>
        <w:t>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Alternate commissioners</w:t>
      </w:r>
      <w:r>
        <w:tab/>
      </w:r>
      <w:r>
        <w:fldChar w:fldCharType="begin"/>
      </w:r>
      <w:r>
        <w:instrText xml:space="preserve"> PAGEREF _Toc457815104 \h </w:instrText>
      </w:r>
      <w:r>
        <w:fldChar w:fldCharType="separate"/>
      </w:r>
      <w:r>
        <w:t>39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Chairman and deputy chairman — term and vacation of office</w:t>
      </w:r>
      <w:r>
        <w:tab/>
      </w:r>
      <w:r>
        <w:fldChar w:fldCharType="begin"/>
      </w:r>
      <w:r>
        <w:instrText xml:space="preserve"> PAGEREF _Toc457815105 \h </w:instrText>
      </w:r>
      <w:r>
        <w:fldChar w:fldCharType="separate"/>
      </w:r>
      <w:r>
        <w:t>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Disclosure of pecuniary interests</w:t>
      </w:r>
      <w:r>
        <w:tab/>
      </w:r>
      <w:r>
        <w:fldChar w:fldCharType="begin"/>
      </w:r>
      <w:r>
        <w:instrText xml:space="preserve"> PAGEREF _Toc457815106 \h </w:instrText>
      </w:r>
      <w:r>
        <w:fldChar w:fldCharType="separate"/>
      </w:r>
      <w:r>
        <w:t>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_Toc457815107 \h </w:instrText>
      </w:r>
      <w:r>
        <w:fldChar w:fldCharType="separate"/>
      </w:r>
      <w:r>
        <w:t>40</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Telephone and video meetings</w:t>
      </w:r>
      <w:r>
        <w:tab/>
      </w:r>
      <w:r>
        <w:fldChar w:fldCharType="begin"/>
      </w:r>
      <w:r>
        <w:instrText xml:space="preserve"> PAGEREF _Toc457815108 \h </w:instrText>
      </w:r>
      <w:r>
        <w:fldChar w:fldCharType="separate"/>
      </w:r>
      <w:r>
        <w:t>41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Committees</w:t>
      </w:r>
      <w:r>
        <w:tab/>
      </w:r>
      <w:r>
        <w:fldChar w:fldCharType="begin"/>
      </w:r>
      <w:r>
        <w:instrText xml:space="preserve"> PAGEREF _Toc457815109 \h </w:instrText>
      </w:r>
      <w:r>
        <w:fldChar w:fldCharType="separate"/>
      </w:r>
      <w:r>
        <w:t>41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Resolution may be passed without meeting</w:t>
      </w:r>
      <w:r>
        <w:tab/>
      </w:r>
      <w:r>
        <w:fldChar w:fldCharType="begin"/>
      </w:r>
      <w:r>
        <w:instrText xml:space="preserve"> PAGEREF _Toc457815110 \h </w:instrText>
      </w:r>
      <w:r>
        <w:fldChar w:fldCharType="separate"/>
      </w:r>
      <w:r>
        <w:t>41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Minutes of meetings etc.</w:t>
      </w:r>
      <w:r>
        <w:tab/>
      </w:r>
      <w:r>
        <w:fldChar w:fldCharType="begin"/>
      </w:r>
      <w:r>
        <w:instrText xml:space="preserve"> PAGEREF _Toc457815111 \h </w:instrText>
      </w:r>
      <w:r>
        <w:fldChar w:fldCharType="separate"/>
      </w:r>
      <w:r>
        <w:t>42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Leave of absence</w:t>
      </w:r>
      <w:r>
        <w:tab/>
      </w:r>
      <w:r>
        <w:fldChar w:fldCharType="begin"/>
      </w:r>
      <w:r>
        <w:instrText xml:space="preserve"> PAGEREF _Toc457815112 \h </w:instrText>
      </w:r>
      <w:r>
        <w:fldChar w:fldCharType="separate"/>
      </w:r>
      <w:r>
        <w:t>42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Board to determine own procedures</w:t>
      </w:r>
      <w:r>
        <w:tab/>
      </w:r>
      <w:r>
        <w:fldChar w:fldCharType="begin"/>
      </w:r>
      <w:r>
        <w:instrText xml:space="preserve"> PAGEREF _Toc457815113 \h </w:instrText>
      </w:r>
      <w:r>
        <w:fldChar w:fldCharType="separate"/>
      </w:r>
      <w:r>
        <w:t>42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commissioners</w:t>
      </w:r>
      <w:r>
        <w:tab/>
      </w:r>
      <w:r>
        <w:fldChar w:fldCharType="begin"/>
      </w:r>
      <w:r>
        <w:instrText xml:space="preserve"> PAGEREF _Toc457815114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4 — Saving, validation and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_Toc457815116 \h </w:instrText>
      </w:r>
      <w:r>
        <w:fldChar w:fldCharType="separate"/>
      </w:r>
      <w:r>
        <w:t>44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Transfer of assets, liabilities and records of MVIT</w:t>
      </w:r>
      <w:r>
        <w:tab/>
      </w:r>
      <w:r>
        <w:fldChar w:fldCharType="begin"/>
      </w:r>
      <w:r>
        <w:instrText xml:space="preserve"> PAGEREF _Toc457815117 \h </w:instrText>
      </w:r>
      <w:r>
        <w:fldChar w:fldCharType="separate"/>
      </w:r>
      <w:r>
        <w:t>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MVIT insurance policies</w:t>
      </w:r>
      <w:r>
        <w:tab/>
      </w:r>
      <w:r>
        <w:fldChar w:fldCharType="begin"/>
      </w:r>
      <w:r>
        <w:instrText xml:space="preserve"> PAGEREF _Toc457815118 \h </w:instrText>
      </w:r>
      <w:r>
        <w:fldChar w:fldCharType="separate"/>
      </w:r>
      <w:r>
        <w:t>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instruments, determinations and proceedings generally</w:t>
      </w:r>
      <w:r>
        <w:tab/>
      </w:r>
      <w:r>
        <w:fldChar w:fldCharType="begin"/>
      </w:r>
      <w:r>
        <w:instrText xml:space="preserve"> PAGEREF _Toc457815119 \h </w:instrText>
      </w:r>
      <w:r>
        <w:fldChar w:fldCharType="separate"/>
      </w:r>
      <w:r>
        <w:t>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Final reports on operations of MVIT</w:t>
      </w:r>
      <w:r>
        <w:tab/>
      </w:r>
      <w:r>
        <w:fldChar w:fldCharType="begin"/>
      </w:r>
      <w:r>
        <w:instrText xml:space="preserve"> PAGEREF _Toc457815120 \h </w:instrText>
      </w:r>
      <w:r>
        <w:fldChar w:fldCharType="separate"/>
      </w:r>
      <w:r>
        <w:t>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Assessment as to sufficiency of income</w:t>
      </w:r>
      <w:r>
        <w:tab/>
      </w:r>
      <w:r>
        <w:fldChar w:fldCharType="begin"/>
      </w:r>
      <w:r>
        <w:instrText xml:space="preserve"> PAGEREF _Toc457815121 \h </w:instrText>
      </w:r>
      <w:r>
        <w:fldChar w:fldCharType="separate"/>
      </w:r>
      <w:r>
        <w:t>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Employment of current officers</w:t>
      </w:r>
      <w:r>
        <w:tab/>
      </w:r>
      <w:r>
        <w:fldChar w:fldCharType="begin"/>
      </w:r>
      <w:r>
        <w:instrText xml:space="preserve"> PAGEREF _Toc457815122 \h </w:instrText>
      </w:r>
      <w:r>
        <w:fldChar w:fldCharType="separate"/>
      </w:r>
      <w:r>
        <w:t>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References to MVIT in laws</w:t>
      </w:r>
      <w:r>
        <w:tab/>
      </w:r>
      <w:r>
        <w:fldChar w:fldCharType="begin"/>
      </w:r>
      <w:r>
        <w:instrText xml:space="preserve"> PAGEREF _Toc457815123 \h </w:instrText>
      </w:r>
      <w:r>
        <w:fldChar w:fldCharType="separate"/>
      </w:r>
      <w:r>
        <w:t>47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of assets, liabilities and records of SGIO</w:t>
      </w:r>
      <w:r>
        <w:tab/>
      </w:r>
      <w:r>
        <w:fldChar w:fldCharType="begin"/>
      </w:r>
      <w:r>
        <w:instrText xml:space="preserve"> PAGEREF _Toc457815124 \h </w:instrText>
      </w:r>
      <w:r>
        <w:fldChar w:fldCharType="separate"/>
      </w:r>
      <w:r>
        <w:t>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SGIO insurance policies and re</w:t>
      </w:r>
      <w:r>
        <w:rPr>
          <w:snapToGrid w:val="0"/>
        </w:rPr>
        <w:noBreakHyphen/>
        <w:t>insurance</w:t>
      </w:r>
      <w:r>
        <w:tab/>
      </w:r>
      <w:r>
        <w:fldChar w:fldCharType="begin"/>
      </w:r>
      <w:r>
        <w:instrText xml:space="preserve"> PAGEREF _Toc457815125 \h </w:instrText>
      </w:r>
      <w:r>
        <w:fldChar w:fldCharType="separate"/>
      </w:r>
      <w:r>
        <w:t>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Agents and brokers</w:t>
      </w:r>
      <w:r>
        <w:tab/>
      </w:r>
      <w:r>
        <w:fldChar w:fldCharType="begin"/>
      </w:r>
      <w:r>
        <w:instrText xml:space="preserve"> PAGEREF _Toc457815126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 instruments and proceedings generally</w:t>
      </w:r>
      <w:r>
        <w:tab/>
      </w:r>
      <w:r>
        <w:fldChar w:fldCharType="begin"/>
      </w:r>
      <w:r>
        <w:instrText xml:space="preserve"> PAGEREF _Toc457815127 \h </w:instrText>
      </w:r>
      <w:r>
        <w:fldChar w:fldCharType="separate"/>
      </w:r>
      <w:r>
        <w:t>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Final reports on operations of SGIO</w:t>
      </w:r>
      <w:r>
        <w:tab/>
      </w:r>
      <w:r>
        <w:fldChar w:fldCharType="begin"/>
      </w:r>
      <w:r>
        <w:instrText xml:space="preserve"> PAGEREF _Toc457815128 \h </w:instrText>
      </w:r>
      <w:r>
        <w:fldChar w:fldCharType="separate"/>
      </w:r>
      <w:r>
        <w:t>50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outstanding obligations to be met by Commission</w:t>
      </w:r>
      <w:r>
        <w:tab/>
      </w:r>
      <w:r>
        <w:fldChar w:fldCharType="begin"/>
      </w:r>
      <w:r>
        <w:instrText xml:space="preserve"> PAGEREF _Toc457815129 \h </w:instrText>
      </w:r>
      <w:r>
        <w:fldChar w:fldCharType="separate"/>
      </w:r>
      <w:r>
        <w:t>51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Saving of presumption and protection</w:t>
      </w:r>
      <w:r>
        <w:tab/>
      </w:r>
      <w:r>
        <w:fldChar w:fldCharType="begin"/>
      </w:r>
      <w:r>
        <w:instrText xml:space="preserve"> PAGEREF _Toc457815130 \h </w:instrText>
      </w:r>
      <w:r>
        <w:fldChar w:fldCharType="separate"/>
      </w:r>
      <w:r>
        <w:t>52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Employment of staff of SGIO</w:t>
      </w:r>
      <w:r>
        <w:tab/>
      </w:r>
      <w:r>
        <w:fldChar w:fldCharType="begin"/>
      </w:r>
      <w:r>
        <w:instrText xml:space="preserve"> PAGEREF _Toc457815131 \h </w:instrText>
      </w:r>
      <w:r>
        <w:fldChar w:fldCharType="separate"/>
      </w:r>
      <w:r>
        <w:t>52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References to the SGIO in laws</w:t>
      </w:r>
      <w:r>
        <w:tab/>
      </w:r>
      <w:r>
        <w:fldChar w:fldCharType="begin"/>
      </w:r>
      <w:r>
        <w:instrText xml:space="preserve"> PAGEREF _Toc457815132 \h </w:instrText>
      </w:r>
      <w:r>
        <w:fldChar w:fldCharType="separate"/>
      </w:r>
      <w:r>
        <w:t>52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Apportionment of assets and liabilities</w:t>
      </w:r>
      <w:r>
        <w:tab/>
      </w:r>
      <w:r>
        <w:fldChar w:fldCharType="begin"/>
      </w:r>
      <w:r>
        <w:instrText xml:space="preserve"> PAGEREF _Toc457815133 \h </w:instrText>
      </w:r>
      <w:r>
        <w:fldChar w:fldCharType="separate"/>
      </w:r>
      <w:r>
        <w:t>53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Interpretation Act to apply</w:t>
      </w:r>
      <w:r>
        <w:tab/>
      </w:r>
      <w:r>
        <w:fldChar w:fldCharType="begin"/>
      </w:r>
      <w:r>
        <w:instrText xml:space="preserve"> PAGEREF _Toc457815134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_Toc457815136 \h </w:instrText>
      </w:r>
      <w:r>
        <w:fldChar w:fldCharType="separate"/>
      </w:r>
      <w:r>
        <w:t>54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_Toc457815137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31 August 2016</w:t>
            </w:r>
          </w:p>
        </w:tc>
      </w:tr>
    </w:tbl>
    <w:p>
      <w:pPr>
        <w:pStyle w:val="WA"/>
        <w:spacing w:before="12"/>
      </w:pPr>
      <w:r>
        <w:t>Western Australia</w:t>
      </w:r>
    </w:p>
    <w:p>
      <w:pPr>
        <w:pStyle w:val="NameofActReg"/>
        <w:spacing w:before="600"/>
      </w:pPr>
      <w:r>
        <w:t xml:space="preserve">Insurance Commission of </w:t>
      </w:r>
      <w:smartTag w:uri="urn:schemas-microsoft-com:office:smarttags" w:element="place">
        <w:smartTag w:uri="urn:schemas-microsoft-com:office:smarttags" w:element="State">
          <w:r>
            <w:t>Western Australia</w:t>
          </w:r>
        </w:smartTag>
      </w:smartTag>
      <w:r>
        <w:t xml:space="preserve"> Act 1986</w:t>
      </w:r>
    </w:p>
    <w:p>
      <w:pPr>
        <w:pStyle w:val="LongTitle"/>
        <w:spacing w:before="240"/>
        <w:rPr>
          <w:snapToGrid w:val="0"/>
        </w:rPr>
      </w:pPr>
      <w:r>
        <w:rPr>
          <w:snapToGrid w:val="0"/>
        </w:rPr>
        <w:t xml:space="preserve">An Act to provide for the constitution and functions of the Insurance Commission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Footnotelongtitle"/>
      </w:pPr>
      <w:r>
        <w:tab/>
        <w:t>[Long title inserted by No. 45 of 1996 s. 4.]</w:t>
      </w:r>
    </w:p>
    <w:p>
      <w:pPr>
        <w:pStyle w:val="Heading2"/>
      </w:pPr>
      <w:bookmarkStart w:id="3" w:name="_Toc446507088"/>
      <w:bookmarkStart w:id="4" w:name="_Toc451162733"/>
      <w:bookmarkStart w:id="5" w:name="_Toc457815038"/>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spacing w:before="240"/>
        <w:rPr>
          <w:snapToGrid w:val="0"/>
        </w:rPr>
      </w:pPr>
      <w:bookmarkStart w:id="6" w:name="_Toc457815039"/>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240"/>
        <w:rPr>
          <w:snapToGrid w:val="0"/>
        </w:rPr>
      </w:pPr>
      <w:bookmarkStart w:id="7" w:name="_Toc457815040"/>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240"/>
        <w:rPr>
          <w:snapToGrid w:val="0"/>
        </w:rPr>
      </w:pPr>
      <w:bookmarkStart w:id="8" w:name="_Toc457815041"/>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keepNext/>
      </w:pPr>
      <w:r>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or taken to be incorporated, under the </w:t>
      </w:r>
      <w:r>
        <w:rPr>
          <w:i/>
        </w:rPr>
        <w:t>Associations Incorporation Act 2015</w:t>
      </w:r>
      <w:r>
        <w:t>; or</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keepNext/>
      </w:pPr>
      <w:r>
        <w:rPr>
          <w:b/>
        </w:rPr>
        <w:tab/>
      </w:r>
      <w:r>
        <w:rPr>
          <w:rStyle w:val="CharDefText"/>
        </w:rPr>
        <w:t>Treasurer</w:t>
      </w:r>
      <w:r>
        <w:t xml:space="preserve"> means the Treasurer of the State.</w:t>
      </w:r>
    </w:p>
    <w:p>
      <w:pPr>
        <w:pStyle w:val="Footnotesection"/>
      </w:pPr>
      <w:r>
        <w:tab/>
        <w:t xml:space="preserve">[Section 3 amended by No. 45 of 1996 s. 6; No. 34 of 2002 s. 4; No. 30 of 2015 s. 219.] </w:t>
      </w:r>
    </w:p>
    <w:p>
      <w:pPr>
        <w:pStyle w:val="Heading5"/>
      </w:pPr>
      <w:bookmarkStart w:id="9" w:name="_Toc457815042"/>
      <w:r>
        <w:rPr>
          <w:rStyle w:val="CharSectno"/>
        </w:rPr>
        <w:t>3A</w:t>
      </w:r>
      <w:r>
        <w:t>.</w:t>
      </w:r>
      <w:r>
        <w:tab/>
        <w:t>Eligible community organisations</w:t>
      </w:r>
      <w:bookmarkEnd w:id="9"/>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10" w:name="_Toc446507093"/>
      <w:bookmarkStart w:id="11" w:name="_Toc451162738"/>
      <w:bookmarkStart w:id="12" w:name="_Toc457815043"/>
      <w:r>
        <w:rPr>
          <w:rStyle w:val="CharPartNo"/>
        </w:rPr>
        <w:t>Part II</w:t>
      </w:r>
      <w:r>
        <w:t> — </w:t>
      </w:r>
      <w:r>
        <w:rPr>
          <w:rStyle w:val="CharPartText"/>
        </w:rPr>
        <w:t xml:space="preserve">Insurance Commission of </w:t>
      </w:r>
      <w:smartTag w:uri="urn:schemas-microsoft-com:office:smarttags" w:element="place">
        <w:smartTag w:uri="urn:schemas-microsoft-com:office:smarttags" w:element="State">
          <w:r>
            <w:rPr>
              <w:rStyle w:val="CharPartText"/>
            </w:rPr>
            <w:t>Western Australia</w:t>
          </w:r>
        </w:smartTag>
      </w:smartTag>
      <w:bookmarkEnd w:id="10"/>
      <w:bookmarkEnd w:id="11"/>
      <w:bookmarkEnd w:id="12"/>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13" w:name="_Toc446507094"/>
      <w:bookmarkStart w:id="14" w:name="_Toc451162739"/>
      <w:bookmarkStart w:id="15" w:name="_Toc457815044"/>
      <w:r>
        <w:rPr>
          <w:rStyle w:val="CharDivNo"/>
        </w:rPr>
        <w:t>Division 1</w:t>
      </w:r>
      <w:r>
        <w:rPr>
          <w:snapToGrid w:val="0"/>
        </w:rPr>
        <w:t> — </w:t>
      </w:r>
      <w:r>
        <w:rPr>
          <w:rStyle w:val="CharDivText"/>
        </w:rPr>
        <w:t>The Commission and the board of commissioners</w:t>
      </w:r>
      <w:bookmarkEnd w:id="13"/>
      <w:bookmarkEnd w:id="14"/>
      <w:bookmarkEnd w:id="15"/>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16" w:name="_Toc457815045"/>
      <w:r>
        <w:rPr>
          <w:rStyle w:val="CharSectno"/>
        </w:rPr>
        <w:t>4</w:t>
      </w:r>
      <w:r>
        <w:rPr>
          <w:snapToGrid w:val="0"/>
        </w:rPr>
        <w:t>.</w:t>
      </w:r>
      <w:r>
        <w:rPr>
          <w:snapToGrid w:val="0"/>
        </w:rPr>
        <w:tab/>
        <w:t xml:space="preserve">Insurance Commission of </w:t>
      </w:r>
      <w:smartTag w:uri="urn:schemas-microsoft-com:office:smarttags" w:element="place">
        <w:smartTag w:uri="urn:schemas-microsoft-com:office:smarttags" w:element="State">
          <w:r>
            <w:rPr>
              <w:snapToGrid w:val="0"/>
            </w:rPr>
            <w:t>Western Australia</w:t>
          </w:r>
        </w:smartTag>
      </w:smartTag>
      <w:r>
        <w:rPr>
          <w:snapToGrid w:val="0"/>
        </w:rPr>
        <w:t>: corporate identity and status</w:t>
      </w:r>
      <w:bookmarkEnd w:id="16"/>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snapToGrid w:val="0"/>
        </w:rPr>
        <w:t xml:space="preserve"> 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17" w:name="_Toc457815046"/>
      <w:r>
        <w:rPr>
          <w:rStyle w:val="CharSectno"/>
        </w:rPr>
        <w:t>4A</w:t>
      </w:r>
      <w:r>
        <w:rPr>
          <w:snapToGrid w:val="0"/>
        </w:rPr>
        <w:t>.</w:t>
      </w:r>
      <w:r>
        <w:rPr>
          <w:snapToGrid w:val="0"/>
        </w:rPr>
        <w:tab/>
        <w:t>Agent of Crown</w:t>
      </w:r>
      <w:bookmarkEnd w:id="17"/>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18" w:name="_Toc457815047"/>
      <w:r>
        <w:rPr>
          <w:rStyle w:val="CharSectno"/>
        </w:rPr>
        <w:t>5</w:t>
      </w:r>
      <w:r>
        <w:rPr>
          <w:snapToGrid w:val="0"/>
        </w:rPr>
        <w:t>.</w:t>
      </w:r>
      <w:r>
        <w:rPr>
          <w:snapToGrid w:val="0"/>
        </w:rPr>
        <w:tab/>
        <w:t>Board of commissioners</w:t>
      </w:r>
      <w:bookmarkEnd w:id="18"/>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Public Sector Commissioner</w:t>
      </w:r>
      <w:r>
        <w:rPr>
          <w:snapToGrid w:val="0"/>
        </w:rPr>
        <w:t>.</w:t>
      </w:r>
    </w:p>
    <w:p>
      <w:pPr>
        <w:pStyle w:val="Footnotesection"/>
      </w:pPr>
      <w:r>
        <w:tab/>
        <w:t>[Section 5 amended by No. 45 of 1996 s. 9; No. 39 of 2010 s. 89.]</w:t>
      </w:r>
    </w:p>
    <w:p>
      <w:pPr>
        <w:pStyle w:val="Heading3"/>
        <w:rPr>
          <w:snapToGrid w:val="0"/>
        </w:rPr>
      </w:pPr>
      <w:bookmarkStart w:id="19" w:name="_Toc446507098"/>
      <w:bookmarkStart w:id="20" w:name="_Toc451162743"/>
      <w:bookmarkStart w:id="21" w:name="_Toc457815048"/>
      <w:r>
        <w:rPr>
          <w:rStyle w:val="CharDivNo"/>
        </w:rPr>
        <w:t>Division 2</w:t>
      </w:r>
      <w:r>
        <w:rPr>
          <w:snapToGrid w:val="0"/>
        </w:rPr>
        <w:t> — </w:t>
      </w:r>
      <w:r>
        <w:rPr>
          <w:rStyle w:val="CharDivText"/>
        </w:rPr>
        <w:t>Functions and powers of the Commission</w:t>
      </w:r>
      <w:bookmarkEnd w:id="19"/>
      <w:bookmarkEnd w:id="20"/>
      <w:bookmarkEnd w:id="21"/>
      <w:r>
        <w:rPr>
          <w:rStyle w:val="CharDivText"/>
        </w:rPr>
        <w:t xml:space="preserve"> </w:t>
      </w:r>
    </w:p>
    <w:p>
      <w:pPr>
        <w:pStyle w:val="Heading5"/>
        <w:rPr>
          <w:snapToGrid w:val="0"/>
        </w:rPr>
      </w:pPr>
      <w:bookmarkStart w:id="22" w:name="_Toc457815049"/>
      <w:r>
        <w:rPr>
          <w:rStyle w:val="CharSectno"/>
        </w:rPr>
        <w:t>6</w:t>
      </w:r>
      <w:r>
        <w:rPr>
          <w:snapToGrid w:val="0"/>
        </w:rPr>
        <w:t>.</w:t>
      </w:r>
      <w:r>
        <w:rPr>
          <w:snapToGrid w:val="0"/>
        </w:rPr>
        <w:tab/>
        <w:t>Functions</w:t>
      </w:r>
      <w:bookmarkEnd w:id="22"/>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(aa)</w:t>
      </w:r>
      <w:r>
        <w:tab/>
        <w:t xml:space="preserve">to manage and administer, and monitor the operation of, the catastrophic injuries support scheme as defined in the </w:t>
      </w:r>
      <w:r>
        <w:rPr>
          <w:i/>
        </w:rPr>
        <w:t>Motor Vehicle (Catastrophic Injuries) Act 2016</w:t>
      </w:r>
      <w:r>
        <w:t xml:space="preserve"> section 3(1);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No. 8 of 2016 s. 40.] </w:t>
      </w:r>
    </w:p>
    <w:p>
      <w:pPr>
        <w:pStyle w:val="Heading5"/>
        <w:rPr>
          <w:snapToGrid w:val="0"/>
        </w:rPr>
      </w:pPr>
      <w:bookmarkStart w:id="23" w:name="_Toc457815050"/>
      <w:r>
        <w:rPr>
          <w:rStyle w:val="CharSectno"/>
        </w:rPr>
        <w:t>7</w:t>
      </w:r>
      <w:r>
        <w:rPr>
          <w:snapToGrid w:val="0"/>
        </w:rPr>
        <w:t>.</w:t>
      </w:r>
      <w:r>
        <w:rPr>
          <w:snapToGrid w:val="0"/>
        </w:rPr>
        <w:tab/>
        <w:t>Powers</w:t>
      </w:r>
      <w:bookmarkEnd w:id="23"/>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spacing w:before="60"/>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spacing w:before="60"/>
        <w:rPr>
          <w:snapToGrid w:val="0"/>
        </w:rPr>
      </w:pPr>
      <w:r>
        <w:rPr>
          <w:snapToGrid w:val="0"/>
        </w:rPr>
        <w:tab/>
        <w:t>(m)</w:t>
      </w:r>
      <w:r>
        <w:rPr>
          <w:snapToGrid w:val="0"/>
        </w:rPr>
        <w:tab/>
        <w:t>to act as agent for other persons or public authorities; and</w:t>
      </w:r>
    </w:p>
    <w:p>
      <w:pPr>
        <w:pStyle w:val="Indenta"/>
        <w:spacing w:before="60"/>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spacing w:before="60"/>
        <w:rPr>
          <w:snapToGrid w:val="0"/>
        </w:rPr>
      </w:pPr>
      <w:r>
        <w:rPr>
          <w:snapToGrid w:val="0"/>
        </w:rPr>
        <w:tab/>
        <w:t>[(o)</w:t>
      </w:r>
      <w:r>
        <w:rPr>
          <w:snapToGrid w:val="0"/>
        </w:rPr>
        <w:tab/>
        <w:t>deleted]</w:t>
      </w:r>
    </w:p>
    <w:p>
      <w:pPr>
        <w:pStyle w:val="Indenta"/>
        <w:spacing w:before="60"/>
        <w:rPr>
          <w:snapToGrid w:val="0"/>
        </w:rPr>
      </w:pPr>
      <w:r>
        <w:rPr>
          <w:snapToGrid w:val="0"/>
        </w:rPr>
        <w:tab/>
        <w:t>(p)</w:t>
      </w:r>
      <w:r>
        <w:rPr>
          <w:snapToGrid w:val="0"/>
        </w:rPr>
        <w:tab/>
        <w:t>to do anything incidental to any of its powers.</w:t>
      </w:r>
    </w:p>
    <w:p>
      <w:pPr>
        <w:pStyle w:val="Subsection"/>
        <w:spacing w:before="120"/>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spacing w:before="120"/>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spacing w:before="60"/>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spacing w:before="70"/>
        <w:rPr>
          <w:snapToGrid w:val="0"/>
        </w:rPr>
      </w:pPr>
      <w:r>
        <w:rPr>
          <w:snapToGrid w:val="0"/>
        </w:rPr>
        <w:tab/>
        <w:t>(a)</w:t>
      </w:r>
      <w:r>
        <w:rPr>
          <w:snapToGrid w:val="0"/>
        </w:rPr>
        <w:tab/>
        <w:t>power to invest in real or personal property of any kind; and</w:t>
      </w:r>
    </w:p>
    <w:p>
      <w:pPr>
        <w:pStyle w:val="Indenta"/>
        <w:spacing w:before="70"/>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24" w:name="_Toc457815051"/>
      <w:r>
        <w:rPr>
          <w:rStyle w:val="CharSectno"/>
        </w:rPr>
        <w:t>8</w:t>
      </w:r>
      <w:r>
        <w:rPr>
          <w:snapToGrid w:val="0"/>
        </w:rPr>
        <w:t>.</w:t>
      </w:r>
      <w:r>
        <w:rPr>
          <w:snapToGrid w:val="0"/>
        </w:rPr>
        <w:tab/>
        <w:t>Commission to act efficiently and economically</w:t>
      </w:r>
      <w:bookmarkEnd w:id="24"/>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25" w:name="_Toc457815052"/>
      <w:r>
        <w:rPr>
          <w:rStyle w:val="CharSectno"/>
        </w:rPr>
        <w:t>9</w:t>
      </w:r>
      <w:r>
        <w:rPr>
          <w:snapToGrid w:val="0"/>
        </w:rPr>
        <w:t>.</w:t>
      </w:r>
      <w:r>
        <w:rPr>
          <w:snapToGrid w:val="0"/>
        </w:rPr>
        <w:tab/>
        <w:t>Delegation</w:t>
      </w:r>
      <w:bookmarkEnd w:id="25"/>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80"/>
        <w:ind w:left="890" w:hanging="890"/>
      </w:pPr>
      <w:r>
        <w:tab/>
        <w:t>[Section 9 amended by No. 49 of 1992 s. 28.]</w:t>
      </w:r>
    </w:p>
    <w:p>
      <w:pPr>
        <w:pStyle w:val="Heading5"/>
        <w:spacing w:before="180"/>
        <w:rPr>
          <w:snapToGrid w:val="0"/>
        </w:rPr>
      </w:pPr>
      <w:bookmarkStart w:id="26" w:name="_Toc457815053"/>
      <w:r>
        <w:rPr>
          <w:rStyle w:val="CharSectno"/>
        </w:rPr>
        <w:t>10</w:t>
      </w:r>
      <w:r>
        <w:rPr>
          <w:snapToGrid w:val="0"/>
        </w:rPr>
        <w:t>.</w:t>
      </w:r>
      <w:r>
        <w:rPr>
          <w:snapToGrid w:val="0"/>
        </w:rPr>
        <w:tab/>
        <w:t>Directions by Minister</w:t>
      </w:r>
      <w:bookmarkEnd w:id="26"/>
      <w:r>
        <w:rPr>
          <w:snapToGrid w:val="0"/>
        </w:rPr>
        <w:t xml:space="preserve"> </w:t>
      </w:r>
    </w:p>
    <w:p>
      <w:pPr>
        <w:pStyle w:val="Subsection"/>
        <w:spacing w:before="120"/>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10 amended by No. 5 of 1989 s. 16; No. 41 of 1996 s. 3; No. 77 of 2006 Sch. 1 cl. 91(1).]</w:t>
      </w:r>
    </w:p>
    <w:p>
      <w:pPr>
        <w:pStyle w:val="Heading5"/>
        <w:rPr>
          <w:snapToGrid w:val="0"/>
        </w:rPr>
      </w:pPr>
      <w:bookmarkStart w:id="27" w:name="_Toc457815054"/>
      <w:r>
        <w:rPr>
          <w:rStyle w:val="CharSectno"/>
        </w:rPr>
        <w:t>10A</w:t>
      </w:r>
      <w:r>
        <w:rPr>
          <w:snapToGrid w:val="0"/>
        </w:rPr>
        <w:t>.</w:t>
      </w:r>
      <w:r>
        <w:rPr>
          <w:snapToGrid w:val="0"/>
        </w:rPr>
        <w:tab/>
        <w:t>Minister to have access to information</w:t>
      </w:r>
      <w:bookmarkEnd w:id="27"/>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spacing w:before="90"/>
        <w:ind w:left="890" w:hanging="890"/>
      </w:pPr>
      <w:r>
        <w:tab/>
        <w:t xml:space="preserve">[Section 10A inserted by No. 45 of 1996 s. 12.] </w:t>
      </w:r>
    </w:p>
    <w:p>
      <w:pPr>
        <w:pStyle w:val="Heading5"/>
        <w:rPr>
          <w:snapToGrid w:val="0"/>
        </w:rPr>
      </w:pPr>
      <w:bookmarkStart w:id="28" w:name="_Toc457815055"/>
      <w:r>
        <w:rPr>
          <w:rStyle w:val="CharSectno"/>
        </w:rPr>
        <w:t>10B</w:t>
      </w:r>
      <w:r>
        <w:rPr>
          <w:snapToGrid w:val="0"/>
        </w:rPr>
        <w:t>.</w:t>
      </w:r>
      <w:r>
        <w:rPr>
          <w:snapToGrid w:val="0"/>
        </w:rPr>
        <w:tab/>
        <w:t>Confidential information</w:t>
      </w:r>
      <w:bookmarkEnd w:id="28"/>
      <w:r>
        <w:rPr>
          <w:snapToGrid w:val="0"/>
        </w:rPr>
        <w:t xml:space="preserve"> </w:t>
      </w:r>
    </w:p>
    <w:p>
      <w:pPr>
        <w:pStyle w:val="Subsection"/>
        <w:spacing w:before="14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4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4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90"/>
        <w:ind w:left="890" w:hanging="890"/>
      </w:pPr>
      <w:r>
        <w:tab/>
        <w:t xml:space="preserve">[Section 10B inserted by No. 45 of 1996 s. 12.] </w:t>
      </w:r>
    </w:p>
    <w:p>
      <w:pPr>
        <w:pStyle w:val="Heading3"/>
        <w:pageBreakBefore/>
        <w:spacing w:before="0"/>
        <w:rPr>
          <w:snapToGrid w:val="0"/>
        </w:rPr>
      </w:pPr>
      <w:bookmarkStart w:id="29" w:name="_Toc446507106"/>
      <w:bookmarkStart w:id="30" w:name="_Toc451162751"/>
      <w:bookmarkStart w:id="31" w:name="_Toc457815056"/>
      <w:r>
        <w:rPr>
          <w:rStyle w:val="CharDivNo"/>
        </w:rPr>
        <w:t>Division 3</w:t>
      </w:r>
      <w:r>
        <w:rPr>
          <w:snapToGrid w:val="0"/>
        </w:rPr>
        <w:t> — </w:t>
      </w:r>
      <w:r>
        <w:rPr>
          <w:rStyle w:val="CharDivText"/>
        </w:rPr>
        <w:t>Staff of the Commission</w:t>
      </w:r>
      <w:bookmarkEnd w:id="29"/>
      <w:bookmarkEnd w:id="30"/>
      <w:bookmarkEnd w:id="31"/>
      <w:r>
        <w:rPr>
          <w:rStyle w:val="CharDivText"/>
        </w:rPr>
        <w:t xml:space="preserve"> </w:t>
      </w:r>
    </w:p>
    <w:p>
      <w:pPr>
        <w:pStyle w:val="Heading5"/>
        <w:spacing w:before="200"/>
        <w:rPr>
          <w:snapToGrid w:val="0"/>
        </w:rPr>
      </w:pPr>
      <w:bookmarkStart w:id="32" w:name="_Toc457815057"/>
      <w:r>
        <w:rPr>
          <w:rStyle w:val="CharSectno"/>
        </w:rPr>
        <w:t>11</w:t>
      </w:r>
      <w:r>
        <w:rPr>
          <w:snapToGrid w:val="0"/>
        </w:rPr>
        <w:t>.</w:t>
      </w:r>
      <w:r>
        <w:rPr>
          <w:snapToGrid w:val="0"/>
        </w:rPr>
        <w:tab/>
        <w:t>Managing director</w:t>
      </w:r>
      <w:bookmarkEnd w:id="32"/>
      <w:r>
        <w:rPr>
          <w:snapToGrid w:val="0"/>
        </w:rPr>
        <w:t xml:space="preserve"> </w:t>
      </w:r>
    </w:p>
    <w:p>
      <w:pPr>
        <w:pStyle w:val="Subsection"/>
        <w:spacing w:before="140"/>
        <w:rPr>
          <w:snapToGrid w:val="0"/>
        </w:rPr>
      </w:pPr>
      <w:r>
        <w:rPr>
          <w:snapToGrid w:val="0"/>
        </w:rPr>
        <w:tab/>
        <w:t>(1)</w:t>
      </w:r>
      <w:r>
        <w:rPr>
          <w:snapToGrid w:val="0"/>
        </w:rPr>
        <w:tab/>
        <w:t>There shall be an office of managing director of the Commission.</w:t>
      </w:r>
    </w:p>
    <w:p>
      <w:pPr>
        <w:pStyle w:val="Subsection"/>
        <w:spacing w:before="140"/>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spacing w:before="140"/>
        <w:rPr>
          <w:snapToGrid w:val="0"/>
        </w:rPr>
      </w:pPr>
      <w:r>
        <w:rPr>
          <w:snapToGrid w:val="0"/>
        </w:rPr>
        <w:tab/>
        <w:t>(3)</w:t>
      </w:r>
      <w:r>
        <w:rPr>
          <w:snapToGrid w:val="0"/>
        </w:rPr>
        <w:tab/>
        <w:t>The managing director shall be appointed by the Governor on the nomination of the Minister.</w:t>
      </w:r>
    </w:p>
    <w:p>
      <w:pPr>
        <w:pStyle w:val="Subsection"/>
        <w:spacing w:before="140"/>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spacing w:before="140"/>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r>
        <w:t xml:space="preserve"> Public Sector Commissioner</w:t>
      </w:r>
      <w:r>
        <w:rPr>
          <w:snapToGrid w:val="0"/>
        </w:rPr>
        <w:t>.</w:t>
      </w:r>
    </w:p>
    <w:p>
      <w:pPr>
        <w:pStyle w:val="Subsection"/>
        <w:spacing w:before="140"/>
        <w:rPr>
          <w:snapToGrid w:val="0"/>
        </w:rPr>
      </w:pPr>
      <w:r>
        <w:rPr>
          <w:snapToGrid w:val="0"/>
        </w:rPr>
        <w:tab/>
        <w:t>(6)</w:t>
      </w:r>
      <w:r>
        <w:rPr>
          <w:snapToGrid w:val="0"/>
        </w:rPr>
        <w:tab/>
        <w:t>The managing director may resign his office by notice in writing delivered to the Minister.</w:t>
      </w:r>
    </w:p>
    <w:p>
      <w:pPr>
        <w:pStyle w:val="Subsection"/>
        <w:spacing w:before="140"/>
        <w:rPr>
          <w:snapToGrid w:val="0"/>
        </w:rPr>
      </w:pPr>
      <w:r>
        <w:rPr>
          <w:snapToGrid w:val="0"/>
        </w:rPr>
        <w:tab/>
        <w:t>(7)</w:t>
      </w:r>
      <w:r>
        <w:rPr>
          <w:snapToGrid w:val="0"/>
        </w:rPr>
        <w:tab/>
        <w:t>The managing director may be removed from office by the Governor for any reason mentioned in clause 2(4) of Schedule 1.</w:t>
      </w:r>
    </w:p>
    <w:p>
      <w:pPr>
        <w:pStyle w:val="Subsection"/>
        <w:spacing w:before="140"/>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spacing w:before="100"/>
      </w:pPr>
      <w:r>
        <w:tab/>
        <w:t>[Section 11 amended by No. 39 of 2010 s. 89.]</w:t>
      </w:r>
    </w:p>
    <w:p>
      <w:pPr>
        <w:pStyle w:val="Heading5"/>
        <w:spacing w:before="200"/>
        <w:rPr>
          <w:snapToGrid w:val="0"/>
        </w:rPr>
      </w:pPr>
      <w:bookmarkStart w:id="33" w:name="_Toc457815058"/>
      <w:r>
        <w:rPr>
          <w:rStyle w:val="CharSectno"/>
        </w:rPr>
        <w:t>12</w:t>
      </w:r>
      <w:r>
        <w:rPr>
          <w:snapToGrid w:val="0"/>
        </w:rPr>
        <w:t>.</w:t>
      </w:r>
      <w:r>
        <w:rPr>
          <w:snapToGrid w:val="0"/>
        </w:rPr>
        <w:tab/>
        <w:t>Appointment of staff and consultants</w:t>
      </w:r>
      <w:bookmarkEnd w:id="33"/>
      <w:r>
        <w:rPr>
          <w:snapToGrid w:val="0"/>
        </w:rPr>
        <w:t xml:space="preserve"> </w:t>
      </w:r>
    </w:p>
    <w:p>
      <w:pPr>
        <w:pStyle w:val="Subsection"/>
        <w:spacing w:before="140"/>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w:t>
      </w:r>
      <w:r>
        <w:t xml:space="preserve"> </w:t>
      </w:r>
      <w:r>
        <w:rPr>
          <w:snapToGrid w:val="0"/>
        </w:rPr>
        <w:t>to carry out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the board considers necessary to enable the Commission to carry out its functions.</w:t>
      </w:r>
    </w:p>
    <w:p>
      <w:pPr>
        <w:pStyle w:val="Footnotesection"/>
      </w:pPr>
      <w:r>
        <w:tab/>
        <w:t>[Section 12 amended by No. 45 of 1996 s. 13.]</w:t>
      </w:r>
    </w:p>
    <w:p>
      <w:pPr>
        <w:pStyle w:val="Heading5"/>
        <w:rPr>
          <w:snapToGrid w:val="0"/>
        </w:rPr>
      </w:pPr>
      <w:bookmarkStart w:id="34" w:name="_Toc457815059"/>
      <w:r>
        <w:rPr>
          <w:rStyle w:val="CharSectno"/>
        </w:rPr>
        <w:t>12A</w:t>
      </w:r>
      <w:r>
        <w:rPr>
          <w:snapToGrid w:val="0"/>
        </w:rPr>
        <w:t>.</w:t>
      </w:r>
      <w:r>
        <w:rPr>
          <w:snapToGrid w:val="0"/>
        </w:rPr>
        <w:tab/>
        <w:t>Status of managing director and officers and employees of Commission</w:t>
      </w:r>
      <w:bookmarkEnd w:id="34"/>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4</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35" w:name="_Toc457815060"/>
      <w:r>
        <w:rPr>
          <w:rStyle w:val="CharSectno"/>
        </w:rPr>
        <w:t>13</w:t>
      </w:r>
      <w:r>
        <w:rPr>
          <w:snapToGrid w:val="0"/>
        </w:rPr>
        <w:t>.</w:t>
      </w:r>
      <w:r>
        <w:rPr>
          <w:snapToGrid w:val="0"/>
        </w:rPr>
        <w:tab/>
        <w:t>Use of staff and facilities of departments and instrumentalities</w:t>
      </w:r>
      <w:bookmarkEnd w:id="35"/>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36" w:name="_Toc457815061"/>
      <w:r>
        <w:rPr>
          <w:rStyle w:val="CharSectno"/>
        </w:rPr>
        <w:t>13A</w:t>
      </w:r>
      <w:r>
        <w:rPr>
          <w:snapToGrid w:val="0"/>
        </w:rPr>
        <w:t>.</w:t>
      </w:r>
      <w:r>
        <w:rPr>
          <w:snapToGrid w:val="0"/>
        </w:rPr>
        <w:tab/>
        <w:t>Use of staff and facilities of insurer</w:t>
      </w:r>
      <w:bookmarkEnd w:id="36"/>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37" w:name="_Toc457815062"/>
      <w:r>
        <w:rPr>
          <w:rStyle w:val="CharSectno"/>
        </w:rPr>
        <w:t>14</w:t>
      </w:r>
      <w:r>
        <w:rPr>
          <w:snapToGrid w:val="0"/>
        </w:rPr>
        <w:t>.</w:t>
      </w:r>
      <w:r>
        <w:rPr>
          <w:snapToGrid w:val="0"/>
        </w:rPr>
        <w:tab/>
        <w:t>Superannuation</w:t>
      </w:r>
      <w:bookmarkEnd w:id="37"/>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spacing w:before="80"/>
        <w:ind w:left="890" w:hanging="890"/>
      </w:pPr>
      <w:r>
        <w:tab/>
        <w:t xml:space="preserve">[Section 14 amended by No. 49 of 1992 s. 28.] </w:t>
      </w:r>
    </w:p>
    <w:p>
      <w:pPr>
        <w:pStyle w:val="Heading3"/>
        <w:spacing w:before="180"/>
      </w:pPr>
      <w:bookmarkStart w:id="38" w:name="_Toc446507113"/>
      <w:bookmarkStart w:id="39" w:name="_Toc451162758"/>
      <w:bookmarkStart w:id="40" w:name="_Toc457815063"/>
      <w:r>
        <w:rPr>
          <w:rStyle w:val="CharDivNo"/>
        </w:rPr>
        <w:t>Division 3A</w:t>
      </w:r>
      <w:r>
        <w:t> — </w:t>
      </w:r>
      <w:r>
        <w:rPr>
          <w:rStyle w:val="CharDivText"/>
        </w:rPr>
        <w:t>Strategic development plan and statement of corporate intent</w:t>
      </w:r>
      <w:bookmarkEnd w:id="38"/>
      <w:bookmarkEnd w:id="39"/>
      <w:bookmarkEnd w:id="40"/>
    </w:p>
    <w:p>
      <w:pPr>
        <w:pStyle w:val="Footnoteheading"/>
        <w:spacing w:before="80"/>
      </w:pPr>
      <w:r>
        <w:tab/>
        <w:t>[Heading inserted by No. 28 of 2006 s. 425.]</w:t>
      </w:r>
    </w:p>
    <w:p>
      <w:pPr>
        <w:pStyle w:val="Heading5"/>
        <w:spacing w:before="180"/>
      </w:pPr>
      <w:bookmarkStart w:id="41" w:name="_Toc457815064"/>
      <w:r>
        <w:rPr>
          <w:rStyle w:val="CharSectno"/>
        </w:rPr>
        <w:t>14A</w:t>
      </w:r>
      <w:r>
        <w:t>.</w:t>
      </w:r>
      <w:r>
        <w:tab/>
        <w:t>Duty to observe policy instruments</w:t>
      </w:r>
      <w:bookmarkEnd w:id="41"/>
    </w:p>
    <w:p>
      <w:pPr>
        <w:pStyle w:val="Subsection"/>
        <w:spacing w:before="120"/>
      </w:pPr>
      <w:r>
        <w:tab/>
      </w:r>
      <w:r>
        <w:tab/>
        <w:t>The Commission is to perform its functions in accordance with its strategic development plan and its statement of corporate intent as existing from time to time.</w:t>
      </w:r>
    </w:p>
    <w:p>
      <w:pPr>
        <w:pStyle w:val="Footnotesection"/>
        <w:spacing w:before="80"/>
        <w:ind w:left="890" w:hanging="890"/>
      </w:pPr>
      <w:r>
        <w:tab/>
        <w:t>[Section 14A inserted by No. 28 of 2006 s. 425.]</w:t>
      </w:r>
    </w:p>
    <w:p>
      <w:pPr>
        <w:pStyle w:val="Heading5"/>
        <w:spacing w:before="180"/>
      </w:pPr>
      <w:bookmarkStart w:id="42" w:name="_Toc457815065"/>
      <w:r>
        <w:rPr>
          <w:rStyle w:val="CharSectno"/>
        </w:rPr>
        <w:t>14B</w:t>
      </w:r>
      <w:r>
        <w:t>.</w:t>
      </w:r>
      <w:r>
        <w:tab/>
        <w:t>Strategic development plan and statement of corporate intent</w:t>
      </w:r>
      <w:bookmarkEnd w:id="42"/>
    </w:p>
    <w:p>
      <w:pPr>
        <w:pStyle w:val="Subsection"/>
        <w:spacing w:before="120"/>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spacing w:before="120"/>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r>
        <w:tab/>
        <w:t>[Section 14B inserted by No. 28 of 2006 s. 425.]</w:t>
      </w:r>
    </w:p>
    <w:p>
      <w:pPr>
        <w:pStyle w:val="Heading5"/>
      </w:pPr>
      <w:bookmarkStart w:id="43" w:name="_Toc457815066"/>
      <w:r>
        <w:rPr>
          <w:rStyle w:val="CharSectno"/>
        </w:rPr>
        <w:t>14C</w:t>
      </w:r>
      <w:r>
        <w:t>.</w:t>
      </w:r>
      <w:r>
        <w:tab/>
        <w:t>Laying directions about strategic development plan or statement of corporate intent before Parliament</w:t>
      </w:r>
      <w:bookmarkEnd w:id="43"/>
    </w:p>
    <w:p>
      <w:pPr>
        <w:pStyle w:val="Subsection"/>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Sch. 1 cl. 91(2).]</w:t>
      </w:r>
    </w:p>
    <w:p>
      <w:pPr>
        <w:pStyle w:val="Heading3"/>
        <w:spacing w:before="180"/>
        <w:rPr>
          <w:snapToGrid w:val="0"/>
        </w:rPr>
      </w:pPr>
      <w:bookmarkStart w:id="44" w:name="_Toc446507117"/>
      <w:bookmarkStart w:id="45" w:name="_Toc451162762"/>
      <w:bookmarkStart w:id="46" w:name="_Toc457815067"/>
      <w:r>
        <w:rPr>
          <w:rStyle w:val="CharDivNo"/>
        </w:rPr>
        <w:t>Division 4</w:t>
      </w:r>
      <w:r>
        <w:rPr>
          <w:snapToGrid w:val="0"/>
        </w:rPr>
        <w:t> — </w:t>
      </w:r>
      <w:r>
        <w:rPr>
          <w:rStyle w:val="CharDivText"/>
        </w:rPr>
        <w:t>Financial provisions relating to the Commission</w:t>
      </w:r>
      <w:bookmarkEnd w:id="44"/>
      <w:bookmarkEnd w:id="45"/>
      <w:bookmarkEnd w:id="46"/>
      <w:r>
        <w:rPr>
          <w:rStyle w:val="CharDivText"/>
        </w:rPr>
        <w:t xml:space="preserve"> </w:t>
      </w:r>
    </w:p>
    <w:p>
      <w:pPr>
        <w:pStyle w:val="Heading4"/>
        <w:spacing w:before="180"/>
        <w:rPr>
          <w:snapToGrid w:val="0"/>
        </w:rPr>
      </w:pPr>
      <w:bookmarkStart w:id="47" w:name="_Toc446507118"/>
      <w:bookmarkStart w:id="48" w:name="_Toc451162763"/>
      <w:bookmarkStart w:id="49" w:name="_Toc457815068"/>
      <w:r>
        <w:rPr>
          <w:snapToGrid w:val="0"/>
        </w:rPr>
        <w:t>Subdivision A — Income, expenditure and property of the Commission</w:t>
      </w:r>
      <w:bookmarkEnd w:id="47"/>
      <w:bookmarkEnd w:id="48"/>
      <w:bookmarkEnd w:id="49"/>
      <w:r>
        <w:rPr>
          <w:snapToGrid w:val="0"/>
        </w:rPr>
        <w:t xml:space="preserve"> </w:t>
      </w:r>
    </w:p>
    <w:p>
      <w:pPr>
        <w:pStyle w:val="Heading5"/>
        <w:spacing w:before="180"/>
        <w:rPr>
          <w:snapToGrid w:val="0"/>
        </w:rPr>
      </w:pPr>
      <w:bookmarkStart w:id="50" w:name="_Toc457815069"/>
      <w:r>
        <w:rPr>
          <w:rStyle w:val="CharSectno"/>
        </w:rPr>
        <w:t>15</w:t>
      </w:r>
      <w:r>
        <w:rPr>
          <w:snapToGrid w:val="0"/>
        </w:rPr>
        <w:t>.</w:t>
      </w:r>
      <w:r>
        <w:rPr>
          <w:snapToGrid w:val="0"/>
        </w:rPr>
        <w:tab/>
        <w:t>Moneys available to Commission</w:t>
      </w:r>
      <w:bookmarkEnd w:id="50"/>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Ednotepara"/>
        <w:spacing w:before="80"/>
        <w:rPr>
          <w:snapToGrid w:val="0"/>
        </w:rPr>
      </w:pPr>
      <w:r>
        <w:tab/>
        <w:t>[(d)</w:t>
      </w:r>
      <w:r>
        <w:tab/>
        <w:t>deleted]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Footnotesection"/>
        <w:spacing w:before="80"/>
        <w:ind w:left="890" w:hanging="890"/>
      </w:pPr>
      <w:r>
        <w:tab/>
        <w:t>[Section 15 amended by No. 45 of 1996 s. 14.]</w:t>
      </w:r>
    </w:p>
    <w:p>
      <w:pPr>
        <w:pStyle w:val="Heading5"/>
        <w:spacing w:before="180"/>
        <w:rPr>
          <w:snapToGrid w:val="0"/>
        </w:rPr>
      </w:pPr>
      <w:bookmarkStart w:id="51" w:name="_Toc381881068"/>
      <w:bookmarkStart w:id="52" w:name="_Toc450913393"/>
      <w:bookmarkStart w:id="53" w:name="_Toc457815070"/>
      <w:r>
        <w:rPr>
          <w:rStyle w:val="CharSectno"/>
        </w:rPr>
        <w:t>16</w:t>
      </w:r>
      <w:r>
        <w:rPr>
          <w:snapToGrid w:val="0"/>
        </w:rPr>
        <w:t>.</w:t>
      </w:r>
      <w:r>
        <w:rPr>
          <w:snapToGrid w:val="0"/>
        </w:rPr>
        <w:tab/>
        <w:t>Establishment and composition of Funds</w:t>
      </w:r>
      <w:bookmarkEnd w:id="51"/>
      <w:bookmarkEnd w:id="52"/>
      <w:bookmarkEnd w:id="53"/>
      <w:r>
        <w:rPr>
          <w:snapToGrid w:val="0"/>
        </w:rPr>
        <w:t xml:space="preserve"> </w:t>
      </w:r>
    </w:p>
    <w:p>
      <w:pPr>
        <w:pStyle w:val="Subsection"/>
        <w:spacing w:before="120"/>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pPr>
      <w:r>
        <w:tab/>
        <w:t>(b)</w:t>
      </w:r>
      <w:r>
        <w:tab/>
        <w:t>a fund to be called the “Motor Vehicle (Catastrophic Injuries)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spacing w:before="120"/>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spacing w:before="120"/>
        <w:rPr>
          <w:snapToGrid w:val="0"/>
        </w:rPr>
      </w:pPr>
      <w:r>
        <w:rPr>
          <w:snapToGrid w:val="0"/>
        </w:rPr>
        <w:tab/>
        <w:t>(2)</w:t>
      </w:r>
      <w:r>
        <w:rPr>
          <w:snapToGrid w:val="0"/>
        </w:rPr>
        <w:tab/>
        <w:t>The Third Party Insurance Fund shall consist of — </w:t>
      </w:r>
    </w:p>
    <w:p>
      <w:pPr>
        <w:pStyle w:val="Indenta"/>
        <w:spacing w:before="60"/>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spacing w:before="60"/>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spacing w:before="60"/>
        <w:rPr>
          <w:snapToGrid w:val="0"/>
        </w:rPr>
      </w:pPr>
      <w:r>
        <w:rPr>
          <w:snapToGrid w:val="0"/>
        </w:rPr>
        <w:tab/>
        <w:t>(c)</w:t>
      </w:r>
      <w:r>
        <w:rPr>
          <w:snapToGrid w:val="0"/>
        </w:rPr>
        <w:tab/>
        <w:t>moneys or other property credited, apportioned or transferred to that Fund under section 17 or 18,</w:t>
      </w:r>
    </w:p>
    <w:p>
      <w:pPr>
        <w:pStyle w:val="Subsection"/>
        <w:spacing w:before="100"/>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pPr>
      <w:r>
        <w:tab/>
        <w:t>(3)</w:t>
      </w:r>
      <w:r>
        <w:tab/>
        <w:t>The Motor Vehicle (Catastrophic Injuries) Fund shall consist of — </w:t>
      </w:r>
    </w:p>
    <w:p>
      <w:pPr>
        <w:pStyle w:val="Indenta"/>
      </w:pPr>
      <w:r>
        <w:tab/>
        <w:t>(a)</w:t>
      </w:r>
      <w:r>
        <w:tab/>
        <w:t>moneys appropriated for, or derived from or in connection with, the Commission’s functions under section 6(aa) or its functions under section 6(e) in so far as they relate to personal injury; and</w:t>
      </w:r>
    </w:p>
    <w:p>
      <w:pPr>
        <w:pStyle w:val="Indenta"/>
      </w:pPr>
      <w:r>
        <w:tab/>
        <w:t>(b)</w:t>
      </w:r>
      <w:r>
        <w:tab/>
        <w:t>other property received or acquired by the Commission in connection with the Commission’s functions referred to in paragraph (a); and</w:t>
      </w:r>
    </w:p>
    <w:p>
      <w:pPr>
        <w:pStyle w:val="Indenta"/>
      </w:pPr>
      <w:r>
        <w:tab/>
        <w:t>(c)</w:t>
      </w:r>
      <w:r>
        <w:tab/>
        <w:t>moneys or other property credited, apportioned or transferred to that Fund under section 17 or 18,</w:t>
      </w:r>
    </w:p>
    <w:p>
      <w:pPr>
        <w:pStyle w:val="Subsection"/>
      </w:pPr>
      <w:r>
        <w:tab/>
      </w:r>
      <w:r>
        <w:tab/>
        <w:t>and, subject to section 18, may be applied for the purpose of carrying out the Commission’s functions referred to in paragraph (a) and for that purpose only.</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ind w:left="890" w:hanging="890"/>
      </w:pPr>
      <w:r>
        <w:tab/>
        <w:t>[Section 16 amended by No. 45 of 1996 s. 15; No. 49 of 1996 s. 64; No. 34 of 2002 s. 8; No. 77 of 2006 Sch. 1 cl. 91(3) and (4); No. 8 of 2009 s. 79(3); No. 8 of 2016 s. 41.]</w:t>
      </w:r>
    </w:p>
    <w:p>
      <w:pPr>
        <w:pStyle w:val="Heading5"/>
        <w:rPr>
          <w:snapToGrid w:val="0"/>
        </w:rPr>
      </w:pPr>
      <w:bookmarkStart w:id="54" w:name="_Toc457815071"/>
      <w:r>
        <w:rPr>
          <w:rStyle w:val="CharSectno"/>
        </w:rPr>
        <w:t>17</w:t>
      </w:r>
      <w:r>
        <w:rPr>
          <w:snapToGrid w:val="0"/>
        </w:rPr>
        <w:t>.</w:t>
      </w:r>
      <w:r>
        <w:rPr>
          <w:snapToGrid w:val="0"/>
        </w:rPr>
        <w:tab/>
        <w:t>Apportionment of income, expenditure and assets</w:t>
      </w:r>
      <w:bookmarkEnd w:id="54"/>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55" w:name="_Toc457815072"/>
      <w:r>
        <w:rPr>
          <w:rStyle w:val="CharSectno"/>
        </w:rPr>
        <w:t>18</w:t>
      </w:r>
      <w:r>
        <w:rPr>
          <w:snapToGrid w:val="0"/>
        </w:rPr>
        <w:t>.</w:t>
      </w:r>
      <w:r>
        <w:rPr>
          <w:snapToGrid w:val="0"/>
        </w:rPr>
        <w:tab/>
        <w:t>Transfer between Funds</w:t>
      </w:r>
      <w:bookmarkEnd w:id="55"/>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 xml:space="preserve">in respect of the Third Party Insurance Fund, </w:t>
      </w:r>
      <w:r>
        <w:t xml:space="preserve">the Motor Vehicle (Catastrophic Injuries) Fund, </w:t>
      </w:r>
      <w:r>
        <w:rPr>
          <w:snapToGrid w:val="0"/>
        </w:rPr>
        <w:t>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Ednotesubsection"/>
        <w:spacing w:before="120"/>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r>
      <w:bookmarkStart w:id="56" w:name="_Toc446507123"/>
      <w:r>
        <w:t>[Section 18 amended by No. 6 of 1993 s. 11; No. 34 of 2002 s. 9; No. 77 of 2006 s. 4 and Sch. 1 cl. 91(5)</w:t>
      </w:r>
      <w:r>
        <w:rPr>
          <w:spacing w:val="-4"/>
        </w:rPr>
        <w:t>; No. 47 of 2011 s.</w:t>
      </w:r>
      <w:r>
        <w:t> 6; No. 8 of 2016 s. 42.]</w:t>
      </w:r>
      <w:bookmarkEnd w:id="56"/>
      <w:r>
        <w:t xml:space="preserve"> </w:t>
      </w:r>
    </w:p>
    <w:p>
      <w:pPr>
        <w:pStyle w:val="Heading4"/>
        <w:keepLines/>
        <w:spacing w:before="180"/>
        <w:rPr>
          <w:snapToGrid w:val="0"/>
        </w:rPr>
      </w:pPr>
      <w:bookmarkStart w:id="57" w:name="_Toc451162768"/>
      <w:bookmarkStart w:id="58" w:name="_Toc457815073"/>
      <w:r>
        <w:tab/>
      </w:r>
      <w:bookmarkStart w:id="59" w:name="_Toc444167857"/>
      <w:r>
        <w:rPr>
          <w:snapToGrid w:val="0"/>
        </w:rPr>
        <w:t>Subdivision Aa — Investment and property management</w:t>
      </w:r>
      <w:bookmarkEnd w:id="59"/>
      <w:bookmarkEnd w:id="57"/>
      <w:bookmarkEnd w:id="58"/>
      <w:r>
        <w:rPr>
          <w:snapToGrid w:val="0"/>
        </w:rPr>
        <w:t xml:space="preserve"> </w:t>
      </w:r>
    </w:p>
    <w:p>
      <w:pPr>
        <w:pStyle w:val="Footnoteheading"/>
        <w:keepNext/>
        <w:keepLines/>
      </w:pPr>
      <w:r>
        <w:tab/>
        <w:t>[Heading inserted by No. 45 of 1996 s. 17.]</w:t>
      </w:r>
    </w:p>
    <w:p>
      <w:pPr>
        <w:pStyle w:val="Heading5"/>
        <w:spacing w:before="180"/>
        <w:rPr>
          <w:snapToGrid w:val="0"/>
        </w:rPr>
      </w:pPr>
      <w:bookmarkStart w:id="60" w:name="_Toc457815074"/>
      <w:r>
        <w:rPr>
          <w:rStyle w:val="CharSectno"/>
        </w:rPr>
        <w:t>19</w:t>
      </w:r>
      <w:r>
        <w:rPr>
          <w:snapToGrid w:val="0"/>
        </w:rPr>
        <w:t>.</w:t>
      </w:r>
      <w:r>
        <w:rPr>
          <w:snapToGrid w:val="0"/>
        </w:rPr>
        <w:tab/>
        <w:t>Arrangements for appointment of investment managers</w:t>
      </w:r>
      <w:bookmarkEnd w:id="60"/>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61" w:name="_Toc457815075"/>
      <w:r>
        <w:rPr>
          <w:rStyle w:val="CharSectno"/>
        </w:rPr>
        <w:t>19A</w:t>
      </w:r>
      <w:r>
        <w:rPr>
          <w:snapToGrid w:val="0"/>
        </w:rPr>
        <w:t>.</w:t>
      </w:r>
      <w:r>
        <w:rPr>
          <w:snapToGrid w:val="0"/>
        </w:rPr>
        <w:tab/>
        <w:t>Investment policy</w:t>
      </w:r>
      <w:bookmarkEnd w:id="61"/>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spacing w:before="180"/>
        <w:rPr>
          <w:snapToGrid w:val="0"/>
        </w:rPr>
      </w:pPr>
      <w:bookmarkStart w:id="62" w:name="_Toc446507126"/>
      <w:bookmarkStart w:id="63" w:name="_Toc451162771"/>
      <w:bookmarkStart w:id="64" w:name="_Toc457815076"/>
      <w:r>
        <w:rPr>
          <w:snapToGrid w:val="0"/>
        </w:rPr>
        <w:t>Subdivision B — Financial administration, audit and reporting</w:t>
      </w:r>
      <w:bookmarkEnd w:id="62"/>
      <w:bookmarkEnd w:id="63"/>
      <w:bookmarkEnd w:id="64"/>
      <w:r>
        <w:rPr>
          <w:snapToGrid w:val="0"/>
        </w:rPr>
        <w:t xml:space="preserve"> </w:t>
      </w:r>
    </w:p>
    <w:p>
      <w:pPr>
        <w:pStyle w:val="Heading5"/>
        <w:spacing w:before="180"/>
        <w:rPr>
          <w:snapToGrid w:val="0"/>
        </w:rPr>
      </w:pPr>
      <w:bookmarkStart w:id="65" w:name="_Toc457815077"/>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65"/>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Sch. 1 cl. 91(6).]</w:t>
      </w:r>
    </w:p>
    <w:p>
      <w:pPr>
        <w:pStyle w:val="Heading5"/>
        <w:spacing w:before="180"/>
        <w:rPr>
          <w:snapToGrid w:val="0"/>
        </w:rPr>
      </w:pPr>
      <w:bookmarkStart w:id="66" w:name="_Toc457815078"/>
      <w:r>
        <w:rPr>
          <w:rStyle w:val="CharSectno"/>
        </w:rPr>
        <w:t>21</w:t>
      </w:r>
      <w:r>
        <w:rPr>
          <w:snapToGrid w:val="0"/>
        </w:rPr>
        <w:t>.</w:t>
      </w:r>
      <w:r>
        <w:rPr>
          <w:snapToGrid w:val="0"/>
        </w:rPr>
        <w:tab/>
        <w:t>Provisions and reserves</w:t>
      </w:r>
      <w:bookmarkEnd w:id="66"/>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180"/>
        <w:rPr>
          <w:snapToGrid w:val="0"/>
        </w:rPr>
      </w:pPr>
      <w:bookmarkStart w:id="67" w:name="_Toc457815079"/>
      <w:r>
        <w:rPr>
          <w:rStyle w:val="CharSectno"/>
        </w:rPr>
        <w:t>22</w:t>
      </w:r>
      <w:r>
        <w:rPr>
          <w:snapToGrid w:val="0"/>
        </w:rPr>
        <w:t>.</w:t>
      </w:r>
      <w:r>
        <w:rPr>
          <w:snapToGrid w:val="0"/>
        </w:rPr>
        <w:tab/>
        <w:t>Accounts</w:t>
      </w:r>
      <w:bookmarkEnd w:id="67"/>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keepLines w:val="0"/>
        <w:spacing w:before="80"/>
        <w:ind w:left="890" w:hanging="890"/>
      </w:pPr>
      <w:r>
        <w:tab/>
        <w:t>[Section 22 amended by No. 45 of 1996 s. 18; No. 77 of 2006 Sch. 1 cl. 91(7).]</w:t>
      </w:r>
    </w:p>
    <w:p>
      <w:pPr>
        <w:pStyle w:val="Heading5"/>
        <w:spacing w:before="240"/>
        <w:rPr>
          <w:snapToGrid w:val="0"/>
        </w:rPr>
      </w:pPr>
      <w:bookmarkStart w:id="68" w:name="_Toc457815080"/>
      <w:r>
        <w:rPr>
          <w:rStyle w:val="CharSectno"/>
        </w:rPr>
        <w:t>23</w:t>
      </w:r>
      <w:r>
        <w:rPr>
          <w:snapToGrid w:val="0"/>
        </w:rPr>
        <w:t>.</w:t>
      </w:r>
      <w:r>
        <w:rPr>
          <w:snapToGrid w:val="0"/>
        </w:rPr>
        <w:tab/>
        <w:t>Annual reports, financial statements</w:t>
      </w:r>
      <w:bookmarkEnd w:id="68"/>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Sch. 1 cl. 91(8) and (9).] </w:t>
      </w:r>
    </w:p>
    <w:p>
      <w:pPr>
        <w:pStyle w:val="Heading4"/>
        <w:rPr>
          <w:snapToGrid w:val="0"/>
        </w:rPr>
      </w:pPr>
      <w:bookmarkStart w:id="69" w:name="_Toc446507131"/>
      <w:bookmarkStart w:id="70" w:name="_Toc451162776"/>
      <w:bookmarkStart w:id="71" w:name="_Toc457815081"/>
      <w:r>
        <w:rPr>
          <w:snapToGrid w:val="0"/>
        </w:rPr>
        <w:t>Subdivision C — Borrowing and financial accommodation</w:t>
      </w:r>
      <w:bookmarkEnd w:id="69"/>
      <w:bookmarkEnd w:id="70"/>
      <w:bookmarkEnd w:id="71"/>
      <w:r>
        <w:rPr>
          <w:snapToGrid w:val="0"/>
        </w:rPr>
        <w:t xml:space="preserve"> </w:t>
      </w:r>
    </w:p>
    <w:p>
      <w:pPr>
        <w:pStyle w:val="Heading5"/>
        <w:rPr>
          <w:snapToGrid w:val="0"/>
        </w:rPr>
      </w:pPr>
      <w:bookmarkStart w:id="72" w:name="_Toc457815082"/>
      <w:r>
        <w:rPr>
          <w:rStyle w:val="CharSectno"/>
        </w:rPr>
        <w:t>24</w:t>
      </w:r>
      <w:r>
        <w:rPr>
          <w:snapToGrid w:val="0"/>
        </w:rPr>
        <w:t>.</w:t>
      </w:r>
      <w:r>
        <w:rPr>
          <w:snapToGrid w:val="0"/>
        </w:rPr>
        <w:tab/>
        <w:t>Power to borrow etc., generally</w:t>
      </w:r>
      <w:bookmarkEnd w:id="72"/>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keepNext/>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73" w:name="_Toc457815083"/>
      <w:r>
        <w:rPr>
          <w:rStyle w:val="CharSectno"/>
        </w:rPr>
        <w:t>25</w:t>
      </w:r>
      <w:r>
        <w:rPr>
          <w:snapToGrid w:val="0"/>
        </w:rPr>
        <w:t>.</w:t>
      </w:r>
      <w:r>
        <w:rPr>
          <w:snapToGrid w:val="0"/>
        </w:rPr>
        <w:tab/>
        <w:t>Power to make provision to pay off loans</w:t>
      </w:r>
      <w:bookmarkEnd w:id="73"/>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74" w:name="_Toc457815084"/>
      <w:r>
        <w:rPr>
          <w:rStyle w:val="CharSectno"/>
        </w:rPr>
        <w:t>26</w:t>
      </w:r>
      <w:r>
        <w:rPr>
          <w:snapToGrid w:val="0"/>
        </w:rPr>
        <w:t>.</w:t>
      </w:r>
      <w:r>
        <w:rPr>
          <w:snapToGrid w:val="0"/>
        </w:rPr>
        <w:tab/>
        <w:t>Borrowing power, from Treasury sources</w:t>
      </w:r>
      <w:bookmarkEnd w:id="74"/>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75" w:name="_Toc457815085"/>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Specific</w:t>
          </w:r>
        </w:smartTag>
        <w:r>
          <w:rPr>
            <w:snapToGrid w:val="0"/>
          </w:rPr>
          <w:t xml:space="preserve"> </w:t>
        </w:r>
        <w:smartTag w:uri="urn:schemas-microsoft-com:office:smarttags" w:element="PlaceType">
          <w:r>
            <w:rPr>
              <w:snapToGrid w:val="0"/>
            </w:rPr>
            <w:t>State</w:t>
          </w:r>
        </w:smartTag>
      </w:smartTag>
      <w:r>
        <w:rPr>
          <w:snapToGrid w:val="0"/>
        </w:rPr>
        <w:t xml:space="preserve"> guarantees</w:t>
      </w:r>
      <w:bookmarkEnd w:id="75"/>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keepNext/>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4"/>
        <w:pageBreakBefore/>
        <w:spacing w:before="0"/>
      </w:pPr>
      <w:bookmarkStart w:id="76" w:name="_Toc446507136"/>
      <w:bookmarkStart w:id="77" w:name="_Toc451162781"/>
      <w:bookmarkStart w:id="78" w:name="_Toc457815086"/>
      <w:r>
        <w:t>Subdivision D — Dividends to State</w:t>
      </w:r>
      <w:bookmarkEnd w:id="76"/>
      <w:bookmarkEnd w:id="77"/>
      <w:bookmarkEnd w:id="78"/>
    </w:p>
    <w:p>
      <w:pPr>
        <w:pStyle w:val="Footnoteheading"/>
        <w:keepNext/>
      </w:pPr>
      <w:r>
        <w:tab/>
        <w:t>[Heading inserted by No. 7 of 2013 s. 4.]</w:t>
      </w:r>
    </w:p>
    <w:p>
      <w:pPr>
        <w:pStyle w:val="Heading5"/>
      </w:pPr>
      <w:bookmarkStart w:id="79" w:name="_Toc457815087"/>
      <w:r>
        <w:rPr>
          <w:rStyle w:val="CharSectno"/>
        </w:rPr>
        <w:t>28</w:t>
      </w:r>
      <w:r>
        <w:t>.</w:t>
      </w:r>
      <w:r>
        <w:tab/>
        <w:t>Interim dividend</w:t>
      </w:r>
      <w:bookmarkEnd w:id="79"/>
    </w:p>
    <w:p>
      <w:pPr>
        <w:pStyle w:val="Subsection"/>
      </w:pPr>
      <w:r>
        <w:tab/>
        <w:t>(1)</w:t>
      </w:r>
      <w:r>
        <w:tab/>
        <w:t xml:space="preserve">Not later than the last day of February in each financial year, the Commission must give the Minister a written report that — </w:t>
      </w:r>
    </w:p>
    <w:p>
      <w:pPr>
        <w:pStyle w:val="Indenta"/>
      </w:pPr>
      <w:r>
        <w:tab/>
        <w:t>(a)</w:t>
      </w:r>
      <w:r>
        <w:tab/>
        <w:t>sets out a forecast of the Commission’s net profits for that financial year, prepared in accordance with generally accepted accounting practice; and</w:t>
      </w:r>
    </w:p>
    <w:p>
      <w:pPr>
        <w:pStyle w:val="Indenta"/>
      </w:pPr>
      <w:r>
        <w:tab/>
        <w:t>(b)</w:t>
      </w:r>
      <w:r>
        <w:tab/>
        <w:t>states any factors or circumstances that the Commission has taken into account in accordance with subsection (2) in preparing the forecast and the report’s recommendation; and</w:t>
      </w:r>
    </w:p>
    <w:p>
      <w:pPr>
        <w:pStyle w:val="Indenta"/>
      </w:pPr>
      <w:r>
        <w:tab/>
        <w:t>(c)</w:t>
      </w:r>
      <w:r>
        <w:tab/>
        <w:t xml:space="preserve">recommends — </w:t>
      </w:r>
    </w:p>
    <w:p>
      <w:pPr>
        <w:pStyle w:val="Indenti"/>
      </w:pPr>
      <w:r>
        <w:tab/>
        <w:t>(i)</w:t>
      </w:r>
      <w:r>
        <w:tab/>
        <w:t>whether the Commission should pay the State an interim dividend for that financial year; and</w:t>
      </w:r>
    </w:p>
    <w:p>
      <w:pPr>
        <w:pStyle w:val="Indenti"/>
      </w:pPr>
      <w:r>
        <w:tab/>
        <w:t>(ii)</w:t>
      </w:r>
      <w:r>
        <w:tab/>
        <w:t>the amount of the interim dividend (if any).</w:t>
      </w:r>
    </w:p>
    <w:p>
      <w:pPr>
        <w:pStyle w:val="Subsection"/>
      </w:pPr>
      <w:r>
        <w:tab/>
        <w:t>(2)</w:t>
      </w:r>
      <w:r>
        <w:tab/>
        <w:t>The profit forecast and recommendation may take into account any factors or circumstances that in the Commission’s opinion may have a material effect on the Commission’s financial position (either positively or negatively) as at the end of that financial year.</w:t>
      </w:r>
    </w:p>
    <w:p>
      <w:pPr>
        <w:pStyle w:val="Subsection"/>
      </w:pPr>
      <w:r>
        <w:tab/>
        <w:t>(3)</w:t>
      </w:r>
      <w:r>
        <w:tab/>
        <w:t>On receiving a report under subsection (1), the Minister must —</w:t>
      </w:r>
    </w:p>
    <w:p>
      <w:pPr>
        <w:pStyle w:val="Indenta"/>
      </w:pPr>
      <w:r>
        <w:tab/>
        <w:t>(a)</w:t>
      </w:r>
      <w:r>
        <w:tab/>
        <w:t xml:space="preserve">with the Treasurer’s concurrence, either — </w:t>
      </w:r>
    </w:p>
    <w:p>
      <w:pPr>
        <w:pStyle w:val="Indenti"/>
      </w:pPr>
      <w:r>
        <w:tab/>
        <w:t>(i)</w:t>
      </w:r>
      <w:r>
        <w:tab/>
        <w:t>accept the report’s recommendation on the amount of the interim dividend; or</w:t>
      </w:r>
    </w:p>
    <w:p>
      <w:pPr>
        <w:pStyle w:val="Indenti"/>
      </w:pPr>
      <w:r>
        <w:tab/>
        <w:t>(ii)</w:t>
      </w:r>
      <w:r>
        <w:tab/>
        <w:t>after consulting the Commission, reject the report’s recommendation and fix a different amount (which may be a nil amount) as the amount of the interim dividend;</w:t>
      </w:r>
    </w:p>
    <w:p>
      <w:pPr>
        <w:pStyle w:val="Indenta"/>
      </w:pPr>
      <w:r>
        <w:tab/>
      </w:r>
      <w:r>
        <w:tab/>
        <w:t>and</w:t>
      </w:r>
    </w:p>
    <w:p>
      <w:pPr>
        <w:pStyle w:val="Indenta"/>
      </w:pPr>
      <w:r>
        <w:tab/>
        <w:t>(b)</w:t>
      </w:r>
      <w:r>
        <w:tab/>
        <w:t>notify the Commission of the Minister’s decision and the amount of the interim dividend (if any) payable by the Commission.</w:t>
      </w:r>
    </w:p>
    <w:p>
      <w:pPr>
        <w:pStyle w:val="Subsection"/>
      </w:pPr>
      <w:r>
        <w:tab/>
        <w:t>(4)</w:t>
      </w:r>
      <w:r>
        <w:tab/>
        <w:t>On receiving a notice under subsection (3)(b), the Commission must pay to the State the amount of the interim dividend (if any) notified to the Commission —</w:t>
      </w:r>
    </w:p>
    <w:p>
      <w:pPr>
        <w:pStyle w:val="Indenta"/>
      </w:pPr>
      <w:r>
        <w:tab/>
        <w:t>(a)</w:t>
      </w:r>
      <w:r>
        <w:tab/>
        <w:t>as soon as practicable; but</w:t>
      </w:r>
    </w:p>
    <w:p>
      <w:pPr>
        <w:pStyle w:val="Indenta"/>
      </w:pPr>
      <w:r>
        <w:tab/>
        <w:t>(b)</w:t>
      </w:r>
      <w:r>
        <w:tab/>
        <w:t>in any event before the end of the financial year concerned.</w:t>
      </w:r>
    </w:p>
    <w:p>
      <w:pPr>
        <w:pStyle w:val="Footnotesection"/>
      </w:pPr>
      <w:r>
        <w:tab/>
        <w:t>[Section 28 inserted by No. 7 of 2013 s. 4.]</w:t>
      </w:r>
    </w:p>
    <w:p>
      <w:pPr>
        <w:pStyle w:val="Heading5"/>
      </w:pPr>
      <w:bookmarkStart w:id="80" w:name="_Toc457815088"/>
      <w:r>
        <w:rPr>
          <w:rStyle w:val="CharSectno"/>
        </w:rPr>
        <w:t>29</w:t>
      </w:r>
      <w:r>
        <w:t>.</w:t>
      </w:r>
      <w:r>
        <w:tab/>
        <w:t>Annual dividend</w:t>
      </w:r>
      <w:bookmarkEnd w:id="80"/>
    </w:p>
    <w:p>
      <w:pPr>
        <w:pStyle w:val="Subsection"/>
      </w:pPr>
      <w:r>
        <w:tab/>
        <w:t>(1)</w:t>
      </w:r>
      <w:r>
        <w:tab/>
        <w:t xml:space="preserve">A dividend under this section must be calculated with respect to the Commission’s net profits for a financial year, after first taking into account — </w:t>
      </w:r>
    </w:p>
    <w:p>
      <w:pPr>
        <w:pStyle w:val="Indenta"/>
      </w:pPr>
      <w:r>
        <w:tab/>
        <w:t>(a)</w:t>
      </w:r>
      <w:r>
        <w:tab/>
        <w:t xml:space="preserve">any amount paid or payable to the Treasurer under the </w:t>
      </w:r>
      <w:r>
        <w:rPr>
          <w:i/>
        </w:rPr>
        <w:t>State Enterprises (Commonwealth Tax Equivalents) Act 1996</w:t>
      </w:r>
      <w:r>
        <w:t xml:space="preserve"> for the year; and</w:t>
      </w:r>
    </w:p>
    <w:p>
      <w:pPr>
        <w:pStyle w:val="Indenta"/>
      </w:pPr>
      <w:r>
        <w:tab/>
        <w:t>(b)</w:t>
      </w:r>
      <w:r>
        <w:tab/>
        <w:t>the amount of any interim dividend for the year paid or payable under section 28.</w:t>
      </w:r>
    </w:p>
    <w:p>
      <w:pPr>
        <w:pStyle w:val="Subsection"/>
      </w:pPr>
      <w:r>
        <w:tab/>
        <w:t>(2)</w:t>
      </w:r>
      <w:r>
        <w:tab/>
        <w:t>As soon as practicable after the end of each financial year, the Commission must give the Minister a written report that recommends —</w:t>
      </w:r>
    </w:p>
    <w:p>
      <w:pPr>
        <w:pStyle w:val="Indenta"/>
      </w:pPr>
      <w:r>
        <w:tab/>
        <w:t>(a)</w:t>
      </w:r>
      <w:r>
        <w:tab/>
        <w:t>whether the Commission should pay the State a dividend for that financial year; and</w:t>
      </w:r>
    </w:p>
    <w:p>
      <w:pPr>
        <w:pStyle w:val="Indenta"/>
      </w:pPr>
      <w:r>
        <w:tab/>
        <w:t>(b)</w:t>
      </w:r>
      <w:r>
        <w:tab/>
        <w:t>the amount of the dividend (if any).</w:t>
      </w:r>
    </w:p>
    <w:p>
      <w:pPr>
        <w:pStyle w:val="Subsection"/>
        <w:keepNext/>
      </w:pPr>
      <w:r>
        <w:tab/>
        <w:t>(3)</w:t>
      </w:r>
      <w:r>
        <w:tab/>
        <w:t>On receiving a report under subsection (2), the Minister must —</w:t>
      </w:r>
    </w:p>
    <w:p>
      <w:pPr>
        <w:pStyle w:val="Indenta"/>
      </w:pPr>
      <w:r>
        <w:tab/>
        <w:t>(a)</w:t>
      </w:r>
      <w:r>
        <w:tab/>
        <w:t xml:space="preserve">with the Treasurer’s concurrence, either — </w:t>
      </w:r>
    </w:p>
    <w:p>
      <w:pPr>
        <w:pStyle w:val="Indenti"/>
      </w:pPr>
      <w:r>
        <w:tab/>
        <w:t>(i)</w:t>
      </w:r>
      <w:r>
        <w:tab/>
        <w:t>accept the report’s recommendation on the amount of the dividend; or</w:t>
      </w:r>
    </w:p>
    <w:p>
      <w:pPr>
        <w:pStyle w:val="Indenti"/>
      </w:pPr>
      <w:r>
        <w:tab/>
        <w:t>(ii)</w:t>
      </w:r>
      <w:r>
        <w:tab/>
        <w:t>after consulting the Commission, reject the report’s recommendation and fix a different amount (which may be a nil amount) as the amount of the dividend;</w:t>
      </w:r>
    </w:p>
    <w:p>
      <w:pPr>
        <w:pStyle w:val="Indenta"/>
      </w:pPr>
      <w:r>
        <w:tab/>
      </w:r>
      <w:r>
        <w:tab/>
        <w:t>and</w:t>
      </w:r>
    </w:p>
    <w:p>
      <w:pPr>
        <w:pStyle w:val="Indenta"/>
      </w:pPr>
      <w:r>
        <w:tab/>
        <w:t>(b)</w:t>
      </w:r>
      <w:r>
        <w:tab/>
        <w:t>notify the Commission of the Minister’s decision and the amount of the dividend (if any) payable by the Commission.</w:t>
      </w:r>
    </w:p>
    <w:p>
      <w:pPr>
        <w:pStyle w:val="Subsection"/>
        <w:spacing w:before="130"/>
      </w:pPr>
      <w:r>
        <w:tab/>
        <w:t>(4)</w:t>
      </w:r>
      <w:r>
        <w:tab/>
        <w:t>On receiving a notice under subsection (3)(b), the Commission must pay to the State the amount of the dividend (if any) notified to the Commission —</w:t>
      </w:r>
    </w:p>
    <w:p>
      <w:pPr>
        <w:pStyle w:val="Indenta"/>
        <w:spacing w:before="60"/>
      </w:pPr>
      <w:r>
        <w:tab/>
        <w:t>(a)</w:t>
      </w:r>
      <w:r>
        <w:tab/>
        <w:t>as soon as practicable; but</w:t>
      </w:r>
    </w:p>
    <w:p>
      <w:pPr>
        <w:pStyle w:val="Indenta"/>
        <w:keepNext/>
      </w:pPr>
      <w:r>
        <w:tab/>
        <w:t>(b)</w:t>
      </w:r>
      <w:r>
        <w:tab/>
        <w:t xml:space="preserve">in any event not later than — </w:t>
      </w:r>
    </w:p>
    <w:p>
      <w:pPr>
        <w:pStyle w:val="Indenti"/>
        <w:spacing w:before="60"/>
      </w:pPr>
      <w:r>
        <w:tab/>
        <w:t>(i)</w:t>
      </w:r>
      <w:r>
        <w:tab/>
        <w:t>6 months after the end of the financial year concerned; or</w:t>
      </w:r>
    </w:p>
    <w:p>
      <w:pPr>
        <w:pStyle w:val="Indenti"/>
        <w:spacing w:before="60"/>
      </w:pPr>
      <w:r>
        <w:tab/>
        <w:t>(ii)</w:t>
      </w:r>
      <w:r>
        <w:tab/>
        <w:t>any later time agreed on by the Treasurer and the Commission.</w:t>
      </w:r>
    </w:p>
    <w:p>
      <w:pPr>
        <w:pStyle w:val="Footnotesection"/>
        <w:spacing w:before="80"/>
      </w:pPr>
      <w:r>
        <w:tab/>
        <w:t>[Section 29 inserted by No. 7 of 2013 s. 4.]</w:t>
      </w:r>
    </w:p>
    <w:p>
      <w:pPr>
        <w:pStyle w:val="Heading5"/>
      </w:pPr>
      <w:bookmarkStart w:id="81" w:name="_Toc457815089"/>
      <w:r>
        <w:rPr>
          <w:rStyle w:val="CharSectno"/>
        </w:rPr>
        <w:t>30</w:t>
      </w:r>
      <w:r>
        <w:t>.</w:t>
      </w:r>
      <w:r>
        <w:tab/>
        <w:t>Provisions for s. 28 and 29</w:t>
      </w:r>
      <w:bookmarkEnd w:id="81"/>
    </w:p>
    <w:p>
      <w:pPr>
        <w:pStyle w:val="Subsection"/>
        <w:spacing w:before="120"/>
      </w:pPr>
      <w:r>
        <w:tab/>
        <w:t>(1)</w:t>
      </w:r>
      <w:r>
        <w:tab/>
        <w:t xml:space="preserve">The accountable authority of the Commission under the </w:t>
      </w:r>
      <w:r>
        <w:rPr>
          <w:i/>
        </w:rPr>
        <w:t>Financial Management Act 2006</w:t>
      </w:r>
      <w:r>
        <w:t xml:space="preserve"> must include the text of each notice given under section 28(3)(b) or 29(3)(b) in relation to a financial year in the annual report for that year submitted under Part 5 of that Act.</w:t>
      </w:r>
    </w:p>
    <w:p>
      <w:pPr>
        <w:pStyle w:val="Subsection"/>
        <w:spacing w:before="120"/>
      </w:pPr>
      <w:r>
        <w:tab/>
        <w:t>(2)</w:t>
      </w:r>
      <w:r>
        <w:tab/>
        <w:t xml:space="preserve">If under section 28(3)(b) or 29(3)(b) the Minister notifies the Commission that the Minister rejects a report’s recommendation and fixes a different amount (other than a nil amount) as the amount of the interim dividend or dividend payable by the Commission, that notification is to be taken to be a direction by the Minister to the Commission for the purposes of the </w:t>
      </w:r>
      <w:r>
        <w:rPr>
          <w:i/>
        </w:rPr>
        <w:t>Statutory Corporations (Liability of Directors) Act 1996</w:t>
      </w:r>
      <w:r>
        <w:t>, and that Act applies accordingly.</w:t>
      </w:r>
    </w:p>
    <w:p>
      <w:pPr>
        <w:pStyle w:val="Subsection"/>
        <w:spacing w:before="120"/>
      </w:pPr>
      <w:r>
        <w:tab/>
        <w:t>(3)</w:t>
      </w:r>
      <w:r>
        <w:tab/>
        <w:t>Any interim dividend or dividend paid under section 28 or 29 must be credited to the Consolidated Account.</w:t>
      </w:r>
    </w:p>
    <w:p>
      <w:pPr>
        <w:pStyle w:val="Footnotesection"/>
        <w:spacing w:before="80"/>
      </w:pPr>
      <w:r>
        <w:tab/>
        <w:t>[Section 30 inserted by No. 7 of 2013 s. 4.]</w:t>
      </w:r>
    </w:p>
    <w:p>
      <w:pPr>
        <w:pStyle w:val="Heading5"/>
        <w:spacing w:before="180"/>
      </w:pPr>
      <w:bookmarkStart w:id="82" w:name="_Toc457815090"/>
      <w:r>
        <w:rPr>
          <w:rStyle w:val="CharSectno"/>
        </w:rPr>
        <w:t>31</w:t>
      </w:r>
      <w:r>
        <w:t>.</w:t>
      </w:r>
      <w:r>
        <w:tab/>
        <w:t xml:space="preserve">Transitional provisions for </w:t>
      </w:r>
      <w:r>
        <w:rPr>
          <w:i/>
        </w:rPr>
        <w:t>Insurance Commission of Western Australia Amendment Act 2013</w:t>
      </w:r>
      <w:r>
        <w:t>: interim dividends</w:t>
      </w:r>
      <w:bookmarkEnd w:id="82"/>
    </w:p>
    <w:p>
      <w:pPr>
        <w:pStyle w:val="Subsection"/>
        <w:spacing w:before="120"/>
      </w:pPr>
      <w:r>
        <w:tab/>
        <w:t>(1)</w:t>
      </w:r>
      <w:r>
        <w:tab/>
        <w:t xml:space="preserve">Section 28 applies in respect of the financial year in which the </w:t>
      </w:r>
      <w:r>
        <w:rPr>
          <w:i/>
        </w:rPr>
        <w:t>Insurance Commission of Western Australia Amendment Act 2013</w:t>
      </w:r>
      <w:r>
        <w:t xml:space="preserve"> section 4 comes into operation</w:t>
      </w:r>
      <w:r>
        <w:rPr>
          <w:vertAlign w:val="superscript"/>
        </w:rPr>
        <w:t> 1</w:t>
      </w:r>
      <w:r>
        <w:t xml:space="preserve"> and subsequent financial years, subject to subsections (2) and (3).</w:t>
      </w:r>
    </w:p>
    <w:p>
      <w:pPr>
        <w:pStyle w:val="Subsection"/>
        <w:spacing w:before="120"/>
      </w:pPr>
      <w:r>
        <w:tab/>
        <w:t>(2)</w:t>
      </w:r>
      <w:r>
        <w:tab/>
        <w:t xml:space="preserve">If the </w:t>
      </w:r>
      <w:r>
        <w:rPr>
          <w:i/>
        </w:rPr>
        <w:t>Insurance Commission of Western Australia Amendment Act 2013</w:t>
      </w:r>
      <w:r>
        <w:t xml:space="preserve"> section 4 comes into operation on or after 1 March and before the close of 30 June in a financial year, section 28 applies in respect of that financial year with the following modifications — </w:t>
      </w:r>
    </w:p>
    <w:p>
      <w:pPr>
        <w:pStyle w:val="Indenta"/>
        <w:spacing w:before="70"/>
      </w:pPr>
      <w:r>
        <w:tab/>
        <w:t>(a)</w:t>
      </w:r>
      <w:r>
        <w:tab/>
        <w:t>the Commission must give the Minister the report referred to in section 28(1) not later than 14 days after section 4 of that Act comes into operation;</w:t>
      </w:r>
    </w:p>
    <w:p>
      <w:pPr>
        <w:pStyle w:val="Indenta"/>
        <w:spacing w:before="70"/>
      </w:pPr>
      <w:r>
        <w:tab/>
        <w:t>(b)</w:t>
      </w:r>
      <w:r>
        <w:tab/>
        <w:t>the Minister must notify the Commission in accordance with section 28(3)(b) as soon as practicable after receiving that report;</w:t>
      </w:r>
    </w:p>
    <w:p>
      <w:pPr>
        <w:pStyle w:val="Indenta"/>
        <w:spacing w:before="70"/>
      </w:pPr>
      <w:r>
        <w:tab/>
        <w:t>(c)</w:t>
      </w:r>
      <w:r>
        <w:tab/>
        <w:t xml:space="preserve">the Commission must pay to the State the amount of the interim dividend (if any) notified to the Commission in accordance with section 28(3)(b) — </w:t>
      </w:r>
    </w:p>
    <w:p>
      <w:pPr>
        <w:pStyle w:val="Indenti"/>
        <w:spacing w:before="70"/>
      </w:pPr>
      <w:r>
        <w:tab/>
        <w:t>(i)</w:t>
      </w:r>
      <w:r>
        <w:tab/>
        <w:t>as soon as practicable; but</w:t>
      </w:r>
    </w:p>
    <w:p>
      <w:pPr>
        <w:pStyle w:val="Indenti"/>
        <w:spacing w:before="70"/>
      </w:pPr>
      <w:r>
        <w:tab/>
        <w:t>(ii)</w:t>
      </w:r>
      <w:r>
        <w:tab/>
        <w:t>in any event not later than a date determined by the Treasurer and notified to the Commission.</w:t>
      </w:r>
    </w:p>
    <w:p>
      <w:pPr>
        <w:pStyle w:val="Subsection"/>
      </w:pPr>
      <w:r>
        <w:tab/>
        <w:t>(3)</w:t>
      </w:r>
      <w:r>
        <w:tab/>
        <w:t xml:space="preserve">If the </w:t>
      </w:r>
      <w:r>
        <w:rPr>
          <w:i/>
        </w:rPr>
        <w:t>Insurance Commission of Western Australia Amendment Act 2013</w:t>
      </w:r>
      <w:r>
        <w:t xml:space="preserve"> section 4 comes into operation on or after 1 July and before 1 September in a financial year, section 28 also applies in respect of the previous financial year with the following modifications — </w:t>
      </w:r>
    </w:p>
    <w:p>
      <w:pPr>
        <w:pStyle w:val="Indenta"/>
      </w:pPr>
      <w:r>
        <w:tab/>
        <w:t>(a)</w:t>
      </w:r>
      <w:r>
        <w:tab/>
        <w:t>the Commission must give the Minister the report referred to in section 28(1) not later than 14 days after section 4 of that Act comes into operation;</w:t>
      </w:r>
    </w:p>
    <w:p>
      <w:pPr>
        <w:pStyle w:val="Indenta"/>
      </w:pPr>
      <w:r>
        <w:tab/>
        <w:t>(b)</w:t>
      </w:r>
      <w:r>
        <w:tab/>
        <w:t>the Minister must notify the Commission in accordance with section 28(3)(b) as soon as practicable after receiving that report;</w:t>
      </w:r>
    </w:p>
    <w:p>
      <w:pPr>
        <w:pStyle w:val="Indenta"/>
      </w:pPr>
      <w:r>
        <w:tab/>
        <w:t>(c)</w:t>
      </w:r>
      <w:r>
        <w:tab/>
        <w:t xml:space="preserve">the Commission must pay to the State the amount of the interim dividend (if any) notified to the Commission in accordance with section 28(3)(b)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Footnotesection"/>
      </w:pPr>
      <w:r>
        <w:tab/>
        <w:t>[Section 31 inserted by No. 7 of 2013 s. 4.]</w:t>
      </w:r>
    </w:p>
    <w:p>
      <w:pPr>
        <w:pStyle w:val="Heading5"/>
      </w:pPr>
      <w:bookmarkStart w:id="83" w:name="_Toc457815091"/>
      <w:r>
        <w:rPr>
          <w:rStyle w:val="CharSectno"/>
        </w:rPr>
        <w:t>32</w:t>
      </w:r>
      <w:r>
        <w:t>.</w:t>
      </w:r>
      <w:r>
        <w:tab/>
        <w:t xml:space="preserve">Transitional provisions for </w:t>
      </w:r>
      <w:r>
        <w:rPr>
          <w:i/>
        </w:rPr>
        <w:t>Insurance Commission of Western Australia Amendment Act 2013</w:t>
      </w:r>
      <w:r>
        <w:t>: annual dividends</w:t>
      </w:r>
      <w:bookmarkEnd w:id="83"/>
    </w:p>
    <w:p>
      <w:pPr>
        <w:pStyle w:val="Subsection"/>
      </w:pPr>
      <w:r>
        <w:tab/>
        <w:t>(1)</w:t>
      </w:r>
      <w:r>
        <w:tab/>
        <w:t xml:space="preserve">Section 29 applies in respect of the financial year immediately before the financial year in which the </w:t>
      </w:r>
      <w:r>
        <w:rPr>
          <w:i/>
        </w:rPr>
        <w:t>Insurance Commission of Western Australia Amendment Act 2013</w:t>
      </w:r>
      <w:r>
        <w:t xml:space="preserve"> section 4 comes into operation</w:t>
      </w:r>
      <w:r>
        <w:rPr>
          <w:vertAlign w:val="superscript"/>
        </w:rPr>
        <w:t> 1</w:t>
      </w:r>
      <w:r>
        <w:t>, the financial year in which section 4 of that Act comes into operation,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September and before the close of 30 June in a financial year (the </w:t>
      </w:r>
      <w:r>
        <w:rPr>
          <w:rStyle w:val="CharDefText"/>
        </w:rPr>
        <w:t>current financial year</w:t>
      </w:r>
      <w:r>
        <w:t xml:space="preserve">), sections 29 and 30(1) apply in respect of the previous financial year with the following modifications — </w:t>
      </w:r>
    </w:p>
    <w:p>
      <w:pPr>
        <w:pStyle w:val="Indenta"/>
      </w:pPr>
      <w:r>
        <w:tab/>
        <w:t>(a)</w:t>
      </w:r>
      <w:r>
        <w:tab/>
        <w:t>the Commission must give the Minister the report referred to in section 29(2) as soon as practicable after section 4 of that Act comes into operation;</w:t>
      </w:r>
    </w:p>
    <w:p>
      <w:pPr>
        <w:pStyle w:val="Indenta"/>
      </w:pPr>
      <w:r>
        <w:tab/>
        <w:t>(b)</w:t>
      </w:r>
      <w:r>
        <w:tab/>
        <w:t xml:space="preserve">on receiving a notice under section 29(3)(b) in respect of that report, the Commission must pay to the State the amount of the dividend (if any) notified to the Commission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Indenta"/>
      </w:pPr>
      <w:r>
        <w:tab/>
        <w:t>(c)</w:t>
      </w:r>
      <w:r>
        <w:tab/>
        <w:t xml:space="preserve">the accountable authority of the Commission under the </w:t>
      </w:r>
      <w:r>
        <w:rPr>
          <w:i/>
        </w:rPr>
        <w:t>Financial Management Act 2006</w:t>
      </w:r>
      <w:r>
        <w:t xml:space="preserve"> must include the text of the notice referred to in paragraph (b) in the annual report for the current financial year submitted under Part 5 of that Act.</w:t>
      </w:r>
    </w:p>
    <w:p>
      <w:pPr>
        <w:pStyle w:val="Subsection"/>
      </w:pPr>
      <w:r>
        <w:tab/>
        <w:t>(3)</w:t>
      </w:r>
      <w:r>
        <w:tab/>
        <w:t xml:space="preserve">If the </w:t>
      </w:r>
      <w:r>
        <w:rPr>
          <w:i/>
        </w:rPr>
        <w:t>Insurance Commission of Western Australia Amendment Act 2013</w:t>
      </w:r>
      <w:r>
        <w:t xml:space="preserve"> section 4 comes into operation before 1 July 2013, section 29 applies only in respect of the financial year ending on 30 June 2013 and subsequent financial years.</w:t>
      </w:r>
    </w:p>
    <w:p>
      <w:pPr>
        <w:pStyle w:val="Footnotesection"/>
      </w:pPr>
      <w:r>
        <w:tab/>
        <w:t>[Section 32 inserted by No. 7 of 2013 s. 4.]</w:t>
      </w:r>
    </w:p>
    <w:p>
      <w:pPr>
        <w:pStyle w:val="Ednotepart"/>
        <w:ind w:left="993" w:hanging="993"/>
      </w:pPr>
      <w:r>
        <w:t>[Part III:</w:t>
      </w:r>
      <w:r>
        <w:tab/>
        <w:t xml:space="preserve">s. 33 </w:t>
      </w:r>
      <w:smartTag w:uri="urn:schemas-microsoft-com:office:smarttags" w:element="State">
        <w:smartTag w:uri="urn:schemas-microsoft-com:office:smarttags" w:element="place">
          <w:r>
            <w:t>del</w:t>
          </w:r>
        </w:smartTag>
      </w:smartTag>
      <w:r>
        <w:t xml:space="preserve">eted by No. 49 of 1992 s. 28; </w:t>
      </w:r>
      <w:r>
        <w:br/>
        <w:t>s. 34</w:t>
      </w:r>
      <w:r>
        <w:noBreakHyphen/>
        <w:t xml:space="preserve">41 </w:t>
      </w:r>
      <w:smartTag w:uri="urn:schemas-microsoft-com:office:smarttags" w:element="State">
        <w:smartTag w:uri="urn:schemas-microsoft-com:office:smarttags" w:element="place">
          <w:r>
            <w:t>del</w:t>
          </w:r>
        </w:smartTag>
      </w:smartTag>
      <w:r>
        <w:t>eted by No. 45 of 1996 s. 20.]</w:t>
      </w:r>
    </w:p>
    <w:p>
      <w:pPr>
        <w:pStyle w:val="Heading2"/>
      </w:pPr>
      <w:bookmarkStart w:id="84" w:name="_Toc446507142"/>
      <w:bookmarkStart w:id="85" w:name="_Toc451162787"/>
      <w:bookmarkStart w:id="86" w:name="_Toc457815092"/>
      <w:r>
        <w:rPr>
          <w:rStyle w:val="CharPartNo"/>
        </w:rPr>
        <w:t>Part IV</w:t>
      </w:r>
      <w:r>
        <w:rPr>
          <w:rStyle w:val="CharDivNo"/>
        </w:rPr>
        <w:t> </w:t>
      </w:r>
      <w:r>
        <w:t>—</w:t>
      </w:r>
      <w:r>
        <w:rPr>
          <w:rStyle w:val="CharDivText"/>
        </w:rPr>
        <w:t> </w:t>
      </w:r>
      <w:r>
        <w:rPr>
          <w:rStyle w:val="CharPartText"/>
        </w:rPr>
        <w:t>General</w:t>
      </w:r>
      <w:bookmarkEnd w:id="84"/>
      <w:bookmarkEnd w:id="85"/>
      <w:bookmarkEnd w:id="86"/>
      <w:r>
        <w:rPr>
          <w:rStyle w:val="CharPartText"/>
        </w:rPr>
        <w:t xml:space="preserve"> </w:t>
      </w:r>
    </w:p>
    <w:p>
      <w:pPr>
        <w:pStyle w:val="Heading5"/>
        <w:rPr>
          <w:snapToGrid w:val="0"/>
        </w:rPr>
      </w:pPr>
      <w:bookmarkStart w:id="87" w:name="_Toc457815093"/>
      <w:r>
        <w:rPr>
          <w:rStyle w:val="CharSectno"/>
        </w:rPr>
        <w:t>42</w:t>
      </w:r>
      <w:r>
        <w:rPr>
          <w:snapToGrid w:val="0"/>
        </w:rPr>
        <w:t>.</w:t>
      </w:r>
      <w:r>
        <w:rPr>
          <w:snapToGrid w:val="0"/>
        </w:rPr>
        <w:tab/>
        <w:t>Secrecy</w:t>
      </w:r>
      <w:bookmarkEnd w:id="87"/>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Footnotesection"/>
      </w:pPr>
      <w:r>
        <w:tab/>
        <w:t xml:space="preserve">[Section 42 amended by No. 49 of 1992 s. 28; No. 45 of 1996 s. 21.] </w:t>
      </w:r>
    </w:p>
    <w:p>
      <w:pPr>
        <w:pStyle w:val="Heading5"/>
        <w:rPr>
          <w:snapToGrid w:val="0"/>
        </w:rPr>
      </w:pPr>
      <w:bookmarkStart w:id="88" w:name="_Toc457815094"/>
      <w:r>
        <w:rPr>
          <w:rStyle w:val="CharSectno"/>
        </w:rPr>
        <w:t>43</w:t>
      </w:r>
      <w:r>
        <w:rPr>
          <w:snapToGrid w:val="0"/>
        </w:rPr>
        <w:t>.</w:t>
      </w:r>
      <w:r>
        <w:rPr>
          <w:snapToGrid w:val="0"/>
        </w:rPr>
        <w:tab/>
        <w:t>Execution of documents and entry into contracts</w:t>
      </w:r>
      <w:bookmarkEnd w:id="88"/>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Footnotesection"/>
      </w:pPr>
      <w:r>
        <w:tab/>
        <w:t>[Section 43 amended by No. 45 of 1996 s. 22; correction to reprint in Gazette 4 Aug 2015 p. 3135.]</w:t>
      </w:r>
    </w:p>
    <w:p>
      <w:pPr>
        <w:pStyle w:val="Heading5"/>
        <w:keepNext w:val="0"/>
        <w:keepLines w:val="0"/>
        <w:pageBreakBefore/>
        <w:spacing w:before="0"/>
        <w:rPr>
          <w:snapToGrid w:val="0"/>
        </w:rPr>
      </w:pPr>
      <w:bookmarkStart w:id="89" w:name="_Toc457815095"/>
      <w:r>
        <w:rPr>
          <w:rStyle w:val="CharSectno"/>
        </w:rPr>
        <w:t>44</w:t>
      </w:r>
      <w:r>
        <w:rPr>
          <w:snapToGrid w:val="0"/>
        </w:rPr>
        <w:t>.</w:t>
      </w:r>
      <w:r>
        <w:rPr>
          <w:snapToGrid w:val="0"/>
        </w:rPr>
        <w:tab/>
        <w:t>Exemption of certain public authorities from workers’ compensation insurance requirements</w:t>
      </w:r>
      <w:bookmarkEnd w:id="89"/>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90" w:name="_Toc457815096"/>
      <w:r>
        <w:rPr>
          <w:rStyle w:val="CharSectno"/>
        </w:rPr>
        <w:t>45</w:t>
      </w:r>
      <w:r>
        <w:rPr>
          <w:snapToGrid w:val="0"/>
        </w:rPr>
        <w:t>.</w:t>
      </w:r>
      <w:r>
        <w:rPr>
          <w:snapToGrid w:val="0"/>
        </w:rPr>
        <w:tab/>
        <w:t>Regulations</w:t>
      </w:r>
      <w:bookmarkEnd w:id="9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the use of the common seal of the Commission in </w:t>
      </w:r>
      <w:smartTag w:uri="urn:schemas-microsoft-com:office:smarttags" w:element="place">
        <w:smartTag w:uri="urn:schemas-microsoft-com:office:smarttags" w:element="State">
          <w:r>
            <w:t>Western Australia</w:t>
          </w:r>
        </w:smartTag>
      </w:smartTag>
      <w:r>
        <w:t xml:space="preserve"> and elsewhere.</w:t>
      </w:r>
    </w:p>
    <w:p>
      <w:pPr>
        <w:pStyle w:val="Footnotesection"/>
      </w:pPr>
      <w:r>
        <w:tab/>
        <w:t>[Section 45 amended by No. 45 of 1996 s. 24.]</w:t>
      </w:r>
    </w:p>
    <w:p>
      <w:pPr>
        <w:pStyle w:val="Heading2"/>
      </w:pPr>
      <w:bookmarkStart w:id="91" w:name="_Toc446507147"/>
      <w:bookmarkStart w:id="92" w:name="_Toc451162792"/>
      <w:bookmarkStart w:id="93" w:name="_Toc457815097"/>
      <w:r>
        <w:rPr>
          <w:rStyle w:val="CharPartNo"/>
        </w:rPr>
        <w:t>Part V</w:t>
      </w:r>
      <w:r>
        <w:rPr>
          <w:rStyle w:val="CharDivNo"/>
        </w:rPr>
        <w:t> </w:t>
      </w:r>
      <w:r>
        <w:t>—</w:t>
      </w:r>
      <w:r>
        <w:rPr>
          <w:rStyle w:val="CharDivText"/>
        </w:rPr>
        <w:t> </w:t>
      </w:r>
      <w:r>
        <w:rPr>
          <w:rStyle w:val="CharPartText"/>
        </w:rPr>
        <w:t>Repeal, amendments, saving, validation and transitional</w:t>
      </w:r>
      <w:bookmarkEnd w:id="91"/>
      <w:bookmarkEnd w:id="92"/>
      <w:bookmarkEnd w:id="93"/>
      <w:r>
        <w:rPr>
          <w:rStyle w:val="CharPartText"/>
        </w:rPr>
        <w:t xml:space="preserve"> </w:t>
      </w:r>
    </w:p>
    <w:p>
      <w:pPr>
        <w:pStyle w:val="Heading5"/>
        <w:rPr>
          <w:snapToGrid w:val="0"/>
        </w:rPr>
      </w:pPr>
      <w:bookmarkStart w:id="94" w:name="_Toc457815098"/>
      <w:r>
        <w:rPr>
          <w:rStyle w:val="CharSectno"/>
        </w:rPr>
        <w:t>46</w:t>
      </w:r>
      <w:r>
        <w:rPr>
          <w:snapToGrid w:val="0"/>
        </w:rPr>
        <w:t>.</w:t>
      </w:r>
      <w:r>
        <w:rPr>
          <w:snapToGrid w:val="0"/>
        </w:rPr>
        <w:tab/>
        <w:t>Repeal and amendments</w:t>
      </w:r>
      <w:bookmarkEnd w:id="94"/>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95" w:name="_Toc457815099"/>
      <w:r>
        <w:rPr>
          <w:rStyle w:val="CharSectno"/>
        </w:rPr>
        <w:t>47</w:t>
      </w:r>
      <w:r>
        <w:rPr>
          <w:snapToGrid w:val="0"/>
        </w:rPr>
        <w:t>.</w:t>
      </w:r>
      <w:r>
        <w:rPr>
          <w:snapToGrid w:val="0"/>
        </w:rPr>
        <w:tab/>
        <w:t>Saving, validation and transitional provisions</w:t>
      </w:r>
      <w:bookmarkEnd w:id="95"/>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96" w:name="_Toc457815100"/>
      <w:r>
        <w:rPr>
          <w:rStyle w:val="CharSectno"/>
        </w:rPr>
        <w:t>48</w:t>
      </w:r>
      <w:r>
        <w:rPr>
          <w:snapToGrid w:val="0"/>
        </w:rPr>
        <w:t>.</w:t>
      </w:r>
      <w:r>
        <w:rPr>
          <w:snapToGrid w:val="0"/>
        </w:rPr>
        <w:tab/>
        <w:t>Oversight by Public Accounts Committee</w:t>
      </w:r>
      <w:bookmarkEnd w:id="96"/>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97" w:name="_Toc446507151"/>
      <w:bookmarkStart w:id="98" w:name="_Toc451162796"/>
      <w:bookmarkStart w:id="99" w:name="_Toc457815101"/>
      <w:r>
        <w:rPr>
          <w:rStyle w:val="CharSchNo"/>
        </w:rPr>
        <w:t>Schedule 1</w:t>
      </w:r>
      <w:r>
        <w:t> — </w:t>
      </w:r>
      <w:r>
        <w:rPr>
          <w:rStyle w:val="CharSchText"/>
        </w:rPr>
        <w:t>Provisions as to commissioners</w:t>
      </w:r>
      <w:bookmarkEnd w:id="97"/>
      <w:bookmarkEnd w:id="98"/>
      <w:bookmarkEnd w:id="99"/>
    </w:p>
    <w:p>
      <w:pPr>
        <w:pStyle w:val="yShoulderClause"/>
        <w:rPr>
          <w:snapToGrid w:val="0"/>
        </w:rPr>
      </w:pPr>
      <w:r>
        <w:rPr>
          <w:snapToGrid w:val="0"/>
        </w:rPr>
        <w:t>[s. 5(4)]</w:t>
      </w:r>
    </w:p>
    <w:p>
      <w:pPr>
        <w:pStyle w:val="yFootnoteheading"/>
      </w:pPr>
      <w:r>
        <w:tab/>
        <w:t>[Heading amended by No. 19 of 2010 s. 4.]</w:t>
      </w:r>
    </w:p>
    <w:p>
      <w:pPr>
        <w:pStyle w:val="yHeading5"/>
        <w:ind w:left="890" w:hanging="890"/>
        <w:outlineLvl w:val="9"/>
        <w:rPr>
          <w:snapToGrid w:val="0"/>
        </w:rPr>
      </w:pPr>
      <w:bookmarkStart w:id="100" w:name="_Toc457815102"/>
      <w:r>
        <w:rPr>
          <w:rStyle w:val="CharSClsNo"/>
        </w:rPr>
        <w:t>1</w:t>
      </w:r>
      <w:r>
        <w:rPr>
          <w:snapToGrid w:val="0"/>
        </w:rPr>
        <w:t>.</w:t>
      </w:r>
      <w:r>
        <w:rPr>
          <w:snapToGrid w:val="0"/>
        </w:rPr>
        <w:tab/>
        <w:t>Terms used</w:t>
      </w:r>
      <w:bookmarkEnd w:id="100"/>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tab/>
      </w:r>
      <w:r>
        <w:rPr>
          <w:rStyle w:val="CharDefText"/>
        </w:rPr>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101" w:name="_Toc457815103"/>
      <w:r>
        <w:rPr>
          <w:rStyle w:val="CharSClsNo"/>
        </w:rPr>
        <w:t>2</w:t>
      </w:r>
      <w:r>
        <w:rPr>
          <w:snapToGrid w:val="0"/>
        </w:rPr>
        <w:t>.</w:t>
      </w:r>
      <w:r>
        <w:rPr>
          <w:snapToGrid w:val="0"/>
        </w:rPr>
        <w:tab/>
        <w:t>Commissioners — terms and vacation of office</w:t>
      </w:r>
      <w:bookmarkEnd w:id="101"/>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spacing w:before="180"/>
        <w:ind w:left="890" w:hanging="890"/>
        <w:outlineLvl w:val="9"/>
        <w:rPr>
          <w:snapToGrid w:val="0"/>
        </w:rPr>
      </w:pPr>
      <w:bookmarkStart w:id="102" w:name="_Toc457815104"/>
      <w:r>
        <w:rPr>
          <w:rStyle w:val="CharSClsNo"/>
        </w:rPr>
        <w:t>3</w:t>
      </w:r>
      <w:r>
        <w:rPr>
          <w:snapToGrid w:val="0"/>
        </w:rPr>
        <w:t>.</w:t>
      </w:r>
      <w:r>
        <w:rPr>
          <w:snapToGrid w:val="0"/>
        </w:rPr>
        <w:tab/>
        <w:t>Alternate commissioners</w:t>
      </w:r>
      <w:bookmarkEnd w:id="102"/>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spacing w:before="180"/>
        <w:ind w:left="890" w:hanging="890"/>
        <w:outlineLvl w:val="9"/>
        <w:rPr>
          <w:snapToGrid w:val="0"/>
        </w:rPr>
      </w:pPr>
      <w:bookmarkStart w:id="103" w:name="_Toc457815105"/>
      <w:r>
        <w:rPr>
          <w:rStyle w:val="CharSClsNo"/>
        </w:rPr>
        <w:t>4</w:t>
      </w:r>
      <w:r>
        <w:rPr>
          <w:snapToGrid w:val="0"/>
        </w:rPr>
        <w:t>.</w:t>
      </w:r>
      <w:r>
        <w:rPr>
          <w:snapToGrid w:val="0"/>
        </w:rPr>
        <w:tab/>
        <w:t>Chairman and deputy chairman — term and vacation of office</w:t>
      </w:r>
      <w:bookmarkEnd w:id="103"/>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keepNext w:val="0"/>
        <w:keepLines w:val="0"/>
        <w:spacing w:before="180"/>
        <w:ind w:left="890" w:hanging="890"/>
        <w:outlineLvl w:val="9"/>
        <w:rPr>
          <w:snapToGrid w:val="0"/>
        </w:rPr>
      </w:pPr>
      <w:bookmarkStart w:id="104" w:name="_Toc457815106"/>
      <w:r>
        <w:rPr>
          <w:rStyle w:val="CharSClsNo"/>
        </w:rPr>
        <w:t>5</w:t>
      </w:r>
      <w:r>
        <w:rPr>
          <w:snapToGrid w:val="0"/>
        </w:rPr>
        <w:t>.</w:t>
      </w:r>
      <w:r>
        <w:rPr>
          <w:snapToGrid w:val="0"/>
        </w:rPr>
        <w:tab/>
        <w:t>Disclosure of pecuniary interests</w:t>
      </w:r>
      <w:bookmarkEnd w:id="104"/>
    </w:p>
    <w:p>
      <w:pPr>
        <w:pStyle w:val="ySubsection"/>
        <w:spacing w:before="120"/>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105" w:name="_Toc457815107"/>
      <w:r>
        <w:rPr>
          <w:rStyle w:val="CharSClsNo"/>
        </w:rPr>
        <w:t>6</w:t>
      </w:r>
      <w:r>
        <w:rPr>
          <w:snapToGrid w:val="0"/>
        </w:rPr>
        <w:t>.</w:t>
      </w:r>
      <w:r>
        <w:rPr>
          <w:snapToGrid w:val="0"/>
        </w:rPr>
        <w:tab/>
        <w:t>Meetings</w:t>
      </w:r>
      <w:bookmarkEnd w:id="105"/>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spacing w:before="180"/>
        <w:ind w:left="890" w:hanging="890"/>
        <w:outlineLvl w:val="9"/>
        <w:rPr>
          <w:snapToGrid w:val="0"/>
        </w:rPr>
      </w:pPr>
      <w:bookmarkStart w:id="106" w:name="_Toc457815108"/>
      <w:r>
        <w:rPr>
          <w:rStyle w:val="CharSClsNo"/>
        </w:rPr>
        <w:t>6A</w:t>
      </w:r>
      <w:r>
        <w:rPr>
          <w:snapToGrid w:val="0"/>
        </w:rPr>
        <w:t>.</w:t>
      </w:r>
      <w:r>
        <w:rPr>
          <w:snapToGrid w:val="0"/>
        </w:rPr>
        <w:tab/>
        <w:t>Telephone and video meetings</w:t>
      </w:r>
      <w:bookmarkEnd w:id="106"/>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spacing w:before="180"/>
        <w:ind w:left="890" w:hanging="890"/>
        <w:outlineLvl w:val="9"/>
        <w:rPr>
          <w:snapToGrid w:val="0"/>
        </w:rPr>
      </w:pPr>
      <w:bookmarkStart w:id="107" w:name="_Toc457815109"/>
      <w:r>
        <w:rPr>
          <w:rStyle w:val="CharSClsNo"/>
        </w:rPr>
        <w:t>7</w:t>
      </w:r>
      <w:r>
        <w:rPr>
          <w:snapToGrid w:val="0"/>
        </w:rPr>
        <w:t>.</w:t>
      </w:r>
      <w:r>
        <w:rPr>
          <w:snapToGrid w:val="0"/>
        </w:rPr>
        <w:tab/>
        <w:t>Committees</w:t>
      </w:r>
      <w:bookmarkEnd w:id="107"/>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spacing w:before="180"/>
        <w:ind w:left="890" w:hanging="890"/>
        <w:outlineLvl w:val="9"/>
        <w:rPr>
          <w:snapToGrid w:val="0"/>
        </w:rPr>
      </w:pPr>
      <w:bookmarkStart w:id="108" w:name="_Toc457815110"/>
      <w:r>
        <w:rPr>
          <w:rStyle w:val="CharSClsNo"/>
        </w:rPr>
        <w:t>8</w:t>
      </w:r>
      <w:r>
        <w:rPr>
          <w:snapToGrid w:val="0"/>
        </w:rPr>
        <w:t>.</w:t>
      </w:r>
      <w:r>
        <w:rPr>
          <w:snapToGrid w:val="0"/>
        </w:rPr>
        <w:tab/>
        <w:t>Resolution may be passed without meeting</w:t>
      </w:r>
      <w:bookmarkEnd w:id="108"/>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109" w:name="_Toc457815111"/>
      <w:r>
        <w:rPr>
          <w:rStyle w:val="CharSClsNo"/>
        </w:rPr>
        <w:t>8A</w:t>
      </w:r>
      <w:r>
        <w:rPr>
          <w:snapToGrid w:val="0"/>
        </w:rPr>
        <w:t>.</w:t>
      </w:r>
      <w:r>
        <w:rPr>
          <w:snapToGrid w:val="0"/>
        </w:rPr>
        <w:tab/>
        <w:t>Minutes of meetings etc.</w:t>
      </w:r>
      <w:bookmarkEnd w:id="109"/>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110" w:name="_Toc457815112"/>
      <w:r>
        <w:rPr>
          <w:rStyle w:val="CharSClsNo"/>
        </w:rPr>
        <w:t>9</w:t>
      </w:r>
      <w:r>
        <w:rPr>
          <w:snapToGrid w:val="0"/>
        </w:rPr>
        <w:t>.</w:t>
      </w:r>
      <w:r>
        <w:rPr>
          <w:snapToGrid w:val="0"/>
        </w:rPr>
        <w:tab/>
        <w:t>Leave of absence</w:t>
      </w:r>
      <w:bookmarkEnd w:id="110"/>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111" w:name="_Toc457815113"/>
      <w:r>
        <w:rPr>
          <w:rStyle w:val="CharSClsNo"/>
        </w:rPr>
        <w:t>10</w:t>
      </w:r>
      <w:r>
        <w:rPr>
          <w:snapToGrid w:val="0"/>
        </w:rPr>
        <w:t>.</w:t>
      </w:r>
      <w:r>
        <w:rPr>
          <w:snapToGrid w:val="0"/>
        </w:rPr>
        <w:tab/>
        <w:t>Board to determine own procedures</w:t>
      </w:r>
      <w:bookmarkEnd w:id="111"/>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112" w:name="_Toc457815114"/>
      <w:r>
        <w:rPr>
          <w:rStyle w:val="CharSClsNo"/>
        </w:rPr>
        <w:t>11</w:t>
      </w:r>
      <w:r>
        <w:rPr>
          <w:snapToGrid w:val="0"/>
        </w:rPr>
        <w:t>.</w:t>
      </w:r>
      <w:r>
        <w:rPr>
          <w:snapToGrid w:val="0"/>
        </w:rPr>
        <w:tab/>
        <w:t>Protection of commissioners</w:t>
      </w:r>
      <w:bookmarkEnd w:id="112"/>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Ednoteschedule"/>
      </w:pPr>
      <w:r>
        <w:t xml:space="preserve">[Schedule 2 </w:t>
      </w:r>
      <w:smartTag w:uri="urn:schemas-microsoft-com:office:smarttags" w:element="State">
        <w:smartTag w:uri="urn:schemas-microsoft-com:office:smarttags" w:element="place">
          <w:r>
            <w:t>del</w:t>
          </w:r>
        </w:smartTag>
      </w:smartTag>
      <w:r>
        <w:t>eted by No. 45 of 1996 s. 27.]</w:t>
      </w:r>
    </w:p>
    <w:p>
      <w:pPr>
        <w:pStyle w:val="yEdnoteschedule"/>
      </w:pPr>
      <w:r>
        <w:t>[Schedule 3 omitted under the Reprints Act 1984 s. 7(4)(e).]</w:t>
      </w:r>
    </w:p>
    <w:p>
      <w:pPr>
        <w:pStyle w:val="yScheduleHeading"/>
      </w:pPr>
      <w:bookmarkStart w:id="113" w:name="_Toc446507165"/>
      <w:bookmarkStart w:id="114" w:name="_Toc451162810"/>
      <w:bookmarkStart w:id="115" w:name="_Toc457815115"/>
      <w:r>
        <w:rPr>
          <w:rStyle w:val="CharSchNo"/>
        </w:rPr>
        <w:t>Schedule 4</w:t>
      </w:r>
      <w:r>
        <w:t> — </w:t>
      </w:r>
      <w:r>
        <w:rPr>
          <w:rStyle w:val="CharSchText"/>
        </w:rPr>
        <w:t>Saving, validation and transitional provisions</w:t>
      </w:r>
      <w:bookmarkEnd w:id="113"/>
      <w:bookmarkEnd w:id="114"/>
      <w:bookmarkEnd w:id="115"/>
    </w:p>
    <w:p>
      <w:pPr>
        <w:pStyle w:val="yShoulderClause"/>
        <w:rPr>
          <w:snapToGrid w:val="0"/>
        </w:rPr>
      </w:pPr>
      <w:r>
        <w:rPr>
          <w:snapToGrid w:val="0"/>
        </w:rPr>
        <w:t>[s. 47]</w:t>
      </w:r>
    </w:p>
    <w:p>
      <w:pPr>
        <w:pStyle w:val="yFootnoteheading"/>
      </w:pPr>
      <w:r>
        <w:tab/>
        <w:t>[Heading amended by No. 19 of 2010 s. 4.]</w:t>
      </w:r>
    </w:p>
    <w:p>
      <w:pPr>
        <w:pStyle w:val="yHeading5"/>
        <w:ind w:left="890" w:hanging="890"/>
        <w:outlineLvl w:val="9"/>
        <w:rPr>
          <w:snapToGrid w:val="0"/>
        </w:rPr>
      </w:pPr>
      <w:bookmarkStart w:id="116" w:name="_Toc457815116"/>
      <w:r>
        <w:rPr>
          <w:rStyle w:val="CharSClsNo"/>
        </w:rPr>
        <w:t>1</w:t>
      </w:r>
      <w:r>
        <w:rPr>
          <w:snapToGrid w:val="0"/>
        </w:rPr>
        <w:t>.</w:t>
      </w:r>
      <w:r>
        <w:rPr>
          <w:snapToGrid w:val="0"/>
        </w:rPr>
        <w:tab/>
        <w:t>Terms used</w:t>
      </w:r>
      <w:bookmarkEnd w:id="116"/>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117" w:name="_Toc457815117"/>
      <w:r>
        <w:rPr>
          <w:rStyle w:val="CharSClsNo"/>
        </w:rPr>
        <w:t>2</w:t>
      </w:r>
      <w:r>
        <w:rPr>
          <w:snapToGrid w:val="0"/>
        </w:rPr>
        <w:t>.</w:t>
      </w:r>
      <w:r>
        <w:rPr>
          <w:snapToGrid w:val="0"/>
        </w:rPr>
        <w:tab/>
        <w:t>Transfer of assets, liabilities and records of MVIT</w:t>
      </w:r>
      <w:bookmarkEnd w:id="117"/>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w:t>
      </w:r>
      <w:r>
        <w:rPr>
          <w:snapToGrid w:val="0"/>
          <w:vertAlign w:val="superscript"/>
        </w:rPr>
        <w:t> 5</w:t>
      </w:r>
      <w:r>
        <w:rPr>
          <w:snapToGrid w:val="0"/>
        </w:rPr>
        <w:t xml:space="preserve">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118" w:name="_Toc457815118"/>
      <w:r>
        <w:rPr>
          <w:rStyle w:val="CharSClsNo"/>
        </w:rPr>
        <w:t>3</w:t>
      </w:r>
      <w:r>
        <w:rPr>
          <w:snapToGrid w:val="0"/>
        </w:rPr>
        <w:t>.</w:t>
      </w:r>
      <w:r>
        <w:rPr>
          <w:snapToGrid w:val="0"/>
        </w:rPr>
        <w:tab/>
        <w:t>MVIT insurance policies</w:t>
      </w:r>
      <w:bookmarkEnd w:id="118"/>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119" w:name="_Toc457815119"/>
      <w:r>
        <w:rPr>
          <w:rStyle w:val="CharSClsNo"/>
        </w:rPr>
        <w:t>4</w:t>
      </w:r>
      <w:r>
        <w:rPr>
          <w:snapToGrid w:val="0"/>
        </w:rPr>
        <w:t>.</w:t>
      </w:r>
      <w:r>
        <w:rPr>
          <w:snapToGrid w:val="0"/>
        </w:rPr>
        <w:tab/>
        <w:t>Agreements, instruments, determinations and proceedings generally</w:t>
      </w:r>
      <w:bookmarkEnd w:id="119"/>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120" w:name="_Toc457815120"/>
      <w:r>
        <w:rPr>
          <w:rStyle w:val="CharSClsNo"/>
        </w:rPr>
        <w:t>5</w:t>
      </w:r>
      <w:r>
        <w:rPr>
          <w:snapToGrid w:val="0"/>
        </w:rPr>
        <w:t>.</w:t>
      </w:r>
      <w:r>
        <w:rPr>
          <w:snapToGrid w:val="0"/>
        </w:rPr>
        <w:tab/>
        <w:t>Final reports on operations of MVIT</w:t>
      </w:r>
      <w:bookmarkEnd w:id="120"/>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6</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121" w:name="_Toc457815121"/>
      <w:r>
        <w:rPr>
          <w:rStyle w:val="CharSClsNo"/>
        </w:rPr>
        <w:t>6</w:t>
      </w:r>
      <w:r>
        <w:rPr>
          <w:snapToGrid w:val="0"/>
        </w:rPr>
        <w:t>.</w:t>
      </w:r>
      <w:r>
        <w:rPr>
          <w:snapToGrid w:val="0"/>
        </w:rPr>
        <w:tab/>
        <w:t>Assessment as to sufficiency of income</w:t>
      </w:r>
      <w:bookmarkEnd w:id="121"/>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122" w:name="_Toc457815122"/>
      <w:r>
        <w:rPr>
          <w:rStyle w:val="CharSClsNo"/>
        </w:rPr>
        <w:t>7</w:t>
      </w:r>
      <w:r>
        <w:rPr>
          <w:snapToGrid w:val="0"/>
        </w:rPr>
        <w:t>.</w:t>
      </w:r>
      <w:r>
        <w:rPr>
          <w:snapToGrid w:val="0"/>
        </w:rPr>
        <w:tab/>
        <w:t>Employment of current officers</w:t>
      </w:r>
      <w:bookmarkEnd w:id="122"/>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123" w:name="_Toc457815123"/>
      <w:r>
        <w:rPr>
          <w:rStyle w:val="CharSClsNo"/>
        </w:rPr>
        <w:t>8</w:t>
      </w:r>
      <w:r>
        <w:rPr>
          <w:snapToGrid w:val="0"/>
        </w:rPr>
        <w:t>.</w:t>
      </w:r>
      <w:r>
        <w:rPr>
          <w:snapToGrid w:val="0"/>
        </w:rPr>
        <w:tab/>
        <w:t>References to MVIT in laws</w:t>
      </w:r>
      <w:bookmarkEnd w:id="123"/>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124" w:name="_Toc457815124"/>
      <w:r>
        <w:rPr>
          <w:rStyle w:val="CharSClsNo"/>
        </w:rPr>
        <w:t>9</w:t>
      </w:r>
      <w:r>
        <w:rPr>
          <w:snapToGrid w:val="0"/>
        </w:rPr>
        <w:t>.</w:t>
      </w:r>
      <w:r>
        <w:rPr>
          <w:snapToGrid w:val="0"/>
        </w:rPr>
        <w:tab/>
        <w:t>Transfer of assets, liabilities and records of SGIO</w:t>
      </w:r>
      <w:bookmarkEnd w:id="124"/>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125" w:name="_Toc457815125"/>
      <w:r>
        <w:rPr>
          <w:rStyle w:val="CharSClsNo"/>
        </w:rPr>
        <w:t>10</w:t>
      </w:r>
      <w:r>
        <w:rPr>
          <w:snapToGrid w:val="0"/>
        </w:rPr>
        <w:t>.</w:t>
      </w:r>
      <w:r>
        <w:rPr>
          <w:snapToGrid w:val="0"/>
        </w:rPr>
        <w:tab/>
        <w:t>SGIO insurance policies and re</w:t>
      </w:r>
      <w:r>
        <w:rPr>
          <w:snapToGrid w:val="0"/>
        </w:rPr>
        <w:noBreakHyphen/>
        <w:t>insurance</w:t>
      </w:r>
      <w:bookmarkEnd w:id="125"/>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7</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126" w:name="_Toc457815126"/>
      <w:r>
        <w:rPr>
          <w:rStyle w:val="CharSClsNo"/>
        </w:rPr>
        <w:t>11</w:t>
      </w:r>
      <w:r>
        <w:rPr>
          <w:snapToGrid w:val="0"/>
        </w:rPr>
        <w:t>.</w:t>
      </w:r>
      <w:r>
        <w:rPr>
          <w:snapToGrid w:val="0"/>
        </w:rPr>
        <w:tab/>
        <w:t>Agents and brokers</w:t>
      </w:r>
      <w:bookmarkEnd w:id="126"/>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8</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127" w:name="_Toc457815127"/>
      <w:r>
        <w:rPr>
          <w:rStyle w:val="CharSClsNo"/>
        </w:rPr>
        <w:t>12</w:t>
      </w:r>
      <w:r>
        <w:rPr>
          <w:snapToGrid w:val="0"/>
        </w:rPr>
        <w:t>.</w:t>
      </w:r>
      <w:r>
        <w:rPr>
          <w:snapToGrid w:val="0"/>
        </w:rPr>
        <w:tab/>
        <w:t>Agreements, instruments and proceedings generally</w:t>
      </w:r>
      <w:bookmarkEnd w:id="127"/>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128" w:name="_Toc457815128"/>
      <w:r>
        <w:rPr>
          <w:rStyle w:val="CharSClsNo"/>
        </w:rPr>
        <w:t>13</w:t>
      </w:r>
      <w:r>
        <w:rPr>
          <w:snapToGrid w:val="0"/>
        </w:rPr>
        <w:t>.</w:t>
      </w:r>
      <w:r>
        <w:rPr>
          <w:snapToGrid w:val="0"/>
        </w:rPr>
        <w:tab/>
        <w:t>Final reports on operations of SGIO</w:t>
      </w:r>
      <w:bookmarkEnd w:id="128"/>
    </w:p>
    <w:p>
      <w:pPr>
        <w:pStyle w:val="ySubsection"/>
        <w:rPr>
          <w:snapToGrid w:val="0"/>
        </w:rPr>
      </w:pPr>
      <w:r>
        <w:rPr>
          <w:snapToGrid w:val="0"/>
        </w:rPr>
        <w:tab/>
        <w:t>(1)</w:t>
      </w:r>
      <w:r>
        <w:rPr>
          <w:snapToGrid w:val="0"/>
        </w:rPr>
        <w:tab/>
        <w:t>If sections 21(1), (2) and (3) and 22</w:t>
      </w:r>
      <w:r>
        <w:rPr>
          <w:snapToGrid w:val="0"/>
          <w:vertAlign w:val="superscript"/>
        </w:rPr>
        <w:t> 9</w:t>
      </w:r>
      <w:r>
        <w:rPr>
          <w:snapToGrid w:val="0"/>
        </w:rPr>
        <w:t xml:space="preserve">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 </w:t>
      </w:r>
      <w:r>
        <w:rPr>
          <w:iCs/>
          <w:snapToGrid w:val="0"/>
          <w:vertAlign w:val="superscript"/>
        </w:rPr>
        <w:t>6</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129" w:name="_Toc457815129"/>
      <w:r>
        <w:rPr>
          <w:rStyle w:val="CharSClsNo"/>
        </w:rPr>
        <w:t>14</w:t>
      </w:r>
      <w:r>
        <w:rPr>
          <w:snapToGrid w:val="0"/>
        </w:rPr>
        <w:t>.</w:t>
      </w:r>
      <w:r>
        <w:rPr>
          <w:snapToGrid w:val="0"/>
        </w:rPr>
        <w:tab/>
        <w:t>Certain outstanding obligations to be met by Commission</w:t>
      </w:r>
      <w:bookmarkEnd w:id="129"/>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130" w:name="_Toc457815130"/>
      <w:r>
        <w:rPr>
          <w:rStyle w:val="CharSClsNo"/>
        </w:rPr>
        <w:t>15</w:t>
      </w:r>
      <w:r>
        <w:rPr>
          <w:snapToGrid w:val="0"/>
        </w:rPr>
        <w:t>.</w:t>
      </w:r>
      <w:r>
        <w:rPr>
          <w:snapToGrid w:val="0"/>
        </w:rPr>
        <w:tab/>
        <w:t>Saving of presumption and protection</w:t>
      </w:r>
      <w:bookmarkEnd w:id="130"/>
    </w:p>
    <w:p>
      <w:pPr>
        <w:pStyle w:val="ySubsection"/>
        <w:rPr>
          <w:snapToGrid w:val="0"/>
        </w:rPr>
      </w:pPr>
      <w:r>
        <w:rPr>
          <w:snapToGrid w:val="0"/>
        </w:rPr>
        <w:tab/>
      </w:r>
      <w:r>
        <w:rPr>
          <w:snapToGrid w:val="0"/>
        </w:rPr>
        <w:tab/>
        <w:t>Notwithstanding section 46(2) and Schedule 3 — </w:t>
      </w:r>
    </w:p>
    <w:p>
      <w:pPr>
        <w:pStyle w:val="yIndenta"/>
        <w:spacing w:before="60"/>
        <w:rPr>
          <w:snapToGrid w:val="0"/>
        </w:rPr>
      </w:pPr>
      <w:r>
        <w:rPr>
          <w:snapToGrid w:val="0"/>
        </w:rPr>
        <w:tab/>
        <w:t>(a)</w:t>
      </w:r>
      <w:r>
        <w:rPr>
          <w:snapToGrid w:val="0"/>
        </w:rPr>
        <w:tab/>
        <w:t>section 26</w:t>
      </w:r>
      <w:r>
        <w:rPr>
          <w:snapToGrid w:val="0"/>
          <w:vertAlign w:val="superscript"/>
        </w:rPr>
        <w:t> 10</w:t>
      </w:r>
      <w:r>
        <w:rPr>
          <w:snapToGrid w:val="0"/>
        </w:rPr>
        <w:t xml:space="preserve">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spacing w:before="60"/>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131" w:name="_Toc457815131"/>
      <w:r>
        <w:rPr>
          <w:rStyle w:val="CharSClsNo"/>
        </w:rPr>
        <w:t>16</w:t>
      </w:r>
      <w:r>
        <w:rPr>
          <w:snapToGrid w:val="0"/>
        </w:rPr>
        <w:t>.</w:t>
      </w:r>
      <w:r>
        <w:rPr>
          <w:snapToGrid w:val="0"/>
        </w:rPr>
        <w:tab/>
        <w:t>Employment of staff of SGIO</w:t>
      </w:r>
      <w:bookmarkEnd w:id="131"/>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11</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12</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13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132" w:name="_Toc457815132"/>
      <w:r>
        <w:rPr>
          <w:rStyle w:val="CharSClsNo"/>
        </w:rPr>
        <w:t>17</w:t>
      </w:r>
      <w:r>
        <w:rPr>
          <w:snapToGrid w:val="0"/>
        </w:rPr>
        <w:t>.</w:t>
      </w:r>
      <w:r>
        <w:rPr>
          <w:snapToGrid w:val="0"/>
        </w:rPr>
        <w:tab/>
        <w:t>References to the SGIO in laws</w:t>
      </w:r>
      <w:bookmarkEnd w:id="132"/>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133" w:name="_Toc457815133"/>
      <w:r>
        <w:rPr>
          <w:rStyle w:val="CharSClsNo"/>
        </w:rPr>
        <w:t>18</w:t>
      </w:r>
      <w:r>
        <w:rPr>
          <w:snapToGrid w:val="0"/>
        </w:rPr>
        <w:t>.</w:t>
      </w:r>
      <w:r>
        <w:rPr>
          <w:snapToGrid w:val="0"/>
        </w:rPr>
        <w:tab/>
        <w:t>Apportionment of assets and liabilities</w:t>
      </w:r>
      <w:bookmarkEnd w:id="133"/>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134" w:name="_Toc457815134"/>
      <w:r>
        <w:rPr>
          <w:rStyle w:val="CharSClsNo"/>
        </w:rPr>
        <w:t>19</w:t>
      </w:r>
      <w:r>
        <w:rPr>
          <w:snapToGrid w:val="0"/>
        </w:rPr>
        <w:t>.</w:t>
      </w:r>
      <w:r>
        <w:rPr>
          <w:snapToGrid w:val="0"/>
        </w:rPr>
        <w:tab/>
        <w:t>Interpretation Act to apply</w:t>
      </w:r>
      <w:bookmarkEnd w:id="134"/>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rPr>
        <w:drawing>
          <wp:inline distT="0" distB="0" distL="0" distR="0">
            <wp:extent cx="932180" cy="172085"/>
            <wp:effectExtent l="0" t="0" r="127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ySubsection"/>
        <w:rPr>
          <w:snapToGrid w:val="0"/>
        </w:rPr>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35" w:name="_Toc446507185"/>
      <w:bookmarkStart w:id="136" w:name="_Toc451162830"/>
      <w:bookmarkStart w:id="137" w:name="_Toc457815135"/>
      <w:r>
        <w:t>Notes</w:t>
      </w:r>
      <w:bookmarkEnd w:id="135"/>
      <w:bookmarkEnd w:id="136"/>
      <w:bookmarkEnd w:id="137"/>
    </w:p>
    <w:p>
      <w:pPr>
        <w:pStyle w:val="nSubsection"/>
        <w:spacing w:before="60"/>
      </w:pPr>
      <w:r>
        <w:rPr>
          <w:vertAlign w:val="superscript"/>
        </w:rPr>
        <w:t>1</w:t>
      </w:r>
      <w:r>
        <w:tab/>
        <w:t xml:space="preserve">This reprint is a compilation as at 31 August 2016 of the </w:t>
      </w:r>
      <w:r>
        <w:rPr>
          <w:i/>
          <w:noProof/>
        </w:rPr>
        <w:t>Insurance Commission of Western Australia Act 1986</w:t>
      </w:r>
      <w:r>
        <w:t xml:space="preserve"> and includes the amendments made by the other written laws referred to in the following table</w:t>
      </w:r>
      <w:r>
        <w:rPr>
          <w:vertAlign w:val="superscript"/>
        </w:rPr>
        <w:t> 1a</w:t>
      </w:r>
      <w:r>
        <w:t>.  The table also contains information about any reprint.</w:t>
      </w:r>
    </w:p>
    <w:p>
      <w:pPr>
        <w:pStyle w:val="nHeading3"/>
        <w:spacing w:before="160" w:after="80"/>
      </w:pPr>
      <w:bookmarkStart w:id="138" w:name="_Toc457815136"/>
      <w:r>
        <w:t>Compilation table</w:t>
      </w:r>
      <w:bookmarkEnd w:id="13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2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2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20"/>
              <w:rPr>
                <w:b/>
              </w:rPr>
            </w:pPr>
            <w:r>
              <w:rPr>
                <w:b/>
              </w:rPr>
              <w:t>Assent</w:t>
            </w:r>
          </w:p>
        </w:tc>
        <w:tc>
          <w:tcPr>
            <w:tcW w:w="2552" w:type="dxa"/>
            <w:tcBorders>
              <w:top w:val="single" w:sz="8" w:space="0" w:color="auto"/>
              <w:bottom w:val="single" w:sz="8" w:space="0" w:color="auto"/>
            </w:tcBorders>
            <w:shd w:val="clear" w:color="auto" w:fill="auto"/>
          </w:tcPr>
          <w:p>
            <w:pPr>
              <w:pStyle w:val="nTable"/>
              <w:spacing w:after="20"/>
              <w:rPr>
                <w:b/>
              </w:rPr>
            </w:pPr>
            <w:r>
              <w:rPr>
                <w:b/>
              </w:rPr>
              <w:t>Commencement</w:t>
            </w:r>
          </w:p>
        </w:tc>
      </w:tr>
      <w:tr>
        <w:trPr>
          <w:cantSplit/>
        </w:trPr>
        <w:tc>
          <w:tcPr>
            <w:tcW w:w="2268" w:type="dxa"/>
          </w:tcPr>
          <w:p>
            <w:pPr>
              <w:pStyle w:val="nTable"/>
              <w:spacing w:after="20"/>
              <w:ind w:right="113"/>
              <w:rPr>
                <w:vertAlign w:val="superscript"/>
              </w:rPr>
            </w:pPr>
            <w:r>
              <w:rPr>
                <w:i/>
              </w:rPr>
              <w:t>State Government Insurance Commission Act 1986</w:t>
            </w:r>
            <w:r>
              <w:rPr>
                <w:i/>
                <w:vertAlign w:val="superscript"/>
              </w:rPr>
              <w:t> </w:t>
            </w:r>
            <w:r>
              <w:rPr>
                <w:iCs/>
                <w:vertAlign w:val="superscript"/>
              </w:rPr>
              <w:t>14</w:t>
            </w:r>
          </w:p>
        </w:tc>
        <w:tc>
          <w:tcPr>
            <w:tcW w:w="1134" w:type="dxa"/>
          </w:tcPr>
          <w:p>
            <w:pPr>
              <w:pStyle w:val="nTable"/>
              <w:spacing w:after="20"/>
            </w:pPr>
            <w:r>
              <w:t>51 of 1986</w:t>
            </w:r>
          </w:p>
        </w:tc>
        <w:tc>
          <w:tcPr>
            <w:tcW w:w="1134" w:type="dxa"/>
          </w:tcPr>
          <w:p>
            <w:pPr>
              <w:pStyle w:val="nTable"/>
              <w:spacing w:after="20"/>
            </w:pPr>
            <w:r>
              <w:t>5 Aug 1986</w:t>
            </w:r>
          </w:p>
        </w:tc>
        <w:tc>
          <w:tcPr>
            <w:tcW w:w="2552" w:type="dxa"/>
          </w:tcPr>
          <w:p>
            <w:pPr>
              <w:pStyle w:val="nTable"/>
              <w:spacing w:after="20"/>
            </w:pPr>
            <w:r>
              <w:rPr>
                <w:color w:val="000000"/>
              </w:rPr>
              <w:t>s. 1 and 2: 5 Aug 1986;</w:t>
            </w:r>
            <w:r>
              <w:rPr>
                <w:color w:val="000000"/>
              </w:rPr>
              <w:br/>
              <w:t xml:space="preserve">Act other than s. 1 and 2: </w:t>
            </w:r>
            <w:r>
              <w:t xml:space="preserve">1 Jan 1987 (see s. 2 and </w:t>
            </w:r>
            <w:r>
              <w:rPr>
                <w:i/>
              </w:rPr>
              <w:t>Gazette</w:t>
            </w:r>
            <w:r>
              <w:t xml:space="preserve"> 19 Dec 1986 p. 4859)</w:t>
            </w:r>
          </w:p>
        </w:tc>
      </w:tr>
      <w:tr>
        <w:trPr>
          <w:cantSplit/>
        </w:trPr>
        <w:tc>
          <w:tcPr>
            <w:tcW w:w="2268" w:type="dxa"/>
          </w:tcPr>
          <w:p>
            <w:pPr>
              <w:pStyle w:val="nTable"/>
              <w:spacing w:after="20"/>
              <w:ind w:right="113"/>
            </w:pPr>
            <w:r>
              <w:rPr>
                <w:i/>
              </w:rPr>
              <w:t xml:space="preserve">Acts Amendment (Public Service) Act 1987 </w:t>
            </w:r>
            <w:r>
              <w:t>s. 32</w:t>
            </w:r>
          </w:p>
        </w:tc>
        <w:tc>
          <w:tcPr>
            <w:tcW w:w="1134" w:type="dxa"/>
          </w:tcPr>
          <w:p>
            <w:pPr>
              <w:pStyle w:val="nTable"/>
              <w:spacing w:after="20"/>
            </w:pPr>
            <w:r>
              <w:t>113 of 1987</w:t>
            </w:r>
          </w:p>
        </w:tc>
        <w:tc>
          <w:tcPr>
            <w:tcW w:w="1134" w:type="dxa"/>
          </w:tcPr>
          <w:p>
            <w:pPr>
              <w:pStyle w:val="nTable"/>
              <w:spacing w:after="20"/>
            </w:pPr>
            <w:r>
              <w:t>31 Dec 1987</w:t>
            </w:r>
          </w:p>
        </w:tc>
        <w:tc>
          <w:tcPr>
            <w:tcW w:w="2552" w:type="dxa"/>
          </w:tcPr>
          <w:p>
            <w:pPr>
              <w:pStyle w:val="nTable"/>
              <w:spacing w:after="20"/>
            </w:pPr>
            <w:r>
              <w:t xml:space="preserve">16 Mar 1988 (see s. 2 and </w:t>
            </w:r>
            <w:r>
              <w:rPr>
                <w:i/>
              </w:rPr>
              <w:t>Gazette</w:t>
            </w:r>
            <w:r>
              <w:t xml:space="preserve"> 16 Mar 1988 p. 813)</w:t>
            </w:r>
          </w:p>
        </w:tc>
      </w:tr>
      <w:tr>
        <w:trPr>
          <w:cantSplit/>
        </w:trPr>
        <w:tc>
          <w:tcPr>
            <w:tcW w:w="2268" w:type="dxa"/>
          </w:tcPr>
          <w:p>
            <w:pPr>
              <w:pStyle w:val="nTable"/>
              <w:spacing w:after="20"/>
              <w:ind w:right="113"/>
            </w:pPr>
            <w:r>
              <w:rPr>
                <w:i/>
              </w:rPr>
              <w:t>Acts Amendment (Accountability) Act 1989</w:t>
            </w:r>
            <w:r>
              <w:t xml:space="preserve"> Pt. 6</w:t>
            </w:r>
          </w:p>
        </w:tc>
        <w:tc>
          <w:tcPr>
            <w:tcW w:w="1134" w:type="dxa"/>
          </w:tcPr>
          <w:p>
            <w:pPr>
              <w:pStyle w:val="nTable"/>
              <w:spacing w:after="20"/>
            </w:pPr>
            <w:r>
              <w:t>5 of 1989</w:t>
            </w:r>
          </w:p>
        </w:tc>
        <w:tc>
          <w:tcPr>
            <w:tcW w:w="1134" w:type="dxa"/>
          </w:tcPr>
          <w:p>
            <w:pPr>
              <w:pStyle w:val="nTable"/>
              <w:spacing w:after="20"/>
            </w:pPr>
            <w:r>
              <w:t>26 Apr 1989</w:t>
            </w:r>
          </w:p>
        </w:tc>
        <w:tc>
          <w:tcPr>
            <w:tcW w:w="2552" w:type="dxa"/>
          </w:tcPr>
          <w:p>
            <w:pPr>
              <w:pStyle w:val="nTable"/>
              <w:spacing w:after="20"/>
            </w:pPr>
            <w:r>
              <w:t xml:space="preserve">1 Jul 1989 (see s. 2 and </w:t>
            </w:r>
            <w:r>
              <w:rPr>
                <w:i/>
              </w:rPr>
              <w:t>Gazette</w:t>
            </w:r>
            <w:r>
              <w:t xml:space="preserve"> 30 Jun 1989 p. 1893)</w:t>
            </w:r>
          </w:p>
        </w:tc>
      </w:tr>
      <w:tr>
        <w:trPr>
          <w:cantSplit/>
        </w:trPr>
        <w:tc>
          <w:tcPr>
            <w:tcW w:w="2268" w:type="dxa"/>
          </w:tcPr>
          <w:p>
            <w:pPr>
              <w:pStyle w:val="nTable"/>
              <w:spacing w:after="20"/>
              <w:ind w:right="113"/>
            </w:pPr>
            <w:r>
              <w:rPr>
                <w:i/>
              </w:rPr>
              <w:t>SGIO Privatisation Act 1992</w:t>
            </w:r>
            <w:r>
              <w:t xml:space="preserve"> s. 28</w:t>
            </w:r>
          </w:p>
        </w:tc>
        <w:tc>
          <w:tcPr>
            <w:tcW w:w="1134" w:type="dxa"/>
          </w:tcPr>
          <w:p>
            <w:pPr>
              <w:pStyle w:val="nTable"/>
              <w:spacing w:after="20"/>
            </w:pPr>
            <w:r>
              <w:t>49 of 1992</w:t>
            </w:r>
          </w:p>
        </w:tc>
        <w:tc>
          <w:tcPr>
            <w:tcW w:w="1134" w:type="dxa"/>
          </w:tcPr>
          <w:p>
            <w:pPr>
              <w:pStyle w:val="nTable"/>
              <w:spacing w:after="20"/>
            </w:pPr>
            <w:r>
              <w:t>9 Dec 1992</w:t>
            </w:r>
          </w:p>
        </w:tc>
        <w:tc>
          <w:tcPr>
            <w:tcW w:w="2552" w:type="dxa"/>
          </w:tcPr>
          <w:p>
            <w:pPr>
              <w:pStyle w:val="nTable"/>
              <w:spacing w:after="20"/>
            </w:pPr>
            <w:r>
              <w:t xml:space="preserve">7 Jan 1993 (see s. 2(3) and </w:t>
            </w:r>
            <w:r>
              <w:rPr>
                <w:i/>
              </w:rPr>
              <w:t>Gazette</w:t>
            </w:r>
            <w:r>
              <w:t xml:space="preserve"> 7 Jan 1993 p. 15)</w:t>
            </w:r>
          </w:p>
        </w:tc>
      </w:tr>
      <w:tr>
        <w:trPr>
          <w:cantSplit/>
        </w:trPr>
        <w:tc>
          <w:tcPr>
            <w:tcW w:w="2268" w:type="dxa"/>
          </w:tcPr>
          <w:p>
            <w:pPr>
              <w:pStyle w:val="nTable"/>
              <w:spacing w:after="20"/>
              <w:ind w:right="113"/>
            </w:pPr>
            <w:r>
              <w:rPr>
                <w:i/>
              </w:rPr>
              <w:t>Financial Administration Legislation Amendment Act 1993</w:t>
            </w:r>
            <w:r>
              <w:t xml:space="preserve"> s. 11</w:t>
            </w:r>
          </w:p>
        </w:tc>
        <w:tc>
          <w:tcPr>
            <w:tcW w:w="1134" w:type="dxa"/>
          </w:tcPr>
          <w:p>
            <w:pPr>
              <w:pStyle w:val="nTable"/>
              <w:spacing w:after="20"/>
            </w:pPr>
            <w:r>
              <w:t>6 of 1993</w:t>
            </w:r>
          </w:p>
        </w:tc>
        <w:tc>
          <w:tcPr>
            <w:tcW w:w="1134" w:type="dxa"/>
          </w:tcPr>
          <w:p>
            <w:pPr>
              <w:pStyle w:val="nTable"/>
              <w:spacing w:after="20"/>
            </w:pPr>
            <w:r>
              <w:t>27 Aug 1993</w:t>
            </w:r>
          </w:p>
        </w:tc>
        <w:tc>
          <w:tcPr>
            <w:tcW w:w="2552" w:type="dxa"/>
          </w:tcPr>
          <w:p>
            <w:pPr>
              <w:pStyle w:val="nTable"/>
              <w:spacing w:after="20"/>
            </w:pPr>
            <w:r>
              <w:t xml:space="preserve"> 1 Jul 1993 (see s. 2(1))</w:t>
            </w:r>
          </w:p>
        </w:tc>
      </w:tr>
      <w:tr>
        <w:trPr>
          <w:cantSplit/>
        </w:trPr>
        <w:tc>
          <w:tcPr>
            <w:tcW w:w="2268" w:type="dxa"/>
          </w:tcPr>
          <w:p>
            <w:pPr>
              <w:pStyle w:val="nTable"/>
              <w:spacing w:after="20"/>
              <w:ind w:right="113"/>
            </w:pPr>
            <w:r>
              <w:rPr>
                <w:i/>
              </w:rPr>
              <w:t>Acts Amendment (Public Sector Management) Act 1994</w:t>
            </w:r>
            <w:r>
              <w:t xml:space="preserve"> s. 19</w:t>
            </w:r>
          </w:p>
        </w:tc>
        <w:tc>
          <w:tcPr>
            <w:tcW w:w="1134" w:type="dxa"/>
          </w:tcPr>
          <w:p>
            <w:pPr>
              <w:pStyle w:val="nTable"/>
              <w:spacing w:after="20"/>
            </w:pPr>
            <w:r>
              <w:t>32 of 1994</w:t>
            </w:r>
          </w:p>
        </w:tc>
        <w:tc>
          <w:tcPr>
            <w:tcW w:w="1134" w:type="dxa"/>
          </w:tcPr>
          <w:p>
            <w:pPr>
              <w:pStyle w:val="nTable"/>
              <w:spacing w:after="20"/>
            </w:pPr>
            <w:r>
              <w:t>29 Jun 1994</w:t>
            </w:r>
          </w:p>
        </w:tc>
        <w:tc>
          <w:tcPr>
            <w:tcW w:w="2552" w:type="dxa"/>
          </w:tcPr>
          <w:p>
            <w:pPr>
              <w:pStyle w:val="nTable"/>
              <w:spacing w:after="20"/>
            </w:pPr>
            <w:r>
              <w:t xml:space="preserve">1 Oct 1994 (see s. 2 and </w:t>
            </w:r>
            <w:r>
              <w:rPr>
                <w:i/>
              </w:rPr>
              <w:t>Gazette</w:t>
            </w:r>
            <w:r>
              <w:t xml:space="preserve"> 30 Sep 1994 p. 4948)</w:t>
            </w:r>
          </w:p>
        </w:tc>
      </w:tr>
      <w:tr>
        <w:trPr>
          <w:cantSplit/>
        </w:trPr>
        <w:tc>
          <w:tcPr>
            <w:tcW w:w="2268" w:type="dxa"/>
          </w:tcPr>
          <w:p>
            <w:pPr>
              <w:pStyle w:val="nTable"/>
              <w:spacing w:after="20"/>
              <w:ind w:right="113"/>
            </w:pPr>
            <w:r>
              <w:rPr>
                <w:i/>
              </w:rPr>
              <w:t>Statutory Corporations (Liability of Directors) Act 1996</w:t>
            </w:r>
            <w:r>
              <w:t xml:space="preserve"> s. 3</w:t>
            </w:r>
          </w:p>
        </w:tc>
        <w:tc>
          <w:tcPr>
            <w:tcW w:w="1134" w:type="dxa"/>
          </w:tcPr>
          <w:p>
            <w:pPr>
              <w:pStyle w:val="nTable"/>
              <w:spacing w:after="20"/>
            </w:pPr>
            <w:r>
              <w:t>41 of 1996</w:t>
            </w:r>
          </w:p>
        </w:tc>
        <w:tc>
          <w:tcPr>
            <w:tcW w:w="1134" w:type="dxa"/>
          </w:tcPr>
          <w:p>
            <w:pPr>
              <w:pStyle w:val="nTable"/>
              <w:spacing w:after="20"/>
            </w:pPr>
            <w:r>
              <w:t>10 Oct 1996</w:t>
            </w:r>
          </w:p>
        </w:tc>
        <w:tc>
          <w:tcPr>
            <w:tcW w:w="2552" w:type="dxa"/>
          </w:tcPr>
          <w:p>
            <w:pPr>
              <w:pStyle w:val="nTable"/>
              <w:spacing w:after="20"/>
            </w:pPr>
            <w:r>
              <w:t xml:space="preserve">1 Dec 1996 (see s. 2 and </w:t>
            </w:r>
            <w:r>
              <w:rPr>
                <w:i/>
              </w:rPr>
              <w:t>Gazette</w:t>
            </w:r>
            <w:r>
              <w:t xml:space="preserve"> 12 Nov 1996 p. 6301)</w:t>
            </w:r>
          </w:p>
        </w:tc>
      </w:tr>
      <w:tr>
        <w:tc>
          <w:tcPr>
            <w:tcW w:w="2268" w:type="dxa"/>
          </w:tcPr>
          <w:p>
            <w:pPr>
              <w:pStyle w:val="nTable"/>
              <w:spacing w:after="20"/>
              <w:ind w:right="113"/>
              <w:rPr>
                <w:rFonts w:ascii="Arial" w:hAnsi="Arial"/>
                <w:b/>
                <w:iCs/>
              </w:rPr>
            </w:pPr>
            <w:r>
              <w:rPr>
                <w:i/>
              </w:rPr>
              <w:t xml:space="preserve">Acts Amendment (ICWA) Act 1996 </w:t>
            </w:r>
            <w:r>
              <w:rPr>
                <w:iCs/>
              </w:rPr>
              <w:t>Pt. 2 (other than s. 25 and 28)</w:t>
            </w:r>
            <w:r>
              <w:rPr>
                <w:iCs/>
                <w:vertAlign w:val="superscript"/>
              </w:rPr>
              <w:t> 15, 16</w:t>
            </w:r>
          </w:p>
        </w:tc>
        <w:tc>
          <w:tcPr>
            <w:tcW w:w="1134" w:type="dxa"/>
          </w:tcPr>
          <w:p>
            <w:pPr>
              <w:pStyle w:val="nTable"/>
              <w:keepNext/>
              <w:spacing w:after="20"/>
            </w:pPr>
            <w:r>
              <w:t>45 of 1996</w:t>
            </w:r>
          </w:p>
        </w:tc>
        <w:tc>
          <w:tcPr>
            <w:tcW w:w="1134" w:type="dxa"/>
          </w:tcPr>
          <w:p>
            <w:pPr>
              <w:pStyle w:val="nTable"/>
              <w:keepNext/>
              <w:spacing w:after="20"/>
            </w:pPr>
            <w:r>
              <w:t>25 Oct 1996</w:t>
            </w:r>
          </w:p>
        </w:tc>
        <w:tc>
          <w:tcPr>
            <w:tcW w:w="2552" w:type="dxa"/>
          </w:tcPr>
          <w:p>
            <w:pPr>
              <w:pStyle w:val="nTable"/>
              <w:spacing w:after="20"/>
            </w:pPr>
            <w:r>
              <w:t xml:space="preserve">s. 3, 6(b) (to the extent it inserts definition of </w:t>
            </w:r>
            <w:r>
              <w:rPr>
                <w:bCs/>
                <w:i/>
                <w:iCs/>
              </w:rPr>
              <w:t>Commission Account</w:t>
            </w:r>
            <w:r>
              <w:t>), 6(c), 9</w:t>
            </w:r>
            <w:r>
              <w:noBreakHyphen/>
              <w:t>12, 15</w:t>
            </w:r>
            <w:r>
              <w:noBreakHyphen/>
              <w:t>19, 23 and 26: 14 Dec 1996</w:t>
            </w:r>
            <w:r>
              <w:br/>
              <w:t xml:space="preserve">(see s. 2 and </w:t>
            </w:r>
            <w:r>
              <w:rPr>
                <w:i/>
              </w:rPr>
              <w:t>Gazette</w:t>
            </w:r>
            <w:r>
              <w:t xml:space="preserve"> 13 Dec 1996 p. 6901);</w:t>
            </w:r>
            <w:r>
              <w:br/>
              <w:t xml:space="preserve">s. 4, 5, 6(b) (to the extent it inserts the definition of </w:t>
            </w:r>
            <w:r>
              <w:rPr>
                <w:bCs/>
                <w:i/>
                <w:iCs/>
              </w:rPr>
              <w:t>Commission</w:t>
            </w:r>
            <w:r>
              <w:t>), 7, 8 and 29</w:t>
            </w:r>
            <w:r>
              <w:noBreakHyphen/>
              <w:t xml:space="preserve">37: 1 Oct 1997 (see s. 2 and </w:t>
            </w:r>
            <w:r>
              <w:rPr>
                <w:i/>
              </w:rPr>
              <w:t>Gazette</w:t>
            </w:r>
            <w:r>
              <w:t xml:space="preserve"> 23 Sep 1997 p. 5357);</w:t>
            </w:r>
            <w:r>
              <w:br/>
            </w:r>
            <w:r>
              <w:rPr>
                <w:snapToGrid w:val="0"/>
              </w:rPr>
              <w:t>s. 6(a), 13, 14, 20</w:t>
            </w:r>
            <w:r>
              <w:rPr>
                <w:snapToGrid w:val="0"/>
              </w:rPr>
              <w:noBreakHyphen/>
              <w:t xml:space="preserve">22, 24 and 27: 1 Jul 2012 (see s. 2 and </w:t>
            </w:r>
            <w:r>
              <w:rPr>
                <w:i/>
                <w:snapToGrid w:val="0"/>
              </w:rPr>
              <w:t xml:space="preserve">Gazette </w:t>
            </w:r>
            <w:r>
              <w:rPr>
                <w:snapToGrid w:val="0"/>
              </w:rPr>
              <w:t>8 Jun 2012 p. 2385)</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State Enterprises (Commonwealth Tax Equivalents) Act 1996</w:t>
            </w:r>
            <w:r>
              <w:t xml:space="preserve"> s. 10(1)</w:t>
            </w:r>
          </w:p>
        </w:tc>
        <w:tc>
          <w:tcPr>
            <w:tcW w:w="1134" w:type="dxa"/>
          </w:tcPr>
          <w:p>
            <w:pPr>
              <w:pStyle w:val="nTable"/>
              <w:spacing w:after="40"/>
            </w:pPr>
            <w:r>
              <w:t>55 of 1996</w:t>
            </w:r>
          </w:p>
        </w:tc>
        <w:tc>
          <w:tcPr>
            <w:tcW w:w="1134" w:type="dxa"/>
          </w:tcPr>
          <w:p>
            <w:pPr>
              <w:pStyle w:val="nTable"/>
              <w:spacing w:after="40"/>
            </w:pPr>
            <w:r>
              <w:t>11 Nov 1996</w:t>
            </w:r>
          </w:p>
        </w:tc>
        <w:tc>
          <w:tcPr>
            <w:tcW w:w="2552" w:type="dxa"/>
          </w:tcPr>
          <w:p>
            <w:pPr>
              <w:pStyle w:val="nTable"/>
              <w:spacing w:after="40"/>
            </w:pPr>
            <w:r>
              <w:t>1 Jul 1996 (see s. 2 and 3(3))</w:t>
            </w:r>
          </w:p>
        </w:tc>
      </w:tr>
      <w:tr>
        <w:trPr>
          <w:cantSplit/>
        </w:trPr>
        <w:tc>
          <w:tcPr>
            <w:tcW w:w="7088" w:type="dxa"/>
            <w:gridSpan w:val="4"/>
          </w:tcPr>
          <w:p>
            <w:pPr>
              <w:pStyle w:val="nTable"/>
              <w:spacing w:after="40"/>
            </w:pPr>
            <w:r>
              <w:rPr>
                <w:b/>
                <w:bCs/>
              </w:rPr>
              <w:t xml:space="preserve">Reprint of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12 Nov 1999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 xml:space="preserve">) </w:t>
            </w:r>
          </w:p>
        </w:tc>
      </w:tr>
      <w:tr>
        <w:trPr>
          <w:cantSplit/>
        </w:trPr>
        <w:tc>
          <w:tcPr>
            <w:tcW w:w="2268" w:type="dxa"/>
          </w:tcPr>
          <w:p>
            <w:pPr>
              <w:pStyle w:val="nTable"/>
              <w:spacing w:after="40"/>
              <w:ind w:right="113"/>
              <w:rPr>
                <w:rFonts w:ascii="Arial" w:hAnsi="Arial"/>
                <w:b/>
              </w:rPr>
            </w:pP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Amendment Act 2002</w:t>
            </w:r>
            <w:r>
              <w:rPr>
                <w:vertAlign w:val="superscript"/>
              </w:rPr>
              <w:t> 17</w:t>
            </w:r>
          </w:p>
        </w:tc>
        <w:tc>
          <w:tcPr>
            <w:tcW w:w="1134" w:type="dxa"/>
          </w:tcPr>
          <w:p>
            <w:pPr>
              <w:pStyle w:val="nTable"/>
              <w:spacing w:after="40"/>
            </w:pPr>
            <w:r>
              <w:t>34 of 2002</w:t>
            </w:r>
          </w:p>
        </w:tc>
        <w:tc>
          <w:tcPr>
            <w:tcW w:w="1134" w:type="dxa"/>
          </w:tcPr>
          <w:p>
            <w:pPr>
              <w:pStyle w:val="nTable"/>
              <w:spacing w:after="40"/>
            </w:pPr>
            <w:r>
              <w:t>20 Nov 2002</w:t>
            </w:r>
          </w:p>
        </w:tc>
        <w:tc>
          <w:tcPr>
            <w:tcW w:w="2552" w:type="dxa"/>
          </w:tcPr>
          <w:p>
            <w:pPr>
              <w:pStyle w:val="nTable"/>
              <w:spacing w:after="40"/>
            </w:pPr>
            <w:r>
              <w:t>20 Nov 2002 (see s. 2)</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rPr>
                <w:snapToGrid w:val="0"/>
              </w:rPr>
              <w:t xml:space="preserve">4 Jan 2005 (see s. 2 and </w:t>
            </w:r>
            <w:r>
              <w:rPr>
                <w:i/>
                <w:snapToGrid w:val="0"/>
              </w:rPr>
              <w:t>Gazette</w:t>
            </w:r>
            <w:r>
              <w:rPr>
                <w:snapToGrid w:val="0"/>
              </w:rPr>
              <w:t xml:space="preserve"> 31 Dec 2004 p. 7131)</w:t>
            </w:r>
          </w:p>
        </w:tc>
      </w:tr>
      <w:tr>
        <w:trPr>
          <w:cantSplit/>
        </w:trPr>
        <w:tc>
          <w:tcPr>
            <w:tcW w:w="2268" w:type="dxa"/>
          </w:tcPr>
          <w:p>
            <w:pPr>
              <w:pStyle w:val="nTable"/>
              <w:spacing w:after="40"/>
              <w:ind w:right="113"/>
              <w:rPr>
                <w:i/>
                <w:snapToGrid w:val="0"/>
              </w:rPr>
            </w:pPr>
            <w:r>
              <w:rPr>
                <w:i/>
                <w:snapToGrid w:val="0"/>
              </w:rPr>
              <w:t>Machinery of Government (Miscellaneous Amendments) Act 2006</w:t>
            </w:r>
            <w:r>
              <w:rPr>
                <w:i/>
                <w:iCs/>
                <w:snapToGrid w:val="0"/>
              </w:rPr>
              <w:t xml:space="preserve"> </w:t>
            </w:r>
            <w:r>
              <w:rPr>
                <w:snapToGrid w:val="0"/>
              </w:rPr>
              <w:t>Pt. 17 Div.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8" w:type="dxa"/>
            <w:gridSpan w:val="4"/>
          </w:tcPr>
          <w:p>
            <w:pPr>
              <w:pStyle w:val="nTable"/>
              <w:spacing w:after="40"/>
              <w:rPr>
                <w:snapToGrid w:val="0"/>
                <w:spacing w:val="-2"/>
              </w:rPr>
            </w:pPr>
            <w:r>
              <w:rPr>
                <w:b/>
                <w:bCs/>
              </w:rPr>
              <w:t xml:space="preserve">Reprint 2: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8 Sep 2006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91</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18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79</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47</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Standardisation of Formatting Act 2010</w:t>
            </w:r>
            <w:r>
              <w:rPr>
                <w:iCs/>
                <w:snapToGrid w:val="0"/>
              </w:rPr>
              <w:t xml:space="preserve"> s. 4</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pPr>
            <w:r>
              <w:rPr>
                <w:b/>
                <w:bCs/>
              </w:rPr>
              <w:t xml:space="preserve">Reprint 3: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 Oct 2010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rPr>
                <w:iCs/>
                <w:snapToGrid w:val="0"/>
                <w:u w:val="single"/>
              </w:rPr>
            </w:pPr>
            <w:r>
              <w:rPr>
                <w:i/>
                <w:iCs/>
                <w:snapToGrid w:val="0"/>
              </w:rPr>
              <w:t>Statutes (Repeals and Minor Amendments) Act 2011</w:t>
            </w:r>
            <w:r>
              <w:rPr>
                <w:iCs/>
                <w:snapToGrid w:val="0"/>
              </w:rPr>
              <w:t xml:space="preserve"> s. 6</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268" w:type="dxa"/>
            <w:shd w:val="clear" w:color="auto" w:fill="auto"/>
          </w:tcPr>
          <w:p>
            <w:pPr>
              <w:pStyle w:val="nTable"/>
              <w:spacing w:after="40"/>
              <w:rPr>
                <w:i/>
                <w:iCs/>
                <w:snapToGrid w:val="0"/>
              </w:rPr>
            </w:pPr>
            <w:r>
              <w:rPr>
                <w:i/>
                <w:iCs/>
                <w:snapToGrid w:val="0"/>
              </w:rPr>
              <w:t>Insurance Commission of Western Australia Amendment Act 2013</w:t>
            </w:r>
          </w:p>
        </w:tc>
        <w:tc>
          <w:tcPr>
            <w:tcW w:w="1134" w:type="dxa"/>
            <w:shd w:val="clear" w:color="auto" w:fill="auto"/>
          </w:tcPr>
          <w:p>
            <w:pPr>
              <w:pStyle w:val="nTable"/>
              <w:spacing w:after="40"/>
              <w:rPr>
                <w:snapToGrid w:val="0"/>
              </w:rPr>
            </w:pPr>
            <w:r>
              <w:rPr>
                <w:snapToGrid w:val="0"/>
              </w:rPr>
              <w:t>7 of 2013</w:t>
            </w:r>
          </w:p>
        </w:tc>
        <w:tc>
          <w:tcPr>
            <w:tcW w:w="1134" w:type="dxa"/>
            <w:shd w:val="clear" w:color="auto" w:fill="auto"/>
          </w:tcPr>
          <w:p>
            <w:pPr>
              <w:pStyle w:val="nTable"/>
              <w:spacing w:after="40"/>
              <w:rPr>
                <w:snapToGrid w:val="0"/>
              </w:rPr>
            </w:pPr>
            <w:r>
              <w:rPr>
                <w:snapToGrid w:val="0"/>
              </w:rPr>
              <w:t>19 Aug 2013</w:t>
            </w:r>
          </w:p>
        </w:tc>
        <w:tc>
          <w:tcPr>
            <w:tcW w:w="2552" w:type="dxa"/>
            <w:shd w:val="clear" w:color="auto" w:fill="auto"/>
          </w:tcPr>
          <w:p>
            <w:pPr>
              <w:pStyle w:val="nTable"/>
              <w:spacing w:after="40"/>
              <w:rPr>
                <w:snapToGrid w:val="0"/>
              </w:rPr>
            </w:pPr>
            <w:r>
              <w:rPr>
                <w:snapToGrid w:val="0"/>
              </w:rPr>
              <w:t>s. 1 and 2: 19 Aug 2013 (see s. 2(a));</w:t>
            </w:r>
            <w:r>
              <w:rPr>
                <w:snapToGrid w:val="0"/>
              </w:rPr>
              <w:br/>
              <w:t>Act other than s. 1 and 2: 20 Aug 2013 (see s. 2(b))</w:t>
            </w:r>
          </w:p>
        </w:tc>
      </w:tr>
      <w:tr>
        <w:trPr>
          <w:cantSplit/>
        </w:trPr>
        <w:tc>
          <w:tcPr>
            <w:tcW w:w="7088" w:type="dxa"/>
            <w:gridSpan w:val="4"/>
            <w:shd w:val="clear" w:color="auto" w:fill="auto"/>
          </w:tcPr>
          <w:p>
            <w:pPr>
              <w:pStyle w:val="nTable"/>
              <w:spacing w:after="40"/>
            </w:pPr>
            <w:r>
              <w:rPr>
                <w:b/>
                <w:bCs/>
              </w:rPr>
              <w:t xml:space="preserve">Reprint 4: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10 Jan 2014 </w:t>
            </w:r>
            <w:r>
              <w:t xml:space="preserve">(includes amendments listed above) (correction in </w:t>
            </w:r>
            <w:r>
              <w:rPr>
                <w:i/>
              </w:rPr>
              <w:t xml:space="preserve">Gazette </w:t>
            </w:r>
            <w:r>
              <w:t>4 Aug 2015 p. 3135)</w:t>
            </w:r>
          </w:p>
        </w:tc>
      </w:tr>
      <w:tr>
        <w:trPr>
          <w:cantSplit/>
        </w:trPr>
        <w:tc>
          <w:tcPr>
            <w:tcW w:w="2268" w:type="dxa"/>
            <w:shd w:val="clear" w:color="auto" w:fill="auto"/>
          </w:tcPr>
          <w:p>
            <w:pPr>
              <w:pStyle w:val="nTable"/>
              <w:spacing w:after="40"/>
              <w:rPr>
                <w:i/>
              </w:rPr>
            </w:pPr>
            <w:r>
              <w:rPr>
                <w:i/>
                <w:snapToGrid w:val="0"/>
              </w:rPr>
              <w:t xml:space="preserve">Associations Incorporation Act 2015 </w:t>
            </w:r>
            <w:r>
              <w:rPr>
                <w:snapToGrid w:val="0"/>
              </w:rPr>
              <w:t>s. 219</w:t>
            </w:r>
          </w:p>
        </w:tc>
        <w:tc>
          <w:tcPr>
            <w:tcW w:w="1134" w:type="dxa"/>
            <w:shd w:val="clear" w:color="auto" w:fill="auto"/>
          </w:tcPr>
          <w:p>
            <w:pPr>
              <w:pStyle w:val="nTable"/>
              <w:spacing w:after="40"/>
            </w:pPr>
            <w:r>
              <w:t>30 of 2015</w:t>
            </w:r>
          </w:p>
        </w:tc>
        <w:tc>
          <w:tcPr>
            <w:tcW w:w="1134" w:type="dxa"/>
            <w:shd w:val="clear" w:color="auto" w:fill="auto"/>
          </w:tcPr>
          <w:p>
            <w:pPr>
              <w:pStyle w:val="nTable"/>
              <w:spacing w:after="40"/>
            </w:pPr>
            <w:r>
              <w:t>2 Nov 2015</w:t>
            </w:r>
          </w:p>
        </w:tc>
        <w:tc>
          <w:tcPr>
            <w:tcW w:w="2552" w:type="dxa"/>
            <w:shd w:val="clear" w:color="auto" w:fill="auto"/>
          </w:tcPr>
          <w:p>
            <w:pPr>
              <w:pStyle w:val="nTable"/>
              <w:spacing w:after="40"/>
            </w:pPr>
            <w:r>
              <w:t xml:space="preserve">1 Jul 2016 (see s. (b) and </w:t>
            </w:r>
            <w:r>
              <w:rPr>
                <w:i/>
              </w:rPr>
              <w:t xml:space="preserve">Gazette </w:t>
            </w:r>
            <w:r>
              <w:t>24 Jun 2016 p. 2291-2)</w:t>
            </w:r>
          </w:p>
        </w:tc>
      </w:tr>
      <w:tr>
        <w:trPr>
          <w:cantSplit/>
        </w:trPr>
        <w:tc>
          <w:tcPr>
            <w:tcW w:w="2268" w:type="dxa"/>
            <w:shd w:val="clear" w:color="auto" w:fill="auto"/>
          </w:tcPr>
          <w:p>
            <w:pPr>
              <w:pStyle w:val="nTable"/>
              <w:spacing w:after="40"/>
              <w:rPr>
                <w:i/>
                <w:iCs/>
                <w:snapToGrid w:val="0"/>
              </w:rPr>
            </w:pPr>
            <w:r>
              <w:rPr>
                <w:i/>
              </w:rPr>
              <w:t>Motor Vehicle (Catastrophic Injuries) Act 2016</w:t>
            </w:r>
            <w:r>
              <w:t xml:space="preserve"> Pt. 7 Div. 2</w:t>
            </w:r>
          </w:p>
        </w:tc>
        <w:tc>
          <w:tcPr>
            <w:tcW w:w="1134" w:type="dxa"/>
            <w:shd w:val="clear" w:color="auto" w:fill="auto"/>
          </w:tcPr>
          <w:p>
            <w:pPr>
              <w:pStyle w:val="nTable"/>
              <w:spacing w:after="40"/>
              <w:rPr>
                <w:snapToGrid w:val="0"/>
              </w:rPr>
            </w:pPr>
            <w:r>
              <w:t>8 of 2016</w:t>
            </w:r>
          </w:p>
        </w:tc>
        <w:tc>
          <w:tcPr>
            <w:tcW w:w="1134" w:type="dxa"/>
            <w:shd w:val="clear" w:color="auto" w:fill="auto"/>
          </w:tcPr>
          <w:p>
            <w:pPr>
              <w:pStyle w:val="nTable"/>
              <w:spacing w:after="40"/>
              <w:rPr>
                <w:snapToGrid w:val="0"/>
              </w:rPr>
            </w:pPr>
            <w:r>
              <w:t>14 Apr 2016</w:t>
            </w:r>
          </w:p>
        </w:tc>
        <w:tc>
          <w:tcPr>
            <w:tcW w:w="2552" w:type="dxa"/>
            <w:shd w:val="clear" w:color="auto" w:fill="auto"/>
          </w:tcPr>
          <w:p>
            <w:pPr>
              <w:pStyle w:val="nTable"/>
              <w:spacing w:after="40"/>
              <w:rPr>
                <w:snapToGrid w:val="0"/>
              </w:rPr>
            </w:pPr>
            <w:r>
              <w:t xml:space="preserve">14 May 2016 (see s. 2(b) and </w:t>
            </w:r>
            <w:r>
              <w:rPr>
                <w:i/>
              </w:rPr>
              <w:t xml:space="preserve">Gazette </w:t>
            </w:r>
            <w:r>
              <w:t>13 May 2016 p. 1421)</w:t>
            </w:r>
          </w:p>
        </w:tc>
      </w:tr>
      <w:tr>
        <w:trPr>
          <w:cantSplit/>
        </w:trPr>
        <w:tc>
          <w:tcPr>
            <w:tcW w:w="7088" w:type="dxa"/>
            <w:gridSpan w:val="4"/>
            <w:tcBorders>
              <w:bottom w:val="single" w:sz="8" w:space="0" w:color="auto"/>
            </w:tcBorders>
            <w:shd w:val="clear" w:color="auto" w:fill="auto"/>
          </w:tcPr>
          <w:p>
            <w:pPr>
              <w:pStyle w:val="nTable"/>
              <w:spacing w:after="40"/>
              <w:rPr>
                <w:b/>
                <w:bCs/>
              </w:rPr>
            </w:pPr>
            <w:r>
              <w:rPr>
                <w:b/>
                <w:bCs/>
              </w:rPr>
              <w:t xml:space="preserve">Reprint 5: The </w:t>
            </w:r>
            <w:r>
              <w:rPr>
                <w:b/>
                <w:bCs/>
                <w:i/>
                <w:noProof/>
              </w:rPr>
              <w:t>Insurance Commission of Western Australia Act 1986</w:t>
            </w:r>
            <w:r>
              <w:rPr>
                <w:b/>
                <w:bCs/>
              </w:rPr>
              <w:t xml:space="preserve"> as at 31 Aug 2016 </w:t>
            </w:r>
            <w:r>
              <w:rPr>
                <w:bCs/>
              </w:rPr>
              <w:t>(includes amendments listed above)</w:t>
            </w:r>
          </w:p>
        </w:tc>
      </w:tr>
    </w:tbl>
    <w:p>
      <w:pPr>
        <w:pStyle w:val="nSubsection"/>
        <w:spacing w:before="24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139" w:name="_Toc457815137"/>
      <w:r>
        <w:t>Provisions that have not come into operation</w:t>
      </w:r>
      <w:bookmarkEnd w:id="13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snapToGrid w:val="0"/>
              </w:rPr>
              <w:t>Acts Amendment (ICWA) Act 1996</w:t>
            </w:r>
            <w:r>
              <w:rPr>
                <w:snapToGrid w:val="0"/>
              </w:rPr>
              <w:t xml:space="preserve"> s. 25 and 28 </w:t>
            </w:r>
            <w:r>
              <w:rPr>
                <w:snapToGrid w:val="0"/>
                <w:vertAlign w:val="superscript"/>
              </w:rPr>
              <w:t>18</w:t>
            </w:r>
          </w:p>
        </w:tc>
        <w:tc>
          <w:tcPr>
            <w:tcW w:w="1134" w:type="dxa"/>
            <w:tcBorders>
              <w:top w:val="single" w:sz="8" w:space="0" w:color="auto"/>
            </w:tcBorders>
          </w:tcPr>
          <w:p>
            <w:pPr>
              <w:pStyle w:val="nTable"/>
              <w:keepNext/>
              <w:spacing w:after="40"/>
            </w:pPr>
            <w:r>
              <w:t>45 of 1996</w:t>
            </w:r>
          </w:p>
        </w:tc>
        <w:tc>
          <w:tcPr>
            <w:tcW w:w="1134" w:type="dxa"/>
            <w:tcBorders>
              <w:top w:val="single" w:sz="8" w:space="0" w:color="auto"/>
            </w:tcBorders>
          </w:tcPr>
          <w:p>
            <w:pPr>
              <w:pStyle w:val="nTable"/>
              <w:keepNext/>
              <w:spacing w:after="40"/>
            </w:pPr>
            <w:r>
              <w:t>25 Oct 1996</w:t>
            </w:r>
          </w:p>
        </w:tc>
        <w:tc>
          <w:tcPr>
            <w:tcW w:w="2552" w:type="dxa"/>
            <w:tcBorders>
              <w:top w:val="single" w:sz="8" w:space="0" w:color="auto"/>
            </w:tcBorders>
          </w:tcPr>
          <w:p>
            <w:pPr>
              <w:pStyle w:val="nTable"/>
              <w:keepNext/>
              <w:spacing w:after="40"/>
            </w:pPr>
            <w:r>
              <w:t>To be proclaimed (see s. 2)</w:t>
            </w:r>
          </w:p>
        </w:tc>
      </w:tr>
      <w:tr>
        <w:trPr>
          <w:cantSplit/>
        </w:trPr>
        <w:tc>
          <w:tcPr>
            <w:tcW w:w="2268" w:type="dxa"/>
            <w:tcBorders>
              <w:bottom w:val="single" w:sz="8" w:space="0" w:color="auto"/>
            </w:tcBorders>
            <w:shd w:val="clear" w:color="auto" w:fill="auto"/>
          </w:tcPr>
          <w:p>
            <w:pPr>
              <w:pStyle w:val="nTable"/>
              <w:spacing w:after="40"/>
              <w:ind w:right="113"/>
              <w:rPr>
                <w:i/>
                <w:snapToGrid w:val="0"/>
              </w:rPr>
            </w:pPr>
            <w:r>
              <w:rPr>
                <w:i/>
                <w:snapToGrid w:val="0"/>
              </w:rPr>
              <w:t xml:space="preserve">State Superannuation (Transitional and Consequential Provisions) Act 2000 </w:t>
            </w:r>
            <w:r>
              <w:rPr>
                <w:snapToGrid w:val="0"/>
              </w:rPr>
              <w:t>s. 50 </w:t>
            </w:r>
            <w:r>
              <w:rPr>
                <w:snapToGrid w:val="0"/>
                <w:vertAlign w:val="superscript"/>
              </w:rPr>
              <w:t>19</w:t>
            </w:r>
          </w:p>
        </w:tc>
        <w:tc>
          <w:tcPr>
            <w:tcW w:w="1134" w:type="dxa"/>
            <w:tcBorders>
              <w:bottom w:val="single" w:sz="8" w:space="0" w:color="auto"/>
            </w:tcBorders>
            <w:shd w:val="clear" w:color="auto" w:fill="auto"/>
          </w:tcPr>
          <w:p>
            <w:pPr>
              <w:pStyle w:val="nTable"/>
              <w:keepNext/>
              <w:spacing w:after="40"/>
            </w:pPr>
            <w:r>
              <w:t>43 of 2000</w:t>
            </w:r>
          </w:p>
        </w:tc>
        <w:tc>
          <w:tcPr>
            <w:tcW w:w="1134" w:type="dxa"/>
            <w:tcBorders>
              <w:bottom w:val="single" w:sz="8" w:space="0" w:color="auto"/>
            </w:tcBorders>
            <w:shd w:val="clear" w:color="auto" w:fill="auto"/>
          </w:tcPr>
          <w:p>
            <w:pPr>
              <w:pStyle w:val="nTable"/>
              <w:keepNext/>
              <w:spacing w:after="40"/>
            </w:pPr>
            <w:r>
              <w:t>2 Nov 2000</w:t>
            </w:r>
          </w:p>
        </w:tc>
        <w:tc>
          <w:tcPr>
            <w:tcW w:w="2552" w:type="dxa"/>
            <w:tcBorders>
              <w:bottom w:val="single" w:sz="8" w:space="0" w:color="auto"/>
            </w:tcBorders>
            <w:shd w:val="clear" w:color="auto" w:fill="auto"/>
          </w:tcPr>
          <w:p>
            <w:pPr>
              <w:pStyle w:val="nTable"/>
              <w:keepNext/>
              <w:spacing w:after="40"/>
            </w:pPr>
            <w:r>
              <w:t>To be proclaimed (see s. 2(2))</w:t>
            </w:r>
          </w:p>
        </w:tc>
      </w:tr>
    </w:tbl>
    <w:p>
      <w:pPr>
        <w:pStyle w:val="nSubsection"/>
        <w:spacing w:before="160"/>
        <w:rPr>
          <w:snapToGrid w:val="0"/>
        </w:rPr>
      </w:pPr>
      <w:r>
        <w:rPr>
          <w:snapToGrid w:val="0"/>
          <w:vertAlign w:val="superscript"/>
        </w:rPr>
        <w:t>2</w:t>
      </w:r>
      <w:r>
        <w:rPr>
          <w:snapToGrid w:val="0"/>
        </w:rPr>
        <w:tab/>
        <w:t xml:space="preserve">The </w:t>
      </w:r>
      <w:r>
        <w:rPr>
          <w:i/>
        </w:rPr>
        <w:t xml:space="preserve">Life Insurance Act 1945 </w:t>
      </w:r>
      <w:r>
        <w:t>was r</w:t>
      </w:r>
      <w:r>
        <w:rPr>
          <w:snapToGrid w:val="0"/>
        </w:rPr>
        <w:t xml:space="preserve">epealed by the </w:t>
      </w:r>
      <w:r>
        <w:rPr>
          <w:i/>
          <w:iCs/>
          <w:snapToGrid w:val="0"/>
        </w:rPr>
        <w:t>Life Insurance (Consequential Amendments and Repeals) Act 1995</w:t>
      </w:r>
      <w:r>
        <w:rPr>
          <w:snapToGrid w:val="0"/>
        </w:rPr>
        <w:t xml:space="preserve"> s. 5.</w:t>
      </w:r>
    </w:p>
    <w:p>
      <w:pPr>
        <w:pStyle w:val="nSubsection"/>
        <w:rPr>
          <w:snapToGrid w:val="0"/>
        </w:rPr>
      </w:pPr>
      <w:r>
        <w:rPr>
          <w:snapToGrid w:val="0"/>
          <w:vertAlign w:val="superscript"/>
        </w:rPr>
        <w:t>3</w:t>
      </w:r>
      <w:r>
        <w:rPr>
          <w:snapToGrid w:val="0"/>
        </w:rPr>
        <w:tab/>
        <w:t xml:space="preserve">The </w:t>
      </w:r>
      <w:r>
        <w:rPr>
          <w:i/>
          <w:snapToGrid w:val="0"/>
        </w:rPr>
        <w:t>State Government Insurance Office Act 1938</w:t>
      </w:r>
      <w:r>
        <w:rPr>
          <w:snapToGrid w:val="0"/>
        </w:rPr>
        <w:t xml:space="preserve"> was repealed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rPr>
          <w:snapToGrid w:val="0"/>
        </w:rPr>
        <w:t xml:space="preserve"> s. 46(1).</w:t>
      </w:r>
    </w:p>
    <w:p>
      <w:pPr>
        <w:pStyle w:val="nSubsection"/>
        <w:rPr>
          <w:iCs/>
        </w:rPr>
      </w:pPr>
      <w:r>
        <w:rPr>
          <w:vertAlign w:val="superscript"/>
        </w:rPr>
        <w:t>4</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5</w:t>
      </w:r>
      <w:r>
        <w:tab/>
        <w:t xml:space="preserve">The </w:t>
      </w:r>
      <w:r>
        <w:rPr>
          <w:i/>
        </w:rPr>
        <w:t xml:space="preserve">Motor Vehicle (Third Party Insurance) Act 1943 </w:t>
      </w:r>
      <w:r>
        <w:t xml:space="preserve">s. 3P(4a) was deleted by the </w:t>
      </w:r>
      <w:r>
        <w:rPr>
          <w:i/>
        </w:rPr>
        <w:t xml:space="preserve">Motor Vehicle (Third Party Insurance Surcharge) Repeal Act 1988 </w:t>
      </w:r>
      <w:r>
        <w:t>s. 5.</w:t>
      </w:r>
    </w:p>
    <w:p>
      <w:pPr>
        <w:pStyle w:val="nSubsection"/>
        <w:rPr>
          <w:snapToGrid w:val="0"/>
        </w:rPr>
      </w:pPr>
      <w:r>
        <w:rPr>
          <w:snapToGrid w:val="0"/>
          <w:vertAlign w:val="superscript"/>
        </w:rPr>
        <w:t>6</w:t>
      </w:r>
      <w:r>
        <w:rPr>
          <w:snapToGrid w:val="0"/>
        </w:rPr>
        <w:tab/>
        <w:t xml:space="preserve">The </w:t>
      </w:r>
      <w:r>
        <w:rPr>
          <w:i/>
          <w:snapToGrid w:val="0"/>
        </w:rPr>
        <w:t>Financial Administration and Audit Act 1985</w:t>
      </w:r>
      <w:r>
        <w:rPr>
          <w:snapToGrid w:val="0"/>
        </w:rPr>
        <w:t xml:space="preserve"> was repealed by the </w:t>
      </w:r>
      <w:r>
        <w:rPr>
          <w:i/>
          <w:snapToGrid w:val="0"/>
        </w:rPr>
        <w:t>Financial Legislation Amendment and Repeal Act 2006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8</w:t>
      </w:r>
      <w:r>
        <w:rPr>
          <w:snapToGrid w:val="0"/>
        </w:rPr>
        <w:tab/>
        <w:t xml:space="preserve">Section 31(2)(k) of this Act was deleted by the </w:t>
      </w:r>
      <w:r>
        <w:rPr>
          <w:i/>
          <w:snapToGrid w:val="0"/>
        </w:rPr>
        <w:t xml:space="preserve">SGIO Privatisation Act 1992 </w:t>
      </w:r>
      <w:r>
        <w:rPr>
          <w:snapToGrid w:val="0"/>
        </w:rPr>
        <w:t>s. 28</w:t>
      </w:r>
      <w:r>
        <w:rPr>
          <w:i/>
          <w:snapToGrid w:val="0"/>
        </w:rPr>
        <w:t>.</w:t>
      </w:r>
    </w:p>
    <w:p>
      <w:pPr>
        <w:pStyle w:val="nSubsection"/>
        <w:rPr>
          <w:iCs/>
        </w:rPr>
      </w:pPr>
      <w:r>
        <w:rPr>
          <w:vertAlign w:val="superscript"/>
        </w:rPr>
        <w:t>9</w:t>
      </w:r>
      <w:r>
        <w:tab/>
        <w:t xml:space="preserve">The </w:t>
      </w:r>
      <w:r>
        <w:rPr>
          <w:i/>
          <w:snapToGrid w:val="0"/>
        </w:rPr>
        <w:t>State Trading Concerns Act 1916</w:t>
      </w:r>
      <w:r>
        <w:rPr>
          <w:snapToGrid w:val="0"/>
        </w:rPr>
        <w:t xml:space="preserve"> </w:t>
      </w:r>
      <w:r>
        <w:t xml:space="preserve">s. 21 and 22 were deleted by the </w:t>
      </w:r>
      <w:r>
        <w:rPr>
          <w:i/>
        </w:rPr>
        <w:t>Acts Amendment (Financial Administration and Audit) Act 1985</w:t>
      </w:r>
      <w:r>
        <w:t xml:space="preserve"> s. 3.</w:t>
      </w:r>
    </w:p>
    <w:p>
      <w:pPr>
        <w:pStyle w:val="nSubsection"/>
        <w:rPr>
          <w:iCs/>
        </w:rPr>
      </w:pPr>
      <w:r>
        <w:rPr>
          <w:vertAlign w:val="superscript"/>
        </w:rPr>
        <w:t>10</w:t>
      </w:r>
      <w:r>
        <w:tab/>
        <w:t xml:space="preserve">The </w:t>
      </w:r>
      <w:r>
        <w:rPr>
          <w:i/>
          <w:snapToGrid w:val="0"/>
        </w:rPr>
        <w:t>Employers’ Indemnity Supplementation Fund Act 1980</w:t>
      </w:r>
      <w:r>
        <w:rPr>
          <w:snapToGrid w:val="0"/>
        </w:rPr>
        <w:t xml:space="preserve"> s. 26</w:t>
      </w:r>
      <w:r>
        <w:t xml:space="preserve"> was deleted by the </w:t>
      </w:r>
      <w:r>
        <w:rPr>
          <w:i/>
        </w:rPr>
        <w:t>State Government Insurance Commission Act 1986</w:t>
      </w:r>
      <w:r>
        <w:t xml:space="preserve"> s. 46(2).</w:t>
      </w:r>
    </w:p>
    <w:p>
      <w:pPr>
        <w:pStyle w:val="nSubsection"/>
      </w:pPr>
      <w:r>
        <w:rPr>
          <w:vertAlign w:val="superscript"/>
        </w:rPr>
        <w:t>11</w:t>
      </w:r>
      <w:r>
        <w:rPr>
          <w:vertAlign w:val="superscript"/>
        </w:rPr>
        <w:tab/>
      </w:r>
      <w:r>
        <w:t xml:space="preserve">Under the </w:t>
      </w:r>
      <w:r>
        <w:rPr>
          <w:i/>
        </w:rPr>
        <w:t>Public Sector Management Act 1994</w:t>
      </w:r>
      <w:r>
        <w:t xml:space="preserve"> s. 112(1),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r>
        <w:t>.</w:t>
      </w:r>
    </w:p>
    <w:p>
      <w:pPr>
        <w:pStyle w:val="nSubsection"/>
        <w:rPr>
          <w:snapToGrid w:val="0"/>
        </w:rPr>
      </w:pPr>
      <w:r>
        <w:rPr>
          <w:vertAlign w:val="superscript"/>
        </w:rPr>
        <w:t>12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w:t>
      </w:r>
    </w:p>
    <w:p>
      <w:pPr>
        <w:pStyle w:val="nSubsection"/>
      </w:pPr>
      <w:r>
        <w:rPr>
          <w:snapToGrid w:val="0"/>
          <w:vertAlign w:val="superscript"/>
        </w:rPr>
        <w:t>13</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which is a term defined in the </w:t>
      </w:r>
      <w:r>
        <w:rPr>
          <w:i/>
        </w:rPr>
        <w:t>Interpretation Act 1984</w:t>
      </w:r>
      <w:r>
        <w:t xml:space="preserve">. </w:t>
      </w:r>
    </w:p>
    <w:p>
      <w:pPr>
        <w:pStyle w:val="nSubsection"/>
        <w:rPr>
          <w:iCs/>
          <w:snapToGrid w:val="0"/>
        </w:rPr>
      </w:pPr>
      <w:r>
        <w:rPr>
          <w:snapToGrid w:val="0"/>
          <w:vertAlign w:val="superscript"/>
        </w:rPr>
        <w:t>14</w:t>
      </w:r>
      <w:r>
        <w:rPr>
          <w:snapToGrid w:val="0"/>
        </w:rPr>
        <w:tab/>
        <w:t xml:space="preserve">Now known as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iCs/>
          <w:snapToGrid w:val="0"/>
        </w:rPr>
        <w:t>; short title changed (see note under s. 1).</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spacing w:before="0"/>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Subsection"/>
        <w:rPr>
          <w:snapToGrid w:val="0"/>
        </w:rPr>
      </w:pPr>
      <w:r>
        <w:rPr>
          <w:snapToGrid w:val="0"/>
          <w:vertAlign w:val="superscript"/>
        </w:rPr>
        <w:t>16</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Subsection"/>
        <w:keepNext/>
        <w:rPr>
          <w:snapToGrid w:val="0"/>
        </w:rPr>
      </w:pPr>
      <w:r>
        <w:rPr>
          <w:snapToGrid w:val="0"/>
          <w:vertAlign w:val="superscript"/>
        </w:rPr>
        <w:t>17</w:t>
      </w:r>
      <w:r>
        <w:rPr>
          <w:snapToGrid w:val="0"/>
        </w:rPr>
        <w:tab/>
        <w:t xml:space="preserve">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w:t>
      </w:r>
      <w:r>
        <w:rPr>
          <w:i/>
        </w:rPr>
        <w:t>2002</w:t>
      </w:r>
      <w:r>
        <w:t xml:space="preserve"> s. 10 </w:t>
      </w:r>
      <w:r>
        <w:rPr>
          <w:snapToGrid w:val="0"/>
        </w:rPr>
        <w:t>reads as follows: </w:t>
      </w:r>
    </w:p>
    <w:p>
      <w:pPr>
        <w:pStyle w:val="BlankOpen"/>
        <w:keepNext w:val="0"/>
        <w:rPr>
          <w:snapToGrid w:val="0"/>
          <w:sz w:val="20"/>
        </w:rPr>
      </w:pPr>
    </w:p>
    <w:p>
      <w:pPr>
        <w:pStyle w:val="nzHeading5"/>
        <w:spacing w:before="0"/>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 </w:t>
      </w:r>
      <w:r>
        <w:t>as amended by this Act are taken always to have been functions of the Commission.</w:t>
      </w:r>
    </w:p>
    <w:p>
      <w:pPr>
        <w:pStyle w:val="BlankClose"/>
        <w:rPr>
          <w:sz w:val="20"/>
        </w:rPr>
      </w:pPr>
    </w:p>
    <w:p>
      <w:pPr>
        <w:pStyle w:val="nSubsection"/>
        <w:keepNext/>
        <w:rPr>
          <w:snapToGrid w:val="0"/>
        </w:rPr>
      </w:pPr>
      <w:r>
        <w:rPr>
          <w:snapToGrid w:val="0"/>
          <w:vertAlign w:val="superscript"/>
        </w:rPr>
        <w:t>18</w:t>
      </w:r>
      <w:r>
        <w:rPr>
          <w:snapToGrid w:val="0"/>
        </w:rPr>
        <w:tab/>
        <w:t xml:space="preserve">On the date as at which this reprint was prepared, the </w:t>
      </w:r>
      <w:r>
        <w:rPr>
          <w:i/>
          <w:snapToGrid w:val="0"/>
        </w:rPr>
        <w:t>Acts Amendment (ICWA) Act 1996</w:t>
      </w:r>
      <w:r>
        <w:rPr>
          <w:snapToGrid w:val="0"/>
        </w:rPr>
        <w:t xml:space="preserve"> s. 25 and 28 had not come into operation.  They read as follows:</w:t>
      </w:r>
    </w:p>
    <w:p>
      <w:pPr>
        <w:pStyle w:val="BlankOpen"/>
        <w:rPr>
          <w:snapToGrid w:val="0"/>
        </w:rPr>
      </w:pPr>
    </w:p>
    <w:p>
      <w:pPr>
        <w:pStyle w:val="nzHeading5"/>
        <w:spacing w:before="0"/>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BlankClose"/>
        <w:rPr>
          <w:snapToGrid w:val="0"/>
        </w:rPr>
      </w:pPr>
    </w:p>
    <w:p>
      <w:pPr>
        <w:pStyle w:val="nSubsection"/>
        <w:keepNext/>
        <w:rPr>
          <w:snapToGrid w:val="0"/>
        </w:rPr>
      </w:pPr>
      <w:r>
        <w:rPr>
          <w:snapToGrid w:val="0"/>
          <w:vertAlign w:val="superscript"/>
        </w:rPr>
        <w:t>19</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p>
    <w:p>
      <w:pPr>
        <w:pStyle w:val="nzHeading5"/>
        <w:spacing w:before="0"/>
      </w:pPr>
      <w:r>
        <w:rPr>
          <w:rStyle w:val="CharSectno"/>
        </w:rPr>
        <w:t>50</w:t>
      </w:r>
      <w:r>
        <w:t>.</w:t>
      </w:r>
      <w:r>
        <w:tab/>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amended</w:t>
      </w:r>
    </w:p>
    <w:p>
      <w:pPr>
        <w:pStyle w:val="nzSubsection"/>
      </w:pPr>
      <w:r>
        <w:tab/>
      </w:r>
      <w:r>
        <w:tab/>
        <w:t xml:space="preserve">Clause 16(2) of Schedule 4 to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is amended by deleting “(including, if he is a contributor under the </w:t>
      </w:r>
      <w:r>
        <w:rPr>
          <w:i/>
        </w:rPr>
        <w:t>Superannuation and Family Benefits Act 1938</w:t>
      </w:r>
      <w:r>
        <w:t>, his rights under that Act)”.</w:t>
      </w:r>
    </w:p>
    <w:p>
      <w:pPr>
        <w:pStyle w:val="BlankClose"/>
        <w:rPr>
          <w:snapToGrid w:val="0"/>
          <w:sz w:val="20"/>
          <w:szCs w:val="20"/>
        </w:rPr>
      </w:pPr>
    </w:p>
    <w:p>
      <w:pPr>
        <w:pStyle w:val="nzSubsection"/>
      </w:pP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42" w:name="_Toc446507188"/>
      <w:bookmarkStart w:id="143" w:name="_Toc451162833"/>
      <w:bookmarkStart w:id="144" w:name="_Toc457815138"/>
      <w:r>
        <w:rPr>
          <w:sz w:val="28"/>
        </w:rPr>
        <w:t>Defined terms</w:t>
      </w:r>
      <w:bookmarkEnd w:id="142"/>
      <w:bookmarkEnd w:id="143"/>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assets</w:t>
      </w:r>
      <w:r>
        <w:tab/>
        <w:t>Sch. 4 cl. 1</w:t>
      </w:r>
    </w:p>
    <w:p>
      <w:pPr>
        <w:pStyle w:val="DefinedTerms"/>
      </w:pPr>
      <w:r>
        <w:t>board</w:t>
      </w:r>
      <w:r>
        <w:tab/>
        <w:t>Sch. 1 cl. 1</w:t>
      </w:r>
    </w:p>
    <w:p>
      <w:pPr>
        <w:pStyle w:val="DefinedTerms"/>
      </w:pPr>
      <w:r>
        <w:t>board of commissioners</w:t>
      </w:r>
      <w:r>
        <w:tab/>
        <w:t>3</w:t>
      </w:r>
    </w:p>
    <w:p>
      <w:pPr>
        <w:pStyle w:val="DefinedTerms"/>
      </w:pPr>
      <w:r>
        <w:t>borrow</w:t>
      </w:r>
      <w:r>
        <w:tab/>
        <w:t>3</w:t>
      </w:r>
    </w:p>
    <w:p>
      <w:pPr>
        <w:pStyle w:val="DefinedTerms"/>
      </w:pPr>
      <w:r>
        <w:t>business undertaking</w:t>
      </w:r>
      <w:r>
        <w:tab/>
        <w:t>3</w:t>
      </w:r>
    </w:p>
    <w:p>
      <w:pPr>
        <w:pStyle w:val="DefinedTerms"/>
      </w:pPr>
      <w:r>
        <w:t>commencement day</w:t>
      </w:r>
      <w:r>
        <w:tab/>
        <w:t>Sch. 4 cl. 1</w:t>
      </w:r>
    </w:p>
    <w:p>
      <w:pPr>
        <w:pStyle w:val="DefinedTerms"/>
      </w:pPr>
      <w:r>
        <w:t>Commission</w:t>
      </w:r>
      <w:r>
        <w:tab/>
        <w:t>3, 10B(3)</w:t>
      </w:r>
    </w:p>
    <w:p>
      <w:pPr>
        <w:pStyle w:val="DefinedTerms"/>
      </w:pPr>
      <w:r>
        <w:t>Commission account</w:t>
      </w:r>
      <w:r>
        <w:tab/>
        <w:t>3</w:t>
      </w:r>
    </w:p>
    <w:p>
      <w:pPr>
        <w:pStyle w:val="DefinedTerms"/>
      </w:pPr>
      <w:r>
        <w:t>commissioner</w:t>
      </w:r>
      <w:r>
        <w:tab/>
        <w:t>3</w:t>
      </w:r>
    </w:p>
    <w:p>
      <w:pPr>
        <w:pStyle w:val="DefinedTerms"/>
      </w:pPr>
      <w:r>
        <w:t>community organisation</w:t>
      </w:r>
      <w:r>
        <w:tab/>
        <w:t>3</w:t>
      </w:r>
    </w:p>
    <w:p>
      <w:pPr>
        <w:pStyle w:val="DefinedTerms"/>
      </w:pPr>
      <w:r>
        <w:t>current financial year</w:t>
      </w:r>
      <w:r>
        <w:tab/>
        <w:t>32(2)</w:t>
      </w:r>
    </w:p>
    <w:p>
      <w:pPr>
        <w:pStyle w:val="DefinedTerms"/>
      </w:pPr>
      <w:r>
        <w:t>customer</w:t>
      </w:r>
      <w:r>
        <w:tab/>
        <w:t>10B(3)</w:t>
      </w:r>
    </w:p>
    <w:p>
      <w:pPr>
        <w:pStyle w:val="DefinedTerms"/>
      </w:pPr>
      <w:r>
        <w:t>document</w:t>
      </w:r>
      <w:r>
        <w:tab/>
        <w:t>10A(4)</w:t>
      </w:r>
    </w:p>
    <w:p>
      <w:pPr>
        <w:pStyle w:val="DefinedTerms"/>
      </w:pPr>
      <w:r>
        <w:t>eligible community organisation</w:t>
      </w:r>
      <w:r>
        <w:tab/>
        <w:t>3</w:t>
      </w:r>
    </w:p>
    <w:p>
      <w:pPr>
        <w:pStyle w:val="DefinedTerms"/>
      </w:pPr>
      <w:r>
        <w:t>existing policy</w:t>
      </w:r>
      <w:r>
        <w:tab/>
        <w:t>Sch. 4 cl. 10(1)</w:t>
      </w:r>
    </w:p>
    <w:p>
      <w:pPr>
        <w:pStyle w:val="DefinedTerms"/>
      </w:pPr>
      <w:r>
        <w:t>existing re</w:t>
      </w:r>
      <w:r>
        <w:noBreakHyphen/>
        <w:t>insurance policy</w:t>
      </w:r>
      <w:r>
        <w:tab/>
        <w:t>Sch. 4 cl. 10(1)</w:t>
      </w:r>
    </w:p>
    <w:p>
      <w:pPr>
        <w:pStyle w:val="DefinedTerms"/>
      </w:pPr>
      <w:r>
        <w:t>Fund</w:t>
      </w:r>
      <w:r>
        <w:tab/>
        <w:t>3</w:t>
      </w:r>
    </w:p>
    <w:p>
      <w:pPr>
        <w:pStyle w:val="DefinedTerms"/>
      </w:pPr>
      <w:r>
        <w:t>information</w:t>
      </w:r>
      <w:r>
        <w:tab/>
        <w:t>10A(4)</w:t>
      </w:r>
    </w:p>
    <w:p>
      <w:pPr>
        <w:pStyle w:val="DefinedTerms"/>
      </w:pPr>
      <w:r>
        <w:t>insurance</w:t>
      </w:r>
      <w:r>
        <w:tab/>
        <w:t>3</w:t>
      </w:r>
    </w:p>
    <w:p>
      <w:pPr>
        <w:pStyle w:val="DefinedTerms"/>
      </w:pPr>
      <w:r>
        <w:t>insurer</w:t>
      </w:r>
      <w:r>
        <w:tab/>
        <w:t>3</w:t>
      </w:r>
    </w:p>
    <w:p>
      <w:pPr>
        <w:pStyle w:val="DefinedTerms"/>
      </w:pPr>
      <w:r>
        <w:t>liabilities</w:t>
      </w:r>
      <w:r>
        <w:tab/>
        <w:t>Sch. 4 cl. 1</w:t>
      </w:r>
    </w:p>
    <w:p>
      <w:pPr>
        <w:pStyle w:val="DefinedTerms"/>
      </w:pPr>
      <w:r>
        <w:t>managing director</w:t>
      </w:r>
      <w:r>
        <w:tab/>
        <w:t>3</w:t>
      </w:r>
    </w:p>
    <w:p>
      <w:pPr>
        <w:pStyle w:val="DefinedTerms"/>
      </w:pPr>
      <w:r>
        <w:t>MVIT</w:t>
      </w:r>
      <w:r>
        <w:tab/>
        <w:t>Sch. 4 cl. 1</w:t>
      </w:r>
    </w:p>
    <w:p>
      <w:pPr>
        <w:pStyle w:val="DefinedTerms"/>
      </w:pPr>
      <w:r>
        <w:t>officers and employees</w:t>
      </w:r>
      <w:r>
        <w:tab/>
        <w:t>14(3)</w:t>
      </w:r>
    </w:p>
    <w:p>
      <w:pPr>
        <w:pStyle w:val="DefinedTerms"/>
      </w:pPr>
      <w:r>
        <w:t>ordinary commissioner</w:t>
      </w:r>
      <w:r>
        <w:tab/>
        <w:t>Sch. 1 cl. 1</w:t>
      </w:r>
    </w:p>
    <w:p>
      <w:pPr>
        <w:pStyle w:val="DefinedTerms"/>
      </w:pPr>
      <w:r>
        <w:t>policy</w:t>
      </w:r>
      <w:r>
        <w:tab/>
        <w:t>3</w:t>
      </w:r>
    </w:p>
    <w:p>
      <w:pPr>
        <w:pStyle w:val="DefinedTerms"/>
      </w:pPr>
      <w:r>
        <w:t>prescribed period</w:t>
      </w:r>
      <w:r>
        <w:tab/>
        <w:t>Sch. 4 cl. 1</w:t>
      </w:r>
    </w:p>
    <w:p>
      <w:pPr>
        <w:pStyle w:val="DefinedTerms"/>
      </w:pPr>
      <w:r>
        <w:t>public authority</w:t>
      </w:r>
      <w:r>
        <w:tab/>
        <w:t>3</w:t>
      </w:r>
    </w:p>
    <w:p>
      <w:pPr>
        <w:pStyle w:val="DefinedTerms"/>
      </w:pPr>
      <w:r>
        <w:t>risk management</w:t>
      </w:r>
      <w:r>
        <w:tab/>
        <w:t>3</w:t>
      </w:r>
    </w:p>
    <w:p>
      <w:pPr>
        <w:pStyle w:val="DefinedTerms"/>
      </w:pPr>
      <w:r>
        <w:t>SGIO</w:t>
      </w:r>
      <w:r>
        <w:tab/>
        <w:t>Sch. 4 cl. 1</w:t>
      </w:r>
    </w:p>
    <w:p>
      <w:pPr>
        <w:pStyle w:val="DefinedTerms"/>
      </w:pPr>
      <w:r>
        <w:t xml:space="preserve">staff </w:t>
      </w:r>
      <w:r>
        <w:tab/>
        <w:t>10A(4)</w:t>
      </w:r>
    </w:p>
    <w:p>
      <w:pPr>
        <w:pStyle w:val="DefinedTerms"/>
      </w:pPr>
      <w:r>
        <w:t>surplus</w:t>
      </w:r>
      <w:r>
        <w:tab/>
        <w:t>18(5)</w:t>
      </w:r>
    </w:p>
    <w:p>
      <w:pPr>
        <w:pStyle w:val="DefinedTerms"/>
      </w:pPr>
      <w:r>
        <w:t>Third Party Insurance Act</w:t>
      </w:r>
      <w:r>
        <w:tab/>
        <w:t>Sch. 4 cl. 1</w:t>
      </w:r>
    </w:p>
    <w:p>
      <w:pPr>
        <w:pStyle w:val="DefinedTerms"/>
      </w:pPr>
      <w:r>
        <w:t>Treasurer</w:t>
      </w:r>
      <w:r>
        <w:tab/>
        <w:t>3</w:t>
      </w:r>
    </w:p>
    <w:p>
      <w:pPr>
        <w:pStyle w:val="DefinedTerms"/>
      </w:pPr>
      <w:r>
        <w:t>WC&amp;IM Act</w:t>
      </w:r>
      <w:r>
        <w:tab/>
        <w:t>44</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58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58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" stroked="f" strokeweight=".5pt">
                <v:textbox>
                  <w:txbxContent>
                    <w:p w:rsidR="00F25A38" w:rsidRDefault="00F25A38">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0" w:name="Compilation"/>
    <w:bookmarkStart w:id="141" w:name="Schedule"/>
    <w:bookmarkEnd w:id="140"/>
    <w:bookmarkEnd w:id="1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5" w:name="DefinedTerms"/>
    <w:bookmarkEnd w:id="14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 w:name="Coversheet"/>
    <w:bookmarkEnd w:id="1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25C680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AB207CA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6"/>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23143457"/>
    <w:docVar w:name="WAFER_20140117103518" w:val="RemoveTocBookmarks,RemoveLanguageTags,RemoveTrackChanges,RunningHeaders"/>
    <w:docVar w:name="WAFER_20140117103518_GUID" w:val="e2d36c26-cf38-4ea4-a8e1-457ed86f7c24"/>
    <w:docVar w:name="WAFER_20140117104411" w:val="RemoveTocBookmarks,RemoveLanguageTags,RemoveTrackChanges,RunningHeaders"/>
    <w:docVar w:name="WAFER_20140117104411_GUID" w:val="b1389d00-38b9-4403-a7f5-ca61641d98a8"/>
    <w:docVar w:name="WAFER_20140130094753" w:val="RemoveTocBookmarks,RemoveUnusedBookmarks,RemoveLanguageTags,UsedStyles,ResetPageSize,UpdateArrangement"/>
    <w:docVar w:name="WAFER_20140130094753_GUID" w:val="30cf4d68-7c06-4686-901e-b17421fe5210"/>
    <w:docVar w:name="WAFER_20140130094759" w:val="RemoveTocBookmarks,RunningHeaders"/>
    <w:docVar w:name="WAFER_20140130094759_GUID" w:val="4366e8da-00ed-4697-a698-78f37468f6d7"/>
    <w:docVar w:name="WAFER_20140306135853" w:val="RemoveTocBookmarks,RemoveUnusedBookmarks,RemoveLanguageTags,UsedStyles,ResetPageSize"/>
    <w:docVar w:name="WAFER_20140306135853_GUID" w:val="9939f06a-e94f-48ca-9517-3ca3d3747df1"/>
    <w:docVar w:name="WAFER_20140306140634" w:val="RemoveTocBookmarks,RunningHeaders"/>
    <w:docVar w:name="WAFER_20140306140634_GUID" w:val="907391db-0f3f-47a1-b1c0-8c44f2c97f08"/>
    <w:docVar w:name="WAFER_20150518114350" w:val="ResetPageSize,UpdateArrangement,UpdateNTable"/>
    <w:docVar w:name="WAFER_20150518114350_GUID" w:val="18e9074d-b312-4f65-8ea4-2e53ac399353"/>
    <w:docVar w:name="WAFER_20151111125658" w:val="UpdateStyles,UsedStyles"/>
    <w:docVar w:name="WAFER_20151111125658_GUID" w:val="44139de5-0522-411d-bd40-521f13cd16bd"/>
    <w:docVar w:name="WAFER_20160105094113" w:val="RemoveTocBookmarks,RemoveUnusedBookmarks,RemoveLanguageTags,UsedStyles,ResetPageSize,RemoveTrackChanges,RemoveCustomizations"/>
    <w:docVar w:name="WAFER_20160105094113_GUID" w:val="73df046a-033d-494a-a313-f2f5c03489a0"/>
    <w:docVar w:name="WAFER_20160323143457" w:val="RemoveTocBookmarks,RemoveUnusedBookmarks,RemoveLanguageTags,UsedStyles,RemoveTrackChanges"/>
    <w:docVar w:name="WAFER_20160323143457_GUID" w:val="b3bfc304-bb1d-4267-ae5c-fdb7b9a6ef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8654-26AD-435C-B073-DB8403B5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16862</Words>
  <Characters>82119</Characters>
  <Application>Microsoft Office Word</Application>
  <DocSecurity>0</DocSecurity>
  <Lines>2219</Lines>
  <Paragraphs>1164</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97817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1986 - 05-00-00</dc:title>
  <dc:subject/>
  <dc:creator/>
  <cp:keywords/>
  <dc:description/>
  <cp:lastModifiedBy>svcMRProcess</cp:lastModifiedBy>
  <cp:revision>4</cp:revision>
  <cp:lastPrinted>2016-08-31T08:39:00Z</cp:lastPrinted>
  <dcterms:created xsi:type="dcterms:W3CDTF">2020-03-09T07:19:00Z</dcterms:created>
  <dcterms:modified xsi:type="dcterms:W3CDTF">2020-03-09T07:19:00Z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DocumentType">
    <vt:lpwstr>Act</vt:lpwstr>
  </property>
  <property fmtid="{D5CDD505-2E9C-101B-9397-08002B2CF9AE}" pid="4" name="OwlsUID">
    <vt:i4>775</vt:i4>
  </property>
  <property fmtid="{D5CDD505-2E9C-101B-9397-08002B2CF9AE}" pid="5" name="AsAtDate">
    <vt:lpwstr>31 Aug 2016</vt:lpwstr>
  </property>
  <property fmtid="{D5CDD505-2E9C-101B-9397-08002B2CF9AE}" pid="6" name="Suffix">
    <vt:lpwstr>05-00-00</vt:lpwstr>
  </property>
  <property fmtid="{D5CDD505-2E9C-101B-9397-08002B2CF9AE}" pid="7" name="ReprintedAsAt">
    <vt:filetime>2016-08-30T16:00:00Z</vt:filetime>
  </property>
  <property fmtid="{D5CDD505-2E9C-101B-9397-08002B2CF9AE}" pid="8" name="ReprintNo">
    <vt:lpwstr>5</vt:lpwstr>
  </property>
  <property fmtid="{D5CDD505-2E9C-101B-9397-08002B2CF9AE}" pid="9" name="CommencementDate">
    <vt:lpwstr>20160831</vt:lpwstr>
  </property>
</Properties>
</file>