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Gaming and Wagering Commission Act 1987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Gaming and Wagering Commission Regulations 1988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Gaming and Wagering Commission Regulations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_Toc460853111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_Toc460853112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 compliance with forms</w:t>
      </w:r>
      <w:r>
        <w:tab/>
      </w:r>
      <w:r>
        <w:fldChar w:fldCharType="begin"/>
      </w:r>
      <w:r>
        <w:instrText xml:space="preserve"> PAGEREF _Toc460853113 \h </w:instrText>
      </w:r>
      <w:r>
        <w:fldChar w:fldCharType="separate"/>
      </w:r>
      <w:r>
        <w:t>1</w:t>
      </w:r>
      <w:r>
        <w:fldChar w:fldCharType="end"/>
      </w:r>
    </w:p>
    <w:p>
      <w:pPr>
        <w:pStyle w:val="TOC8"/>
        <w:rPr>
          <w:rFonts w:asciiTheme="minorHAnsi" w:eastAsiaTheme="minorEastAsia" w:hAnsiTheme="minorHAnsi" w:cstheme="minorBidi"/>
          <w:szCs w:val="22"/>
        </w:rPr>
      </w:pPr>
      <w:r>
        <w:t>4A.</w:t>
      </w:r>
      <w:r>
        <w:tab/>
        <w:t>Notes in the text</w:t>
      </w:r>
      <w:r>
        <w:tab/>
      </w:r>
      <w:r>
        <w:fldChar w:fldCharType="begin"/>
      </w:r>
      <w:r>
        <w:instrText xml:space="preserve"> PAGEREF _Toc460853114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Prescribed fees</w:t>
      </w:r>
      <w:r>
        <w:tab/>
      </w:r>
      <w:r>
        <w:fldChar w:fldCharType="begin"/>
      </w:r>
      <w:r>
        <w:instrText xml:space="preserve"> PAGEREF _Toc460853115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Enforcement</w:t>
      </w:r>
    </w:p>
    <w:p>
      <w:pPr>
        <w:pStyle w:val="TOC8"/>
        <w:rPr>
          <w:rFonts w:asciiTheme="minorHAnsi" w:eastAsiaTheme="minorEastAsia" w:hAnsiTheme="minorHAnsi" w:cstheme="minorBidi"/>
          <w:szCs w:val="22"/>
        </w:rPr>
      </w:pPr>
      <w:r>
        <w:t>5</w:t>
      </w:r>
      <w:r>
        <w:rPr>
          <w:snapToGrid w:val="0"/>
        </w:rPr>
        <w:t>.</w:t>
      </w:r>
      <w:r>
        <w:rPr>
          <w:snapToGrid w:val="0"/>
        </w:rPr>
        <w:tab/>
        <w:t>Forfeiture, offences prescribed (Act s. 32(2))</w:t>
      </w:r>
      <w:r>
        <w:tab/>
      </w:r>
      <w:r>
        <w:fldChar w:fldCharType="begin"/>
      </w:r>
      <w:r>
        <w:instrText xml:space="preserve"> PAGEREF _Toc460853117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Modified penalties and infringement notices (Act s. 36(1))</w:t>
      </w:r>
      <w:r>
        <w:tab/>
      </w:r>
      <w:r>
        <w:fldChar w:fldCharType="begin"/>
      </w:r>
      <w:r>
        <w:instrText xml:space="preserve"> PAGEREF _Toc460853118 \h </w:instrText>
      </w:r>
      <w:r>
        <w:fldChar w:fldCharType="separate"/>
      </w:r>
      <w:r>
        <w:t>3</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Warrant, form of (Act s. 25)</w:t>
      </w:r>
      <w:r>
        <w:tab/>
      </w:r>
      <w:r>
        <w:fldChar w:fldCharType="begin"/>
      </w:r>
      <w:r>
        <w:instrText xml:space="preserve"> PAGEREF _Toc460853119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The register</w:t>
      </w:r>
    </w:p>
    <w:p>
      <w:pPr>
        <w:pStyle w:val="TOC8"/>
        <w:rPr>
          <w:rFonts w:asciiTheme="minorHAnsi" w:eastAsiaTheme="minorEastAsia" w:hAnsiTheme="minorHAnsi" w:cstheme="minorBidi"/>
          <w:szCs w:val="22"/>
        </w:rPr>
      </w:pPr>
      <w:r>
        <w:t>7</w:t>
      </w:r>
      <w:r>
        <w:rPr>
          <w:snapToGrid w:val="0"/>
        </w:rPr>
        <w:t>.</w:t>
      </w:r>
      <w:r>
        <w:rPr>
          <w:snapToGrid w:val="0"/>
        </w:rPr>
        <w:tab/>
        <w:t>Manner of recording and search fees prescribed (Act s. 50)</w:t>
      </w:r>
      <w:r>
        <w:tab/>
      </w:r>
      <w:r>
        <w:fldChar w:fldCharType="begin"/>
      </w:r>
      <w:r>
        <w:instrText xml:space="preserve"> PAGEREF _Toc460853121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4 — Permitted gaming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Gaming generally</w:t>
      </w:r>
    </w:p>
    <w:p>
      <w:pPr>
        <w:pStyle w:val="TOC8"/>
        <w:rPr>
          <w:rFonts w:asciiTheme="minorHAnsi" w:eastAsiaTheme="minorEastAsia" w:hAnsiTheme="minorHAnsi" w:cstheme="minorBidi"/>
          <w:szCs w:val="22"/>
        </w:rPr>
      </w:pPr>
      <w:r>
        <w:t>8A.</w:t>
      </w:r>
      <w:r>
        <w:tab/>
        <w:t>Gaming on cruise ships</w:t>
      </w:r>
      <w:r>
        <w:tab/>
      </w:r>
      <w:r>
        <w:fldChar w:fldCharType="begin"/>
      </w:r>
      <w:r>
        <w:instrText xml:space="preserve"> PAGEREF _Toc460853124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Gaming permits, form and conditions of (Act s. 47(1)(a) or (b))</w:t>
      </w:r>
      <w:r>
        <w:tab/>
      </w:r>
      <w:r>
        <w:fldChar w:fldCharType="begin"/>
      </w:r>
      <w:r>
        <w:instrText xml:space="preserve"> PAGEREF _Toc460853125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Gaming permits, application for</w:t>
      </w:r>
      <w:r>
        <w:tab/>
      </w:r>
      <w:r>
        <w:fldChar w:fldCharType="begin"/>
      </w:r>
      <w:r>
        <w:instrText xml:space="preserve"> PAGEREF _Toc460853126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Approval to use premises, application for (Act s. 55)</w:t>
      </w:r>
      <w:r>
        <w:tab/>
      </w:r>
      <w:r>
        <w:fldChar w:fldCharType="begin"/>
      </w:r>
      <w:r>
        <w:instrText xml:space="preserve"> PAGEREF _Toc460853127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Renewals etc., applications for (Act s. 56)</w:t>
      </w:r>
      <w:r>
        <w:tab/>
      </w:r>
      <w:r>
        <w:fldChar w:fldCharType="begin"/>
      </w:r>
      <w:r>
        <w:instrText xml:space="preserve"> PAGEREF _Toc460853128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Financial statements, permit holders to provide etc.</w:t>
      </w:r>
      <w:r>
        <w:tab/>
      </w:r>
      <w:r>
        <w:fldChar w:fldCharType="begin"/>
      </w:r>
      <w:r>
        <w:instrText xml:space="preserve"> PAGEREF _Toc460853129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No permit required if gaming etc. deemed permitted</w:t>
      </w:r>
      <w:r>
        <w:tab/>
      </w:r>
      <w:r>
        <w:fldChar w:fldCharType="begin"/>
      </w:r>
      <w:r>
        <w:instrText xml:space="preserve"> PAGEREF _Toc460853130 \h </w:instrText>
      </w:r>
      <w:r>
        <w:fldChar w:fldCharType="separate"/>
      </w:r>
      <w:r>
        <w:t>11</w:t>
      </w:r>
      <w:r>
        <w:fldChar w:fldCharType="end"/>
      </w:r>
    </w:p>
    <w:p>
      <w:pPr>
        <w:pStyle w:val="TOC8"/>
        <w:rPr>
          <w:rFonts w:asciiTheme="minorHAnsi" w:eastAsiaTheme="minorEastAsia" w:hAnsiTheme="minorHAnsi" w:cstheme="minorBidi"/>
          <w:szCs w:val="22"/>
        </w:rPr>
      </w:pPr>
      <w:r>
        <w:t>13A.</w:t>
      </w:r>
      <w:r>
        <w:tab/>
        <w:t>Conviction of license holder etc., holders to notify Commission</w:t>
      </w:r>
      <w:r>
        <w:tab/>
      </w:r>
      <w:r>
        <w:fldChar w:fldCharType="begin"/>
      </w:r>
      <w:r>
        <w:instrText xml:space="preserve"> PAGEREF _Toc460853131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Continuing lotteries</w:t>
      </w:r>
    </w:p>
    <w:p>
      <w:pPr>
        <w:pStyle w:val="TOC8"/>
        <w:rPr>
          <w:rFonts w:asciiTheme="minorHAnsi" w:eastAsiaTheme="minorEastAsia" w:hAnsiTheme="minorHAnsi" w:cstheme="minorBidi"/>
          <w:szCs w:val="22"/>
        </w:rPr>
      </w:pPr>
      <w:r>
        <w:t>14.</w:t>
      </w:r>
      <w:r>
        <w:tab/>
        <w:t>Maximum number of tickets prescribed (Act s. 104L(1))</w:t>
      </w:r>
      <w:r>
        <w:tab/>
      </w:r>
      <w:r>
        <w:fldChar w:fldCharType="begin"/>
      </w:r>
      <w:r>
        <w:instrText xml:space="preserve"> PAGEREF _Toc460853133 \h </w:instrText>
      </w:r>
      <w:r>
        <w:fldChar w:fldCharType="separate"/>
      </w:r>
      <w:r>
        <w:t>11</w:t>
      </w:r>
      <w:r>
        <w:fldChar w:fldCharType="end"/>
      </w:r>
    </w:p>
    <w:p>
      <w:pPr>
        <w:pStyle w:val="TOC8"/>
        <w:rPr>
          <w:rFonts w:asciiTheme="minorHAnsi" w:eastAsiaTheme="minorEastAsia" w:hAnsiTheme="minorHAnsi" w:cstheme="minorBidi"/>
          <w:szCs w:val="22"/>
        </w:rPr>
      </w:pPr>
      <w:r>
        <w:t>15.</w:t>
      </w:r>
      <w:r>
        <w:tab/>
        <w:t>Records to be kept by licensed suppliers for Act Part V Div. 7</w:t>
      </w:r>
      <w:r>
        <w:tab/>
      </w:r>
      <w:r>
        <w:fldChar w:fldCharType="begin"/>
      </w:r>
      <w:r>
        <w:instrText xml:space="preserve"> PAGEREF _Toc460853134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Permitted two</w:t>
      </w:r>
      <w:r>
        <w:noBreakHyphen/>
        <w:t>up</w:t>
      </w:r>
    </w:p>
    <w:p>
      <w:pPr>
        <w:pStyle w:val="TOC8"/>
        <w:rPr>
          <w:rFonts w:asciiTheme="minorHAnsi" w:eastAsiaTheme="minorEastAsia" w:hAnsiTheme="minorHAnsi" w:cstheme="minorBidi"/>
          <w:szCs w:val="22"/>
        </w:rPr>
      </w:pPr>
      <w:r>
        <w:t>16</w:t>
      </w:r>
      <w:r>
        <w:rPr>
          <w:snapToGrid w:val="0"/>
        </w:rPr>
        <w:t>.</w:t>
      </w:r>
      <w:r>
        <w:rPr>
          <w:snapToGrid w:val="0"/>
        </w:rPr>
        <w:tab/>
        <w:t>Financial information to be provided about games</w:t>
      </w:r>
      <w:r>
        <w:tab/>
      </w:r>
      <w:r>
        <w:fldChar w:fldCharType="begin"/>
      </w:r>
      <w:r>
        <w:instrText xml:space="preserve"> PAGEREF _Toc460853136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Suspending permit for game</w:t>
      </w:r>
      <w:r>
        <w:tab/>
      </w:r>
      <w:r>
        <w:fldChar w:fldCharType="begin"/>
      </w:r>
      <w:r>
        <w:instrText xml:space="preserve"> PAGEREF _Toc460853137 \h </w:instrText>
      </w:r>
      <w:r>
        <w:fldChar w:fldCharType="separate"/>
      </w:r>
      <w:r>
        <w:t>14</w:t>
      </w:r>
      <w:r>
        <w:fldChar w:fldCharType="end"/>
      </w:r>
    </w:p>
    <w:p>
      <w:pPr>
        <w:pStyle w:val="TOC8"/>
        <w:rPr>
          <w:rFonts w:asciiTheme="minorHAnsi" w:eastAsiaTheme="minorEastAsia" w:hAnsiTheme="minorHAnsi" w:cstheme="minorBidi"/>
          <w:szCs w:val="22"/>
        </w:rPr>
      </w:pPr>
      <w:r>
        <w:t>17A.</w:t>
      </w:r>
      <w:r>
        <w:tab/>
        <w:t>Prescribed gaming equipment (Act s. 84(1))</w:t>
      </w:r>
      <w:r>
        <w:tab/>
      </w:r>
      <w:r>
        <w:fldChar w:fldCharType="begin"/>
      </w:r>
      <w:r>
        <w:instrText xml:space="preserve"> PAGEREF _Toc460853138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Gaming machines and other equipment</w:t>
      </w:r>
    </w:p>
    <w:p>
      <w:pPr>
        <w:pStyle w:val="TOC8"/>
        <w:rPr>
          <w:rFonts w:asciiTheme="minorHAnsi" w:eastAsiaTheme="minorEastAsia" w:hAnsiTheme="minorHAnsi" w:cstheme="minorBidi"/>
          <w:szCs w:val="22"/>
        </w:rPr>
      </w:pPr>
      <w:r>
        <w:t>18</w:t>
      </w:r>
      <w:r>
        <w:rPr>
          <w:snapToGrid w:val="0"/>
        </w:rPr>
        <w:t>.</w:t>
      </w:r>
      <w:r>
        <w:rPr>
          <w:snapToGrid w:val="0"/>
        </w:rPr>
        <w:tab/>
        <w:t>Records etc. to be kept etc. by persons renting equipment from others</w:t>
      </w:r>
      <w:r>
        <w:tab/>
      </w:r>
      <w:r>
        <w:fldChar w:fldCharType="begin"/>
      </w:r>
      <w:r>
        <w:instrText xml:space="preserve"> PAGEREF _Toc460853140 \h </w:instrText>
      </w:r>
      <w:r>
        <w:fldChar w:fldCharType="separate"/>
      </w:r>
      <w:r>
        <w:t>15</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Skilltester, Merchandiser and similar machines, possession etc. of</w:t>
      </w:r>
      <w:r>
        <w:tab/>
      </w:r>
      <w:r>
        <w:fldChar w:fldCharType="begin"/>
      </w:r>
      <w:r>
        <w:instrText xml:space="preserve"> PAGEREF _Toc460853141 \h </w:instrText>
      </w:r>
      <w:r>
        <w:fldChar w:fldCharType="separate"/>
      </w:r>
      <w:r>
        <w:t>16</w:t>
      </w:r>
      <w:r>
        <w:fldChar w:fldCharType="end"/>
      </w:r>
    </w:p>
    <w:p>
      <w:pPr>
        <w:pStyle w:val="TOC8"/>
        <w:rPr>
          <w:rFonts w:asciiTheme="minorHAnsi" w:eastAsiaTheme="minorEastAsia" w:hAnsiTheme="minorHAnsi" w:cstheme="minorBidi"/>
          <w:szCs w:val="22"/>
        </w:rPr>
      </w:pPr>
      <w:r>
        <w:t>18AA</w:t>
      </w:r>
      <w:r>
        <w:rPr>
          <w:snapToGrid w:val="0"/>
        </w:rPr>
        <w:t>.</w:t>
      </w:r>
      <w:r>
        <w:rPr>
          <w:snapToGrid w:val="0"/>
        </w:rPr>
        <w:tab/>
        <w:t>Video lottery terminals, possession etc. of</w:t>
      </w:r>
      <w:r>
        <w:tab/>
      </w:r>
      <w:r>
        <w:fldChar w:fldCharType="begin"/>
      </w:r>
      <w:r>
        <w:instrText xml:space="preserve"> PAGEREF _Toc460853142 \h </w:instrText>
      </w:r>
      <w:r>
        <w:fldChar w:fldCharType="separate"/>
      </w:r>
      <w:r>
        <w:t>17</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Machines that dispense vouchers, possession etc. of</w:t>
      </w:r>
      <w:r>
        <w:tab/>
      </w:r>
      <w:r>
        <w:fldChar w:fldCharType="begin"/>
      </w:r>
      <w:r>
        <w:instrText xml:space="preserve"> PAGEREF _Toc460853143 \h </w:instrText>
      </w:r>
      <w:r>
        <w:fldChar w:fldCharType="separate"/>
      </w:r>
      <w:r>
        <w:t>18</w:t>
      </w:r>
      <w:r>
        <w:fldChar w:fldCharType="end"/>
      </w:r>
    </w:p>
    <w:p>
      <w:pPr>
        <w:pStyle w:val="TOC8"/>
        <w:rPr>
          <w:rFonts w:asciiTheme="minorHAnsi" w:eastAsiaTheme="minorEastAsia" w:hAnsiTheme="minorHAnsi" w:cstheme="minorBidi"/>
          <w:szCs w:val="22"/>
        </w:rPr>
      </w:pPr>
      <w:r>
        <w:t>18C.</w:t>
      </w:r>
      <w:r>
        <w:tab/>
        <w:t>Possession of certain gaming machines on cruise ships</w:t>
      </w:r>
      <w:r>
        <w:tab/>
      </w:r>
      <w:r>
        <w:fldChar w:fldCharType="begin"/>
      </w:r>
      <w:r>
        <w:instrText xml:space="preserve"> PAGEREF _Toc460853144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Permitted bingo</w:t>
      </w:r>
    </w:p>
    <w:p>
      <w:pPr>
        <w:pStyle w:val="TOC8"/>
        <w:rPr>
          <w:rFonts w:asciiTheme="minorHAnsi" w:eastAsiaTheme="minorEastAsia" w:hAnsiTheme="minorHAnsi" w:cstheme="minorBidi"/>
          <w:szCs w:val="22"/>
        </w:rPr>
      </w:pPr>
      <w:r>
        <w:t>19</w:t>
      </w:r>
      <w:r>
        <w:rPr>
          <w:snapToGrid w:val="0"/>
        </w:rPr>
        <w:t>.</w:t>
      </w:r>
      <w:r>
        <w:rPr>
          <w:snapToGrid w:val="0"/>
        </w:rPr>
        <w:tab/>
        <w:t>Rules for conducting bingo; rules to be displayed</w:t>
      </w:r>
      <w:r>
        <w:tab/>
      </w:r>
      <w:r>
        <w:fldChar w:fldCharType="begin"/>
      </w:r>
      <w:r>
        <w:instrText xml:space="preserve"> PAGEREF _Toc460853146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Bingo for senior citizens’ clubs, no fees payable for</w:t>
      </w:r>
      <w:r>
        <w:tab/>
      </w:r>
      <w:r>
        <w:fldChar w:fldCharType="begin"/>
      </w:r>
      <w:r>
        <w:instrText xml:space="preserve"> PAGEREF _Toc460853147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Percentage of receipts to be paid to Commission</w:t>
      </w:r>
      <w:r>
        <w:tab/>
      </w:r>
      <w:r>
        <w:fldChar w:fldCharType="begin"/>
      </w:r>
      <w:r>
        <w:instrText xml:space="preserve"> PAGEREF _Toc460853148 \h </w:instrText>
      </w:r>
      <w:r>
        <w:fldChar w:fldCharType="separate"/>
      </w:r>
      <w:r>
        <w:t>20</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Times and number of sessions</w:t>
      </w:r>
      <w:r>
        <w:tab/>
      </w:r>
      <w:r>
        <w:fldChar w:fldCharType="begin"/>
      </w:r>
      <w:r>
        <w:instrText xml:space="preserve"> PAGEREF _Toc460853149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Sessions of bingo</w:t>
      </w:r>
      <w:r>
        <w:tab/>
      </w:r>
      <w:r>
        <w:fldChar w:fldCharType="begin"/>
      </w:r>
      <w:r>
        <w:instrText xml:space="preserve"> PAGEREF _Toc460853150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Controllers of sessions, appointment and duties of</w:t>
      </w:r>
      <w:r>
        <w:tab/>
      </w:r>
      <w:r>
        <w:fldChar w:fldCharType="begin"/>
      </w:r>
      <w:r>
        <w:instrText xml:space="preserve"> PAGEREF _Toc460853151 \h </w:instrText>
      </w:r>
      <w:r>
        <w:fldChar w:fldCharType="separate"/>
      </w:r>
      <w:r>
        <w:t>21</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Advertising value of prizes prohibited</w:t>
      </w:r>
      <w:r>
        <w:tab/>
      </w:r>
      <w:r>
        <w:fldChar w:fldCharType="begin"/>
      </w:r>
      <w:r>
        <w:instrText xml:space="preserve"> PAGEREF _Toc460853152 \h </w:instrText>
      </w:r>
      <w:r>
        <w:fldChar w:fldCharType="separate"/>
      </w:r>
      <w:r>
        <w:t>22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Prizes, permitted value of</w:t>
      </w:r>
      <w:r>
        <w:tab/>
      </w:r>
      <w:r>
        <w:fldChar w:fldCharType="begin"/>
      </w:r>
      <w:r>
        <w:instrText xml:space="preserve"> PAGEREF _Toc460853153 \h </w:instrText>
      </w:r>
      <w:r>
        <w:fldChar w:fldCharType="separate"/>
      </w:r>
      <w:r>
        <w:t>23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Expenses, maximum and calculation of</w:t>
      </w:r>
      <w:r>
        <w:tab/>
      </w:r>
      <w:r>
        <w:fldChar w:fldCharType="begin"/>
      </w:r>
      <w:r>
        <w:instrText xml:space="preserve"> PAGEREF _Toc460853154 \h </w:instrText>
      </w:r>
      <w:r>
        <w:fldChar w:fldCharType="separate"/>
      </w:r>
      <w:r>
        <w:t>23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Playing other games of chance at bingo premises</w:t>
      </w:r>
      <w:r>
        <w:tab/>
      </w:r>
      <w:r>
        <w:fldChar w:fldCharType="begin"/>
      </w:r>
      <w:r>
        <w:instrText xml:space="preserve"> PAGEREF _Toc460853155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Lotteries, etc.</w:t>
      </w:r>
    </w:p>
    <w:p>
      <w:pPr>
        <w:pStyle w:val="TOC6"/>
        <w:tabs>
          <w:tab w:val="right" w:leader="dot" w:pos="7077"/>
        </w:tabs>
        <w:rPr>
          <w:rFonts w:asciiTheme="minorHAnsi" w:eastAsiaTheme="minorEastAsia" w:hAnsiTheme="minorHAnsi" w:cstheme="minorBidi"/>
          <w:b w:val="0"/>
          <w:sz w:val="22"/>
          <w:szCs w:val="22"/>
        </w:rPr>
      </w:pPr>
      <w:r>
        <w:rPr>
          <w:snapToGrid w:val="0"/>
        </w:rPr>
        <w:t>Subdivision 1 — Standard lotteries</w:t>
      </w:r>
    </w:p>
    <w:p>
      <w:pPr>
        <w:pStyle w:val="TOC8"/>
        <w:rPr>
          <w:rFonts w:asciiTheme="minorHAnsi" w:eastAsiaTheme="minorEastAsia" w:hAnsiTheme="minorHAnsi" w:cstheme="minorBidi"/>
          <w:szCs w:val="22"/>
        </w:rPr>
      </w:pPr>
      <w:r>
        <w:t>27</w:t>
      </w:r>
      <w:r>
        <w:rPr>
          <w:snapToGrid w:val="0"/>
        </w:rPr>
        <w:t>.</w:t>
      </w:r>
      <w:r>
        <w:rPr>
          <w:snapToGrid w:val="0"/>
        </w:rPr>
        <w:tab/>
        <w:t>Rules for conducting standard lottery</w:t>
      </w:r>
      <w:r>
        <w:tab/>
      </w:r>
      <w:r>
        <w:fldChar w:fldCharType="begin"/>
      </w:r>
      <w:r>
        <w:instrText xml:space="preserve"> PAGEREF _Toc460853158 \h </w:instrText>
      </w:r>
      <w:r>
        <w:fldChar w:fldCharType="separate"/>
      </w:r>
      <w:r>
        <w:t>25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Conditions relating to standard lottery</w:t>
      </w:r>
      <w:r>
        <w:tab/>
      </w:r>
      <w:r>
        <w:fldChar w:fldCharType="begin"/>
      </w:r>
      <w:r>
        <w:instrText xml:space="preserve"> PAGEREF _Toc460853159 \h </w:instrText>
      </w:r>
      <w:r>
        <w:fldChar w:fldCharType="separate"/>
      </w:r>
      <w:r>
        <w:t>25</w:t>
      </w:r>
      <w:r>
        <w:fldChar w:fldCharType="end"/>
      </w:r>
    </w:p>
    <w:p>
      <w:pPr>
        <w:pStyle w:val="TOC8"/>
        <w:rPr>
          <w:rFonts w:asciiTheme="minorHAnsi" w:eastAsiaTheme="minorEastAsia" w:hAnsiTheme="minorHAnsi" w:cstheme="minorBidi"/>
          <w:szCs w:val="22"/>
        </w:rPr>
      </w:pPr>
      <w:r>
        <w:t>28C</w:t>
      </w:r>
      <w:r>
        <w:rPr>
          <w:snapToGrid w:val="0"/>
        </w:rPr>
        <w:t>.</w:t>
      </w:r>
      <w:r>
        <w:rPr>
          <w:snapToGrid w:val="0"/>
        </w:rPr>
        <w:tab/>
        <w:t>Lottery tickets etc. not to be sent etc. to persons for sale etc. without their consent</w:t>
      </w:r>
      <w:r>
        <w:tab/>
      </w:r>
      <w:r>
        <w:fldChar w:fldCharType="begin"/>
      </w:r>
      <w:r>
        <w:instrText xml:space="preserve"> PAGEREF _Toc460853160 \h </w:instrText>
      </w:r>
      <w:r>
        <w:fldChar w:fldCharType="separate"/>
      </w:r>
      <w:r>
        <w:t>26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When standard lottery must be drawn</w:t>
      </w:r>
      <w:r>
        <w:tab/>
      </w:r>
      <w:r>
        <w:fldChar w:fldCharType="begin"/>
      </w:r>
      <w:r>
        <w:instrText xml:space="preserve"> PAGEREF _Toc460853161 \h </w:instrText>
      </w:r>
      <w:r>
        <w:fldChar w:fldCharType="separate"/>
      </w:r>
      <w:r>
        <w:t>26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Unclaimed prizes in standard lotteries</w:t>
      </w:r>
      <w:r>
        <w:tab/>
      </w:r>
      <w:r>
        <w:fldChar w:fldCharType="begin"/>
      </w:r>
      <w:r>
        <w:instrText xml:space="preserve"> PAGEREF _Toc460853162 \h </w:instrText>
      </w:r>
      <w:r>
        <w:fldChar w:fldCharType="separate"/>
      </w:r>
      <w:r>
        <w:t>27</w:t>
      </w:r>
      <w:r>
        <w:fldChar w:fldCharType="end"/>
      </w:r>
    </w:p>
    <w:p>
      <w:pPr>
        <w:pStyle w:val="TOC8"/>
        <w:rPr>
          <w:rFonts w:asciiTheme="minorHAnsi" w:eastAsiaTheme="minorEastAsia" w:hAnsiTheme="minorHAnsi" w:cstheme="minorBidi"/>
          <w:szCs w:val="22"/>
        </w:rPr>
      </w:pPr>
      <w:r>
        <w:t>30A</w:t>
      </w:r>
      <w:r>
        <w:rPr>
          <w:snapToGrid w:val="0"/>
        </w:rPr>
        <w:t>.</w:t>
      </w:r>
      <w:r>
        <w:rPr>
          <w:snapToGrid w:val="0"/>
        </w:rPr>
        <w:tab/>
        <w:t>Prizes from donor organizations</w:t>
      </w:r>
      <w:r>
        <w:tab/>
      </w:r>
      <w:r>
        <w:fldChar w:fldCharType="begin"/>
      </w:r>
      <w:r>
        <w:instrText xml:space="preserve"> PAGEREF _Toc460853163 \h </w:instrText>
      </w:r>
      <w:r>
        <w:fldChar w:fldCharType="separate"/>
      </w:r>
      <w:r>
        <w:t>27</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Body not to buy ticket etc. in its own lottery</w:t>
      </w:r>
      <w:r>
        <w:tab/>
      </w:r>
      <w:r>
        <w:fldChar w:fldCharType="begin"/>
      </w:r>
      <w:r>
        <w:instrText xml:space="preserve"> PAGEREF _Toc460853164 \h </w:instrText>
      </w:r>
      <w:r>
        <w:fldChar w:fldCharType="separate"/>
      </w:r>
      <w:r>
        <w:t>28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Small private lotteries (Act s. 103)</w:t>
      </w:r>
      <w:r>
        <w:tab/>
      </w:r>
      <w:r>
        <w:fldChar w:fldCharType="begin"/>
      </w:r>
      <w:r>
        <w:instrText xml:space="preserve"> PAGEREF _Toc460853165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Continuing lotteries</w:t>
      </w:r>
    </w:p>
    <w:p>
      <w:pPr>
        <w:pStyle w:val="TOC8"/>
        <w:rPr>
          <w:rFonts w:asciiTheme="minorHAnsi" w:eastAsiaTheme="minorEastAsia" w:hAnsiTheme="minorHAnsi" w:cstheme="minorBidi"/>
          <w:szCs w:val="22"/>
        </w:rPr>
      </w:pPr>
      <w:r>
        <w:t>32</w:t>
      </w:r>
      <w:r>
        <w:rPr>
          <w:snapToGrid w:val="0"/>
        </w:rPr>
        <w:t>.</w:t>
      </w:r>
      <w:r>
        <w:rPr>
          <w:snapToGrid w:val="0"/>
        </w:rPr>
        <w:tab/>
        <w:t>Rules for conducting continuing lotteries</w:t>
      </w:r>
      <w:r>
        <w:tab/>
      </w:r>
      <w:r>
        <w:fldChar w:fldCharType="begin"/>
      </w:r>
      <w:r>
        <w:instrText xml:space="preserve"> PAGEREF _Toc460853167 \h </w:instrText>
      </w:r>
      <w:r>
        <w:fldChar w:fldCharType="separate"/>
      </w:r>
      <w:r>
        <w:t>29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Conditions relating to continuing lottery</w:t>
      </w:r>
      <w:r>
        <w:tab/>
      </w:r>
      <w:r>
        <w:fldChar w:fldCharType="begin"/>
      </w:r>
      <w:r>
        <w:instrText xml:space="preserve"> PAGEREF _Toc460853168 \h </w:instrText>
      </w:r>
      <w:r>
        <w:fldChar w:fldCharType="separate"/>
      </w:r>
      <w:r>
        <w:t>29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Vending machines for continuing lotteries, location of and conditions as to (Act s. 105(2))</w:t>
      </w:r>
      <w:r>
        <w:tab/>
      </w:r>
      <w:r>
        <w:fldChar w:fldCharType="begin"/>
      </w:r>
      <w:r>
        <w:instrText xml:space="preserve"> PAGEREF _Toc460853169 \h </w:instrText>
      </w:r>
      <w:r>
        <w:fldChar w:fldCharType="separate"/>
      </w:r>
      <w:r>
        <w:t>29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Accounts etc. of continuing lottery to be available for inspection</w:t>
      </w:r>
      <w:r>
        <w:tab/>
      </w:r>
      <w:r>
        <w:fldChar w:fldCharType="begin"/>
      </w:r>
      <w:r>
        <w:instrText xml:space="preserve"> PAGEREF _Toc460853170 \h </w:instrText>
      </w:r>
      <w:r>
        <w:fldChar w:fldCharType="separate"/>
      </w:r>
      <w:r>
        <w:t>30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Distribution of benefit</w:t>
      </w:r>
      <w:r>
        <w:tab/>
      </w:r>
      <w:r>
        <w:fldChar w:fldCharType="begin"/>
      </w:r>
      <w:r>
        <w:instrText xml:space="preserve"> PAGEREF _Toc460853171 \h </w:instrText>
      </w:r>
      <w:r>
        <w:fldChar w:fldCharType="separate"/>
      </w:r>
      <w:r>
        <w:t>31</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Trade promotion lotteries</w:t>
      </w:r>
    </w:p>
    <w:p>
      <w:pPr>
        <w:pStyle w:val="TOC8"/>
        <w:rPr>
          <w:rFonts w:asciiTheme="minorHAnsi" w:eastAsiaTheme="minorEastAsia" w:hAnsiTheme="minorHAnsi" w:cstheme="minorBidi"/>
          <w:szCs w:val="22"/>
        </w:rPr>
      </w:pPr>
      <w:r>
        <w:t>36A.</w:t>
      </w:r>
      <w:r>
        <w:tab/>
        <w:t>Prescribed conditions for trade promotion lottery (Act s. 102)</w:t>
      </w:r>
      <w:r>
        <w:tab/>
      </w:r>
      <w:r>
        <w:fldChar w:fldCharType="begin"/>
      </w:r>
      <w:r>
        <w:instrText xml:space="preserve"> PAGEREF _Toc460853173 \h </w:instrText>
      </w:r>
      <w:r>
        <w:fldChar w:fldCharType="separate"/>
      </w:r>
      <w:r>
        <w:t>31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Lotteries generally</w:t>
      </w:r>
    </w:p>
    <w:p>
      <w:pPr>
        <w:pStyle w:val="TOC8"/>
        <w:rPr>
          <w:rFonts w:asciiTheme="minorHAnsi" w:eastAsiaTheme="minorEastAsia" w:hAnsiTheme="minorHAnsi" w:cstheme="minorBidi"/>
          <w:szCs w:val="22"/>
        </w:rPr>
      </w:pPr>
      <w:r>
        <w:t>37</w:t>
      </w:r>
      <w:r>
        <w:rPr>
          <w:snapToGrid w:val="0"/>
        </w:rPr>
        <w:t>.</w:t>
      </w:r>
      <w:r>
        <w:rPr>
          <w:snapToGrid w:val="0"/>
        </w:rPr>
        <w:tab/>
        <w:t>Account book, form of (Act s. 104(3)(a))</w:t>
      </w:r>
      <w:r>
        <w:tab/>
      </w:r>
      <w:r>
        <w:fldChar w:fldCharType="begin"/>
      </w:r>
      <w:r>
        <w:instrText xml:space="preserve"> PAGEREF _Toc460853175 \h </w:instrText>
      </w:r>
      <w:r>
        <w:fldChar w:fldCharType="separate"/>
      </w:r>
      <w:r>
        <w:t>31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Prohibition as to private gain etc.</w:t>
      </w:r>
      <w:r>
        <w:tab/>
      </w:r>
      <w:r>
        <w:fldChar w:fldCharType="begin"/>
      </w:r>
      <w:r>
        <w:instrText xml:space="preserve"> PAGEREF _Toc460853176 \h </w:instrText>
      </w:r>
      <w:r>
        <w:fldChar w:fldCharType="separate"/>
      </w:r>
      <w:r>
        <w:t>32</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Offences related to permitted lotteries</w:t>
      </w:r>
      <w:r>
        <w:tab/>
      </w:r>
      <w:r>
        <w:fldChar w:fldCharType="begin"/>
      </w:r>
      <w:r>
        <w:instrText xml:space="preserve"> PAGEREF _Toc460853177 \h </w:instrText>
      </w:r>
      <w:r>
        <w:fldChar w:fldCharType="separate"/>
      </w:r>
      <w:r>
        <w:t>32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5 — Amusements, etc.</w:t>
      </w:r>
    </w:p>
    <w:p>
      <w:pPr>
        <w:pStyle w:val="TOC8"/>
        <w:rPr>
          <w:rFonts w:asciiTheme="minorHAnsi" w:eastAsiaTheme="minorEastAsia" w:hAnsiTheme="minorHAnsi" w:cstheme="minorBidi"/>
          <w:szCs w:val="22"/>
        </w:rPr>
      </w:pPr>
      <w:r>
        <w:t>39</w:t>
      </w:r>
      <w:r>
        <w:rPr>
          <w:snapToGrid w:val="0"/>
        </w:rPr>
        <w:t>.</w:t>
      </w:r>
      <w:r>
        <w:rPr>
          <w:snapToGrid w:val="0"/>
        </w:rPr>
        <w:tab/>
        <w:t>Amusements with prizes at agricultural shows etc., matters prescribed for (Act s. 107(4))</w:t>
      </w:r>
      <w:r>
        <w:tab/>
      </w:r>
      <w:r>
        <w:fldChar w:fldCharType="begin"/>
      </w:r>
      <w:r>
        <w:instrText xml:space="preserve"> PAGEREF _Toc460853179 \h </w:instrText>
      </w:r>
      <w:r>
        <w:fldChar w:fldCharType="separate"/>
      </w:r>
      <w:r>
        <w:t>33</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Amusements with prizes at sporting events etc., matters prescribed for (Act s. 107(1))</w:t>
      </w:r>
      <w:r>
        <w:tab/>
      </w:r>
      <w:r>
        <w:fldChar w:fldCharType="begin"/>
      </w:r>
      <w:r>
        <w:instrText xml:space="preserve"> PAGEREF _Toc460853180 \h </w:instrText>
      </w:r>
      <w:r>
        <w:fldChar w:fldCharType="separate"/>
      </w:r>
      <w:r>
        <w:t>33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Minor fund raising activities (Act s. 108)</w:t>
      </w:r>
      <w:r>
        <w:tab/>
      </w:r>
      <w:r>
        <w:fldChar w:fldCharType="begin"/>
      </w:r>
      <w:r>
        <w:instrText xml:space="preserve"> PAGEREF _Toc460853181 \h </w:instrText>
      </w:r>
      <w:r>
        <w:fldChar w:fldCharType="separate"/>
      </w:r>
      <w:r>
        <w:t>34</w:t>
      </w:r>
      <w:r>
        <w:fldChar w:fldCharType="end"/>
      </w:r>
    </w:p>
    <w:p>
      <w:pPr>
        <w:pStyle w:val="TOC8"/>
        <w:rPr>
          <w:rFonts w:asciiTheme="minorHAnsi" w:eastAsiaTheme="minorEastAsia" w:hAnsiTheme="minorHAnsi" w:cstheme="minorBidi"/>
          <w:szCs w:val="22"/>
        </w:rPr>
      </w:pPr>
      <w:r>
        <w:t>40A.</w:t>
      </w:r>
      <w:r>
        <w:tab/>
        <w:t>Football tipping competitions (Act s. 108)</w:t>
      </w:r>
      <w:r>
        <w:tab/>
      </w:r>
      <w:r>
        <w:fldChar w:fldCharType="begin"/>
      </w:r>
      <w:r>
        <w:instrText xml:space="preserve"> PAGEREF _Toc460853182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41.</w:t>
      </w:r>
      <w:r>
        <w:tab/>
        <w:t>Premises where amusement machines are permitted (Act s. 39(2)(e))</w:t>
      </w:r>
      <w:r>
        <w:tab/>
      </w:r>
      <w:r>
        <w:fldChar w:fldCharType="begin"/>
      </w:r>
      <w:r>
        <w:instrText xml:space="preserve"> PAGEREF _Toc460853184 \h </w:instrText>
      </w:r>
      <w:r>
        <w:fldChar w:fldCharType="separate"/>
      </w:r>
      <w:r>
        <w:t>35</w:t>
      </w:r>
      <w:r>
        <w:fldChar w:fldCharType="end"/>
      </w:r>
    </w:p>
    <w:p>
      <w:pPr>
        <w:pStyle w:val="TOC8"/>
        <w:rPr>
          <w:rFonts w:asciiTheme="minorHAnsi" w:eastAsiaTheme="minorEastAsia" w:hAnsiTheme="minorHAnsi" w:cstheme="minorBidi"/>
          <w:szCs w:val="22"/>
        </w:rPr>
      </w:pPr>
      <w:r>
        <w:t>42.</w:t>
      </w:r>
      <w:r>
        <w:tab/>
        <w:t>Unclaimed winnings (Act s. 109B(1))</w:t>
      </w:r>
      <w:r>
        <w:tab/>
      </w:r>
      <w:r>
        <w:fldChar w:fldCharType="begin"/>
      </w:r>
      <w:r>
        <w:instrText xml:space="preserve"> PAGEREF _Toc460853185 \h </w:instrText>
      </w:r>
      <w:r>
        <w:fldChar w:fldCharType="separate"/>
      </w:r>
      <w:r>
        <w:t>35</w:t>
      </w:r>
      <w:r>
        <w:fldChar w:fldCharType="end"/>
      </w:r>
    </w:p>
    <w:p>
      <w:pPr>
        <w:pStyle w:val="TOC8"/>
        <w:rPr>
          <w:rFonts w:asciiTheme="minorHAnsi" w:eastAsiaTheme="minorEastAsia" w:hAnsiTheme="minorHAnsi" w:cstheme="minorBidi"/>
          <w:szCs w:val="22"/>
        </w:rPr>
      </w:pPr>
      <w:r>
        <w:t>43.</w:t>
      </w:r>
      <w:r>
        <w:tab/>
        <w:t>Certain advertising prohibited</w:t>
      </w:r>
      <w:r>
        <w:tab/>
      </w:r>
      <w:r>
        <w:fldChar w:fldCharType="begin"/>
      </w:r>
      <w:r>
        <w:instrText xml:space="preserve"> PAGEREF _Toc460853186 \h </w:instrText>
      </w:r>
      <w:r>
        <w:fldChar w:fldCharType="separate"/>
      </w:r>
      <w:r>
        <w:t>35</w:t>
      </w:r>
      <w:r>
        <w:fldChar w:fldCharType="end"/>
      </w:r>
    </w:p>
    <w:p>
      <w:pPr>
        <w:pStyle w:val="TOC8"/>
        <w:rPr>
          <w:rFonts w:asciiTheme="minorHAnsi" w:eastAsiaTheme="minorEastAsia" w:hAnsiTheme="minorHAnsi" w:cstheme="minorBidi"/>
          <w:szCs w:val="22"/>
        </w:rPr>
      </w:pPr>
      <w:r>
        <w:t>44.</w:t>
      </w:r>
      <w:r>
        <w:tab/>
        <w:t>Prescribed interval (Act s. 110B(4)(b))</w:t>
      </w:r>
      <w:r>
        <w:tab/>
      </w:r>
      <w:r>
        <w:fldChar w:fldCharType="begin"/>
      </w:r>
      <w:r>
        <w:instrText xml:space="preserve"> PAGEREF _Toc460853187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fees</w:t>
      </w:r>
    </w:p>
    <w:p>
      <w:pPr>
        <w:pStyle w:val="TOC2"/>
        <w:tabs>
          <w:tab w:val="right" w:leader="dot" w:pos="7077"/>
        </w:tabs>
        <w:rPr>
          <w:rFonts w:asciiTheme="minorHAnsi" w:eastAsiaTheme="minorEastAsia" w:hAnsiTheme="minorHAnsi" w:cstheme="minorBidi"/>
          <w:b w:val="0"/>
          <w:sz w:val="22"/>
          <w:szCs w:val="22"/>
        </w:rPr>
      </w:pPr>
      <w:r>
        <w:t>Schedule 2 — Prescribed penalties under section 36(1)</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4</w:t>
      </w:r>
    </w:p>
    <w:p>
      <w:pPr>
        <w:pStyle w:val="TOC2"/>
        <w:tabs>
          <w:tab w:val="right" w:leader="dot" w:pos="7077"/>
        </w:tabs>
        <w:rPr>
          <w:rFonts w:asciiTheme="minorHAnsi" w:eastAsiaTheme="minorEastAsia" w:hAnsiTheme="minorHAnsi" w:cstheme="minorBidi"/>
          <w:b w:val="0"/>
          <w:sz w:val="22"/>
          <w:szCs w:val="22"/>
        </w:rPr>
      </w:pPr>
      <w:r>
        <w:t>Rules for the conduct of permitted games</w:t>
      </w:r>
    </w:p>
    <w:p>
      <w:pPr>
        <w:pStyle w:val="TOC4"/>
        <w:tabs>
          <w:tab w:val="right" w:leader="dot" w:pos="7077"/>
        </w:tabs>
        <w:rPr>
          <w:rFonts w:asciiTheme="minorHAnsi" w:eastAsiaTheme="minorEastAsia" w:hAnsiTheme="minorHAnsi" w:cstheme="minorBidi"/>
          <w:b w:val="0"/>
          <w:szCs w:val="22"/>
        </w:rPr>
      </w:pPr>
      <w:r>
        <w:t>Part 1 — Permitted bingo</w:t>
      </w:r>
    </w:p>
    <w:p>
      <w:pPr>
        <w:pStyle w:val="TOC8"/>
        <w:rPr>
          <w:rFonts w:asciiTheme="minorHAnsi" w:eastAsiaTheme="minorEastAsia" w:hAnsiTheme="minorHAnsi" w:cstheme="minorBidi"/>
          <w:szCs w:val="22"/>
        </w:rPr>
      </w:pPr>
      <w:r>
        <w:t>1</w:t>
      </w:r>
      <w:r>
        <w:rPr>
          <w:snapToGrid w:val="0"/>
        </w:rPr>
        <w:t>.</w:t>
      </w:r>
      <w:r>
        <w:rPr>
          <w:snapToGrid w:val="0"/>
        </w:rPr>
        <w:tab/>
        <w:t>Children cannot play</w:t>
      </w:r>
      <w:r>
        <w:tab/>
      </w:r>
      <w:r>
        <w:fldChar w:fldCharType="begin"/>
      </w:r>
      <w:r>
        <w:instrText xml:space="preserve"> PAGEREF _Toc460853195 \h </w:instrText>
      </w:r>
      <w:r>
        <w:fldChar w:fldCharType="separate"/>
      </w:r>
      <w:r>
        <w:t>48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Spotters cannot play</w:t>
      </w:r>
      <w:r>
        <w:tab/>
      </w:r>
      <w:r>
        <w:fldChar w:fldCharType="begin"/>
      </w:r>
      <w:r>
        <w:instrText xml:space="preserve"> PAGEREF _Toc460853196 \h </w:instrText>
      </w:r>
      <w:r>
        <w:fldChar w:fldCharType="separate"/>
      </w:r>
      <w:r>
        <w:t>48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Call backs, who can take part in</w:t>
      </w:r>
      <w:r>
        <w:tab/>
      </w:r>
      <w:r>
        <w:fldChar w:fldCharType="begin"/>
      </w:r>
      <w:r>
        <w:instrText xml:space="preserve"> PAGEREF _Toc460853197 \h </w:instrText>
      </w:r>
      <w:r>
        <w:fldChar w:fldCharType="separate"/>
      </w:r>
      <w:r>
        <w:t>48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Bingo cards</w:t>
      </w:r>
      <w:r>
        <w:tab/>
      </w:r>
      <w:r>
        <w:fldChar w:fldCharType="begin"/>
      </w:r>
      <w:r>
        <w:instrText xml:space="preserve"> PAGEREF _Toc460853198 \h </w:instrText>
      </w:r>
      <w:r>
        <w:fldChar w:fldCharType="separate"/>
      </w:r>
      <w:r>
        <w:t>48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Split games</w:t>
      </w:r>
      <w:r>
        <w:tab/>
      </w:r>
      <w:r>
        <w:fldChar w:fldCharType="begin"/>
      </w:r>
      <w:r>
        <w:instrText xml:space="preserve"> PAGEREF _Toc460853199 \h </w:instrText>
      </w:r>
      <w:r>
        <w:fldChar w:fldCharType="separate"/>
      </w:r>
      <w:r>
        <w:t>48</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Prizes, who is eligible for</w:t>
      </w:r>
      <w:r>
        <w:tab/>
      </w:r>
      <w:r>
        <w:fldChar w:fldCharType="begin"/>
      </w:r>
      <w:r>
        <w:instrText xml:space="preserve"> PAGEREF _Toc460853200 \h </w:instrText>
      </w:r>
      <w:r>
        <w:fldChar w:fldCharType="separate"/>
      </w:r>
      <w:r>
        <w:t>49</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When games conclude</w:t>
      </w:r>
      <w:r>
        <w:tab/>
      </w:r>
      <w:r>
        <w:fldChar w:fldCharType="begin"/>
      </w:r>
      <w:r>
        <w:instrText xml:space="preserve"> PAGEREF _Toc460853201 \h </w:instrText>
      </w:r>
      <w:r>
        <w:fldChar w:fldCharType="separate"/>
      </w:r>
      <w:r>
        <w:t>49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Miscellaneous rules</w:t>
      </w:r>
      <w:r>
        <w:tab/>
      </w:r>
      <w:r>
        <w:fldChar w:fldCharType="begin"/>
      </w:r>
      <w:r>
        <w:instrText xml:space="preserve"> PAGEREF _Toc460853202 \h </w:instrText>
      </w:r>
      <w:r>
        <w:fldChar w:fldCharType="separate"/>
      </w:r>
      <w:r>
        <w:t>49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Prizes, announcement of etc.</w:t>
      </w:r>
      <w:r>
        <w:tab/>
      </w:r>
      <w:r>
        <w:fldChar w:fldCharType="begin"/>
      </w:r>
      <w:r>
        <w:instrText xml:space="preserve"> PAGEREF _Toc460853203 \h </w:instrText>
      </w:r>
      <w:r>
        <w:fldChar w:fldCharType="separate"/>
      </w:r>
      <w:r>
        <w:t>50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Prize shared if more than one winner</w:t>
      </w:r>
      <w:r>
        <w:tab/>
      </w:r>
      <w:r>
        <w:fldChar w:fldCharType="begin"/>
      </w:r>
      <w:r>
        <w:instrText xml:space="preserve"> PAGEREF _Toc460853204 \h </w:instrText>
      </w:r>
      <w:r>
        <w:fldChar w:fldCharType="separate"/>
      </w:r>
      <w:r>
        <w:t>51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Prizes paid as soon as practicable</w:t>
      </w:r>
      <w:r>
        <w:tab/>
      </w:r>
      <w:r>
        <w:fldChar w:fldCharType="begin"/>
      </w:r>
      <w:r>
        <w:instrText xml:space="preserve"> PAGEREF _Toc460853205 \h </w:instrText>
      </w:r>
      <w:r>
        <w:fldChar w:fldCharType="separate"/>
      </w:r>
      <w:r>
        <w:t>51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Player who makes incorrect call allowed to continue play</w:t>
      </w:r>
      <w:r>
        <w:tab/>
      </w:r>
      <w:r>
        <w:fldChar w:fldCharType="begin"/>
      </w:r>
      <w:r>
        <w:instrText xml:space="preserve"> PAGEREF _Toc460853206 \h </w:instrText>
      </w:r>
      <w:r>
        <w:fldChar w:fldCharType="separate"/>
      </w:r>
      <w:r>
        <w:t>51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Late calls by players</w:t>
      </w:r>
      <w:r>
        <w:tab/>
      </w:r>
      <w:r>
        <w:fldChar w:fldCharType="begin"/>
      </w:r>
      <w:r>
        <w:instrText xml:space="preserve"> PAGEREF _Toc460853207 \h </w:instrText>
      </w:r>
      <w:r>
        <w:fldChar w:fldCharType="separate"/>
      </w:r>
      <w:r>
        <w:t>51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Calls must be acknowledged</w:t>
      </w:r>
      <w:r>
        <w:tab/>
      </w:r>
      <w:r>
        <w:fldChar w:fldCharType="begin"/>
      </w:r>
      <w:r>
        <w:instrText xml:space="preserve"> PAGEREF _Toc460853208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Part 2 — Permitted lotteries</w:t>
      </w:r>
    </w:p>
    <w:p>
      <w:pPr>
        <w:pStyle w:val="TOC6"/>
        <w:tabs>
          <w:tab w:val="right" w:leader="dot" w:pos="7077"/>
        </w:tabs>
        <w:rPr>
          <w:rFonts w:asciiTheme="minorHAnsi" w:eastAsiaTheme="minorEastAsia" w:hAnsiTheme="minorHAnsi" w:cstheme="minorBidi"/>
          <w:b w:val="0"/>
          <w:sz w:val="22"/>
          <w:szCs w:val="22"/>
        </w:rPr>
      </w:pPr>
      <w:r>
        <w:rPr>
          <w:snapToGrid w:val="0"/>
        </w:rPr>
        <w:t>Division 1 — Rules for the conduct of a standard lottery</w:t>
      </w:r>
    </w:p>
    <w:p>
      <w:pPr>
        <w:pStyle w:val="TOC8"/>
        <w:rPr>
          <w:rFonts w:asciiTheme="minorHAnsi" w:eastAsiaTheme="minorEastAsia" w:hAnsiTheme="minorHAnsi" w:cstheme="minorBidi"/>
          <w:szCs w:val="22"/>
        </w:rPr>
      </w:pPr>
      <w:r>
        <w:t>1</w:t>
      </w:r>
      <w:r>
        <w:rPr>
          <w:snapToGrid w:val="0"/>
        </w:rPr>
        <w:t>.</w:t>
      </w:r>
      <w:r>
        <w:rPr>
          <w:snapToGrid w:val="0"/>
        </w:rPr>
        <w:tab/>
        <w:t>Chances, number of etc.</w:t>
      </w:r>
      <w:r>
        <w:tab/>
      </w:r>
      <w:r>
        <w:fldChar w:fldCharType="begin"/>
      </w:r>
      <w:r>
        <w:instrText xml:space="preserve"> PAGEREF _Toc460853211 \h </w:instrText>
      </w:r>
      <w:r>
        <w:fldChar w:fldCharType="separate"/>
      </w:r>
      <w:r>
        <w:t>52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Chances, information on</w:t>
      </w:r>
      <w:r>
        <w:tab/>
      </w:r>
      <w:r>
        <w:fldChar w:fldCharType="begin"/>
      </w:r>
      <w:r>
        <w:instrText xml:space="preserve"> PAGEREF _Toc460853212 \h </w:instrText>
      </w:r>
      <w:r>
        <w:fldChar w:fldCharType="separate"/>
      </w:r>
      <w:r>
        <w:t>52</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Chance holders, identification of</w:t>
      </w:r>
      <w:r>
        <w:tab/>
      </w:r>
      <w:r>
        <w:fldChar w:fldCharType="begin"/>
      </w:r>
      <w:r>
        <w:instrText xml:space="preserve"> PAGEREF _Toc460853213 \h </w:instrText>
      </w:r>
      <w:r>
        <w:fldChar w:fldCharType="separate"/>
      </w:r>
      <w:r>
        <w:t>53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Results of draw</w:t>
      </w:r>
      <w:r>
        <w:tab/>
      </w:r>
      <w:r>
        <w:fldChar w:fldCharType="begin"/>
      </w:r>
      <w:r>
        <w:instrText xml:space="preserve"> PAGEREF _Toc460853214 \h </w:instrText>
      </w:r>
      <w:r>
        <w:fldChar w:fldCharType="separate"/>
      </w:r>
      <w:r>
        <w:t>53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Order in which prizes are to be drawn</w:t>
      </w:r>
      <w:r>
        <w:tab/>
      </w:r>
      <w:r>
        <w:fldChar w:fldCharType="begin"/>
      </w:r>
      <w:r>
        <w:instrText xml:space="preserve"> PAGEREF _Toc460853215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Division 2 — Rules for the conduct of a continuing lottery</w:t>
      </w:r>
    </w:p>
    <w:p>
      <w:pPr>
        <w:pStyle w:val="TOC8"/>
        <w:rPr>
          <w:rFonts w:asciiTheme="minorHAnsi" w:eastAsiaTheme="minorEastAsia" w:hAnsiTheme="minorHAnsi" w:cstheme="minorBidi"/>
          <w:szCs w:val="22"/>
        </w:rPr>
      </w:pPr>
      <w:r>
        <w:t>1</w:t>
      </w:r>
      <w:r>
        <w:rPr>
          <w:snapToGrid w:val="0"/>
        </w:rPr>
        <w:t>.</w:t>
      </w:r>
      <w:r>
        <w:rPr>
          <w:snapToGrid w:val="0"/>
        </w:rPr>
        <w:tab/>
        <w:t>Information on each ticket</w:t>
      </w:r>
      <w:r>
        <w:tab/>
      </w:r>
      <w:r>
        <w:fldChar w:fldCharType="begin"/>
      </w:r>
      <w:r>
        <w:instrText xml:space="preserve"> PAGEREF _Toc460853217 \h </w:instrText>
      </w:r>
      <w:r>
        <w:fldChar w:fldCharType="separate"/>
      </w:r>
      <w:r>
        <w:t>54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Where tickets may be sold</w:t>
      </w:r>
      <w:r>
        <w:tab/>
      </w:r>
      <w:r>
        <w:fldChar w:fldCharType="begin"/>
      </w:r>
      <w:r>
        <w:instrText xml:space="preserve"> PAGEREF _Toc460853218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Schedule 5 — Conditions for trade promotion lottery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_Toc460853221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spacing w:before="240" w:after="240"/>
      </w:pPr>
      <w:bookmarkStart w:id="3" w:name="_Toc403656817"/>
      <w:bookmarkStart w:id="4" w:name="_Toc403720563"/>
      <w:bookmarkStart w:id="5" w:name="_Toc407629144"/>
      <w:bookmarkStart w:id="6" w:name="_Toc418677814"/>
      <w:bookmarkStart w:id="7" w:name="_Toc418677923"/>
      <w:bookmarkStart w:id="8" w:name="_Toc436646249"/>
      <w:bookmarkStart w:id="9" w:name="_Toc438113684"/>
      <w:bookmarkStart w:id="10" w:name="_Toc439166227"/>
      <w:bookmarkStart w:id="11" w:name="_Toc46085311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Heading5"/>
        <w:rPr>
          <w:snapToGrid w:val="0"/>
        </w:rPr>
      </w:pPr>
      <w:bookmarkStart w:id="12" w:name="_Toc407629145"/>
      <w:bookmarkStart w:id="13" w:name="_Toc460853111"/>
      <w:r>
        <w:rPr>
          <w:rStyle w:val="CharSectno"/>
        </w:rPr>
        <w:t>1</w:t>
      </w:r>
      <w:r>
        <w:rPr>
          <w:snapToGrid w:val="0"/>
        </w:rPr>
        <w:t>.</w:t>
      </w:r>
      <w:r>
        <w:rPr>
          <w:snapToGrid w:val="0"/>
        </w:rPr>
        <w:tab/>
        <w:t>Citation</w:t>
      </w:r>
      <w:bookmarkEnd w:id="12"/>
      <w:bookmarkEnd w:id="13"/>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14" w:name="_Toc407629146"/>
      <w:bookmarkStart w:id="15" w:name="_Toc460853112"/>
      <w:r>
        <w:rPr>
          <w:rStyle w:val="CharSectno"/>
        </w:rPr>
        <w:t>2</w:t>
      </w:r>
      <w:r>
        <w:rPr>
          <w:snapToGrid w:val="0"/>
        </w:rPr>
        <w:t>.</w:t>
      </w:r>
      <w:r>
        <w:rPr>
          <w:snapToGrid w:val="0"/>
        </w:rPr>
        <w:tab/>
        <w:t>Commencement</w:t>
      </w:r>
      <w:bookmarkEnd w:id="14"/>
      <w:bookmarkEnd w:id="15"/>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16" w:name="_Toc407629147"/>
      <w:bookmarkStart w:id="17" w:name="_Toc460853113"/>
      <w:r>
        <w:rPr>
          <w:rStyle w:val="CharSectno"/>
        </w:rPr>
        <w:t>3</w:t>
      </w:r>
      <w:r>
        <w:rPr>
          <w:snapToGrid w:val="0"/>
        </w:rPr>
        <w:t>.</w:t>
      </w:r>
      <w:r>
        <w:rPr>
          <w:snapToGrid w:val="0"/>
        </w:rPr>
        <w:tab/>
        <w:t>Interpretation; compliance with forms</w:t>
      </w:r>
      <w:bookmarkEnd w:id="16"/>
      <w:bookmarkEnd w:id="17"/>
    </w:p>
    <w:p>
      <w:pPr>
        <w:pStyle w:val="Subsection"/>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rPr>
          <w:snapToGrid w:val="0"/>
        </w:rPr>
      </w:pPr>
      <w:r>
        <w:rPr>
          <w:snapToGrid w:val="0"/>
        </w:rPr>
        <w:tab/>
        <w:t>(2)</w:t>
      </w:r>
      <w:r>
        <w:rPr>
          <w:snapToGrid w:val="0"/>
        </w:rPr>
        <w:tab/>
        <w:t>Strict compliance with the style of a form set out in Schedule 3 is not necessary, unless the Commission so requires.</w:t>
      </w:r>
    </w:p>
    <w:p>
      <w:pPr>
        <w:pStyle w:val="Subsection"/>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pPr>
      <w:bookmarkStart w:id="18" w:name="_Toc407629148"/>
      <w:bookmarkStart w:id="19" w:name="_Toc460853114"/>
      <w:r>
        <w:rPr>
          <w:rStyle w:val="CharSectno"/>
        </w:rPr>
        <w:t>4A</w:t>
      </w:r>
      <w:r>
        <w:t>.</w:t>
      </w:r>
      <w:r>
        <w:tab/>
        <w:t>Notes in the text</w:t>
      </w:r>
      <w:bookmarkEnd w:id="18"/>
      <w:bookmarkEnd w:id="19"/>
    </w:p>
    <w:p>
      <w:pPr>
        <w:pStyle w:val="Subsection"/>
      </w:pPr>
      <w:r>
        <w:tab/>
      </w:r>
      <w:r>
        <w:tab/>
        <w:t>A note included in these regulations (other than in a form in Schedule 3) is explanatory and is not part of these regulations.</w:t>
      </w:r>
    </w:p>
    <w:p>
      <w:pPr>
        <w:pStyle w:val="Footnotesection"/>
      </w:pPr>
      <w:r>
        <w:tab/>
        <w:t>[Regulation 4A inserted in Gazette 12 Aug 2011 p. 3249.]</w:t>
      </w:r>
    </w:p>
    <w:p>
      <w:pPr>
        <w:pStyle w:val="Heading5"/>
        <w:rPr>
          <w:snapToGrid w:val="0"/>
        </w:rPr>
      </w:pPr>
      <w:bookmarkStart w:id="20" w:name="_Toc407629149"/>
      <w:bookmarkStart w:id="21" w:name="_Toc460853115"/>
      <w:r>
        <w:rPr>
          <w:rStyle w:val="CharSectno"/>
        </w:rPr>
        <w:t>4</w:t>
      </w:r>
      <w:r>
        <w:rPr>
          <w:snapToGrid w:val="0"/>
        </w:rPr>
        <w:t>.</w:t>
      </w:r>
      <w:r>
        <w:rPr>
          <w:snapToGrid w:val="0"/>
        </w:rPr>
        <w:tab/>
        <w:t>Prescribed fees</w:t>
      </w:r>
      <w:bookmarkEnd w:id="20"/>
      <w:bookmarkEnd w:id="21"/>
    </w:p>
    <w:p>
      <w:pPr>
        <w:pStyle w:val="Subsection"/>
      </w:pPr>
      <w:r>
        <w:tab/>
        <w:t>(1)</w:t>
      </w:r>
      <w:r>
        <w:tab/>
        <w:t>The fees specified in Schedule 1 are payable for the matters listed in that Schedule.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in Gazette 27 Mar 1992 p. 1370; 30 Oct 2009 p. 4316.]</w:t>
      </w:r>
    </w:p>
    <w:p>
      <w:pPr>
        <w:pStyle w:val="Heading2"/>
      </w:pPr>
      <w:bookmarkStart w:id="22" w:name="_Toc403656823"/>
      <w:bookmarkStart w:id="23" w:name="_Toc403720569"/>
      <w:bookmarkStart w:id="24" w:name="_Toc407629150"/>
      <w:bookmarkStart w:id="25" w:name="_Toc418677820"/>
      <w:bookmarkStart w:id="26" w:name="_Toc418677929"/>
      <w:bookmarkStart w:id="27" w:name="_Toc436646255"/>
      <w:bookmarkStart w:id="28" w:name="_Toc438113690"/>
      <w:bookmarkStart w:id="29" w:name="_Toc439166233"/>
      <w:bookmarkStart w:id="30" w:name="_Toc460853116"/>
      <w:r>
        <w:rPr>
          <w:rStyle w:val="CharPartNo"/>
        </w:rPr>
        <w:t>Part 2</w:t>
      </w:r>
      <w:r>
        <w:rPr>
          <w:rStyle w:val="CharDivNo"/>
        </w:rPr>
        <w:t> </w:t>
      </w:r>
      <w:r>
        <w:t>—</w:t>
      </w:r>
      <w:r>
        <w:rPr>
          <w:rStyle w:val="CharDivText"/>
        </w:rPr>
        <w:t> </w:t>
      </w:r>
      <w:r>
        <w:rPr>
          <w:rStyle w:val="CharPartText"/>
        </w:rPr>
        <w:t>Enforcement</w:t>
      </w:r>
      <w:bookmarkEnd w:id="22"/>
      <w:bookmarkEnd w:id="23"/>
      <w:bookmarkEnd w:id="24"/>
      <w:bookmarkEnd w:id="25"/>
      <w:bookmarkEnd w:id="26"/>
      <w:bookmarkEnd w:id="27"/>
      <w:bookmarkEnd w:id="28"/>
      <w:bookmarkEnd w:id="29"/>
      <w:bookmarkEnd w:id="30"/>
    </w:p>
    <w:p>
      <w:pPr>
        <w:pStyle w:val="Heading5"/>
        <w:rPr>
          <w:snapToGrid w:val="0"/>
        </w:rPr>
      </w:pPr>
      <w:bookmarkStart w:id="31" w:name="_Toc407629151"/>
      <w:bookmarkStart w:id="32" w:name="_Toc460853117"/>
      <w:r>
        <w:rPr>
          <w:rStyle w:val="CharSectno"/>
        </w:rPr>
        <w:t>5</w:t>
      </w:r>
      <w:r>
        <w:rPr>
          <w:snapToGrid w:val="0"/>
        </w:rPr>
        <w:t>.</w:t>
      </w:r>
      <w:r>
        <w:rPr>
          <w:snapToGrid w:val="0"/>
        </w:rPr>
        <w:tab/>
        <w:t>Forfeiture, offences prescribed (Act s. 32(2))</w:t>
      </w:r>
      <w:bookmarkEnd w:id="31"/>
      <w:bookmarkEnd w:id="32"/>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in Gazette 26 May 1989 p. 1548; 30 Jan 2004 p. 415.]</w:t>
      </w:r>
    </w:p>
    <w:p>
      <w:pPr>
        <w:pStyle w:val="Heading5"/>
        <w:rPr>
          <w:snapToGrid w:val="0"/>
        </w:rPr>
      </w:pPr>
      <w:bookmarkStart w:id="33" w:name="_Toc407629152"/>
      <w:bookmarkStart w:id="34" w:name="_Toc460853118"/>
      <w:r>
        <w:rPr>
          <w:rStyle w:val="CharSectno"/>
        </w:rPr>
        <w:t>6</w:t>
      </w:r>
      <w:r>
        <w:rPr>
          <w:snapToGrid w:val="0"/>
        </w:rPr>
        <w:t>.</w:t>
      </w:r>
      <w:r>
        <w:rPr>
          <w:snapToGrid w:val="0"/>
        </w:rPr>
        <w:tab/>
        <w:t>Modified penalties and infringement notices (Act s. 36(1))</w:t>
      </w:r>
      <w:bookmarkEnd w:id="33"/>
      <w:bookmarkEnd w:id="34"/>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35" w:name="_Toc407629153"/>
      <w:bookmarkStart w:id="36" w:name="_Toc460853119"/>
      <w:r>
        <w:rPr>
          <w:rStyle w:val="CharSectno"/>
        </w:rPr>
        <w:t>6A</w:t>
      </w:r>
      <w:r>
        <w:rPr>
          <w:snapToGrid w:val="0"/>
        </w:rPr>
        <w:t>.</w:t>
      </w:r>
      <w:r>
        <w:rPr>
          <w:snapToGrid w:val="0"/>
        </w:rPr>
        <w:tab/>
        <w:t>Warrant, form of (Act s. 25)</w:t>
      </w:r>
      <w:bookmarkEnd w:id="35"/>
      <w:bookmarkEnd w:id="36"/>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in Gazette 7 Oct 1988 p. 4106.]</w:t>
      </w:r>
    </w:p>
    <w:p>
      <w:pPr>
        <w:pStyle w:val="Heading2"/>
      </w:pPr>
      <w:bookmarkStart w:id="37" w:name="_Toc403656827"/>
      <w:bookmarkStart w:id="38" w:name="_Toc403720573"/>
      <w:bookmarkStart w:id="39" w:name="_Toc407629154"/>
      <w:bookmarkStart w:id="40" w:name="_Toc418677824"/>
      <w:bookmarkStart w:id="41" w:name="_Toc418677933"/>
      <w:bookmarkStart w:id="42" w:name="_Toc436646259"/>
      <w:bookmarkStart w:id="43" w:name="_Toc438113694"/>
      <w:bookmarkStart w:id="44" w:name="_Toc439166237"/>
      <w:bookmarkStart w:id="45" w:name="_Toc460853120"/>
      <w:r>
        <w:rPr>
          <w:rStyle w:val="CharPartNo"/>
        </w:rPr>
        <w:t>Part 3</w:t>
      </w:r>
      <w:r>
        <w:rPr>
          <w:rStyle w:val="CharDivNo"/>
        </w:rPr>
        <w:t> </w:t>
      </w:r>
      <w:r>
        <w:t>—</w:t>
      </w:r>
      <w:r>
        <w:rPr>
          <w:rStyle w:val="CharDivText"/>
        </w:rPr>
        <w:t> </w:t>
      </w:r>
      <w:r>
        <w:rPr>
          <w:rStyle w:val="CharPartText"/>
        </w:rPr>
        <w:t>The register</w:t>
      </w:r>
      <w:bookmarkEnd w:id="37"/>
      <w:bookmarkEnd w:id="38"/>
      <w:bookmarkEnd w:id="39"/>
      <w:bookmarkEnd w:id="40"/>
      <w:bookmarkEnd w:id="41"/>
      <w:bookmarkEnd w:id="42"/>
      <w:bookmarkEnd w:id="43"/>
      <w:bookmarkEnd w:id="44"/>
      <w:bookmarkEnd w:id="45"/>
    </w:p>
    <w:p>
      <w:pPr>
        <w:pStyle w:val="Heading5"/>
        <w:rPr>
          <w:snapToGrid w:val="0"/>
        </w:rPr>
      </w:pPr>
      <w:bookmarkStart w:id="46" w:name="_Toc407629155"/>
      <w:bookmarkStart w:id="47" w:name="_Toc460853121"/>
      <w:r>
        <w:rPr>
          <w:rStyle w:val="CharSectno"/>
        </w:rPr>
        <w:t>7</w:t>
      </w:r>
      <w:r>
        <w:rPr>
          <w:snapToGrid w:val="0"/>
        </w:rPr>
        <w:t>.</w:t>
      </w:r>
      <w:r>
        <w:rPr>
          <w:snapToGrid w:val="0"/>
        </w:rPr>
        <w:tab/>
        <w:t>Manner of recording and search fees prescribed (Act s. 50)</w:t>
      </w:r>
      <w:bookmarkEnd w:id="46"/>
      <w:bookmarkEnd w:id="47"/>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48" w:name="_Toc403656829"/>
      <w:bookmarkStart w:id="49" w:name="_Toc403720575"/>
      <w:bookmarkStart w:id="50" w:name="_Toc407629156"/>
      <w:bookmarkStart w:id="51" w:name="_Toc418677826"/>
      <w:bookmarkStart w:id="52" w:name="_Toc418677935"/>
      <w:bookmarkStart w:id="53" w:name="_Toc436646261"/>
      <w:bookmarkStart w:id="54" w:name="_Toc438113696"/>
      <w:bookmarkStart w:id="55" w:name="_Toc439166239"/>
      <w:bookmarkStart w:id="56" w:name="_Toc460853122"/>
      <w:r>
        <w:rPr>
          <w:rStyle w:val="CharPartNo"/>
        </w:rPr>
        <w:t>Part 4</w:t>
      </w:r>
      <w:r>
        <w:t> — </w:t>
      </w:r>
      <w:r>
        <w:rPr>
          <w:rStyle w:val="CharPartText"/>
        </w:rPr>
        <w:t>Permitted gaming</w:t>
      </w:r>
      <w:bookmarkEnd w:id="48"/>
      <w:bookmarkEnd w:id="49"/>
      <w:bookmarkEnd w:id="50"/>
      <w:bookmarkEnd w:id="51"/>
      <w:bookmarkEnd w:id="52"/>
      <w:bookmarkEnd w:id="53"/>
      <w:bookmarkEnd w:id="54"/>
      <w:bookmarkEnd w:id="55"/>
      <w:bookmarkEnd w:id="56"/>
    </w:p>
    <w:p>
      <w:pPr>
        <w:pStyle w:val="Heading3"/>
        <w:spacing w:before="220"/>
      </w:pPr>
      <w:bookmarkStart w:id="57" w:name="_Toc403656830"/>
      <w:bookmarkStart w:id="58" w:name="_Toc403720576"/>
      <w:bookmarkStart w:id="59" w:name="_Toc407629157"/>
      <w:bookmarkStart w:id="60" w:name="_Toc418677827"/>
      <w:bookmarkStart w:id="61" w:name="_Toc418677936"/>
      <w:bookmarkStart w:id="62" w:name="_Toc436646262"/>
      <w:bookmarkStart w:id="63" w:name="_Toc438113697"/>
      <w:bookmarkStart w:id="64" w:name="_Toc439166240"/>
      <w:bookmarkStart w:id="65" w:name="_Toc460853123"/>
      <w:r>
        <w:rPr>
          <w:rStyle w:val="CharDivNo"/>
        </w:rPr>
        <w:t>Division 1</w:t>
      </w:r>
      <w:r>
        <w:rPr>
          <w:snapToGrid w:val="0"/>
        </w:rPr>
        <w:t> — </w:t>
      </w:r>
      <w:r>
        <w:rPr>
          <w:rStyle w:val="CharDivText"/>
        </w:rPr>
        <w:t>Gaming generally</w:t>
      </w:r>
      <w:bookmarkEnd w:id="57"/>
      <w:bookmarkEnd w:id="58"/>
      <w:bookmarkEnd w:id="59"/>
      <w:bookmarkEnd w:id="60"/>
      <w:bookmarkEnd w:id="61"/>
      <w:bookmarkEnd w:id="62"/>
      <w:bookmarkEnd w:id="63"/>
      <w:bookmarkEnd w:id="64"/>
      <w:bookmarkEnd w:id="65"/>
    </w:p>
    <w:p>
      <w:pPr>
        <w:pStyle w:val="Heading5"/>
      </w:pPr>
      <w:bookmarkStart w:id="66" w:name="_Toc407629158"/>
      <w:bookmarkStart w:id="67" w:name="_Toc460853124"/>
      <w:r>
        <w:rPr>
          <w:rStyle w:val="CharSectno"/>
        </w:rPr>
        <w:t>8A</w:t>
      </w:r>
      <w:r>
        <w:t>.</w:t>
      </w:r>
      <w:r>
        <w:tab/>
        <w:t>Gaming on cruise ships</w:t>
      </w:r>
      <w:bookmarkEnd w:id="66"/>
      <w:bookmarkEnd w:id="67"/>
    </w:p>
    <w:p>
      <w:pPr>
        <w:pStyle w:val="Subsection"/>
      </w:pPr>
      <w:r>
        <w:tab/>
        <w:t>(1)</w:t>
      </w:r>
      <w:r>
        <w:tab/>
        <w:t xml:space="preserve">In this regulation — </w:t>
      </w:r>
    </w:p>
    <w:p>
      <w:pPr>
        <w:pStyle w:val="Defstart"/>
      </w:pPr>
      <w:r>
        <w:tab/>
      </w:r>
      <w:r>
        <w:rPr>
          <w:rStyle w:val="CharDefText"/>
        </w:rPr>
        <w:t>baseline</w:t>
      </w:r>
      <w:r>
        <w:t xml:space="preserve"> has the meaning given in the </w:t>
      </w:r>
      <w:r>
        <w:rPr>
          <w:i/>
        </w:rPr>
        <w:t>Crimes at Sea Act 2000</w:t>
      </w:r>
      <w:r>
        <w:t xml:space="preserve"> Schedule 1 clause 1(1);</w:t>
      </w:r>
    </w:p>
    <w:p>
      <w:pPr>
        <w:pStyle w:val="Defstart"/>
      </w:pPr>
      <w:r>
        <w:tab/>
      </w:r>
      <w:r>
        <w:rPr>
          <w:rStyle w:val="CharDefText"/>
        </w:rPr>
        <w:t>cruise ship</w:t>
      </w:r>
      <w:r>
        <w:t xml:space="preserve"> means any vessel that — </w:t>
      </w:r>
    </w:p>
    <w:p>
      <w:pPr>
        <w:pStyle w:val="Defpara"/>
      </w:pPr>
      <w:r>
        <w:tab/>
        <w:t>(a)</w:t>
      </w:r>
      <w:r>
        <w:tab/>
        <w:t>has a minimum capacity of 100 passengers; and</w:t>
      </w:r>
    </w:p>
    <w:p>
      <w:pPr>
        <w:pStyle w:val="Defpara"/>
      </w:pPr>
      <w:r>
        <w:tab/>
        <w:t>(b)</w:t>
      </w:r>
      <w:r>
        <w:tab/>
        <w:t>is conducting a scheduled deep water cruise; and</w:t>
      </w:r>
    </w:p>
    <w:p>
      <w:pPr>
        <w:pStyle w:val="Defpara"/>
      </w:pPr>
      <w:r>
        <w:tab/>
        <w:t>(c)</w:t>
      </w:r>
      <w:r>
        <w:tab/>
        <w:t>is transiting through Western Australian ports from and to locations overseas or interstate.</w:t>
      </w:r>
    </w:p>
    <w:p>
      <w:pPr>
        <w:pStyle w:val="Subsection"/>
      </w:pPr>
      <w:r>
        <w:tab/>
        <w:t>(2)</w:t>
      </w:r>
      <w:r>
        <w:tab/>
        <w:t>For the purposes of section 46(2A), gaming on a cruise ship outside a distance of 12 nautical miles from the Western Australian baseline is prescribed.</w:t>
      </w:r>
    </w:p>
    <w:p>
      <w:pPr>
        <w:pStyle w:val="Footnotesection"/>
      </w:pPr>
      <w:r>
        <w:tab/>
        <w:t>[Regulation 8A inserted in Gazette 12 Aug 2011 p. 3249.]</w:t>
      </w:r>
    </w:p>
    <w:p>
      <w:pPr>
        <w:pStyle w:val="Heading5"/>
        <w:rPr>
          <w:snapToGrid w:val="0"/>
        </w:rPr>
      </w:pPr>
      <w:bookmarkStart w:id="68" w:name="_Toc407629159"/>
      <w:bookmarkStart w:id="69" w:name="_Toc460853125"/>
      <w:r>
        <w:rPr>
          <w:rStyle w:val="CharSectno"/>
        </w:rPr>
        <w:t>8</w:t>
      </w:r>
      <w:r>
        <w:rPr>
          <w:snapToGrid w:val="0"/>
        </w:rPr>
        <w:t>.</w:t>
      </w:r>
      <w:r>
        <w:rPr>
          <w:snapToGrid w:val="0"/>
        </w:rPr>
        <w:tab/>
        <w:t>Gaming permits, form and conditions of (Act s. 47(1)(a) or (b))</w:t>
      </w:r>
      <w:bookmarkEnd w:id="68"/>
      <w:bookmarkEnd w:id="69"/>
    </w:p>
    <w:p>
      <w:pPr>
        <w:pStyle w:val="Subsection"/>
        <w:spacing w:before="180"/>
        <w:rPr>
          <w:snapToGrid w:val="0"/>
        </w:rPr>
      </w:pPr>
      <w:r>
        <w:rPr>
          <w:snapToGrid w:val="0"/>
        </w:rPr>
        <w:tab/>
        <w:t>(1)</w:t>
      </w:r>
      <w:r>
        <w:rPr>
          <w:snapToGrid w:val="0"/>
        </w:rPr>
        <w:tab/>
        <w:t>A permit issued under section 47(1)(a) or (b) shall be in accordance with Form 3.</w:t>
      </w:r>
    </w:p>
    <w:p>
      <w:pPr>
        <w:pStyle w:val="Subsection"/>
        <w:spacing w:before="18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8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spacing w:before="180"/>
        <w:rPr>
          <w:snapToGrid w:val="0"/>
        </w:rPr>
      </w:pPr>
      <w:r>
        <w:rPr>
          <w:snapToGrid w:val="0"/>
        </w:rPr>
        <w:tab/>
      </w:r>
      <w:r>
        <w:rPr>
          <w:snapToGrid w:val="0"/>
        </w:rPr>
        <w:tab/>
        <w:t>in relation to gaming of that kind.</w:t>
      </w:r>
    </w:p>
    <w:p>
      <w:pPr>
        <w:pStyle w:val="Heading5"/>
        <w:rPr>
          <w:snapToGrid w:val="0"/>
        </w:rPr>
      </w:pPr>
      <w:bookmarkStart w:id="70" w:name="_Toc407629160"/>
      <w:bookmarkStart w:id="71" w:name="_Toc460853126"/>
      <w:r>
        <w:rPr>
          <w:rStyle w:val="CharSectno"/>
        </w:rPr>
        <w:t>9</w:t>
      </w:r>
      <w:r>
        <w:rPr>
          <w:snapToGrid w:val="0"/>
        </w:rPr>
        <w:t>.</w:t>
      </w:r>
      <w:r>
        <w:rPr>
          <w:snapToGrid w:val="0"/>
        </w:rPr>
        <w:tab/>
        <w:t>Gaming permits, application for</w:t>
      </w:r>
      <w:bookmarkEnd w:id="70"/>
      <w:bookmarkEnd w:id="71"/>
    </w:p>
    <w:p>
      <w:pPr>
        <w:pStyle w:val="Subsection"/>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spacing w:before="100"/>
        <w:rPr>
          <w:snapToGrid w:val="0"/>
        </w:rPr>
      </w:pPr>
      <w:r>
        <w:rPr>
          <w:snapToGrid w:val="0"/>
        </w:rPr>
        <w:tab/>
        <w:t>(a)</w:t>
      </w:r>
      <w:r>
        <w:rPr>
          <w:snapToGrid w:val="0"/>
        </w:rPr>
        <w:tab/>
        <w:t>details of relevant experience in the conduct of gaming;</w:t>
      </w:r>
    </w:p>
    <w:p>
      <w:pPr>
        <w:pStyle w:val="Indenta"/>
        <w:spacing w:before="100"/>
        <w:rPr>
          <w:snapToGrid w:val="0"/>
        </w:rPr>
      </w:pPr>
      <w:r>
        <w:rPr>
          <w:snapToGrid w:val="0"/>
        </w:rPr>
        <w:tab/>
        <w:t>(b)</w:t>
      </w:r>
      <w:r>
        <w:rPr>
          <w:snapToGrid w:val="0"/>
        </w:rPr>
        <w:tab/>
        <w:t>details of any gaming equipment or other apparatus that may be proposed to be used, and from what source it is to be obtained;</w:t>
      </w:r>
    </w:p>
    <w:p>
      <w:pPr>
        <w:pStyle w:val="Indenta"/>
        <w:spacing w:before="100"/>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spacing w:before="100"/>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spacing w:before="100"/>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spacing w:before="100"/>
        <w:rPr>
          <w:snapToGrid w:val="0"/>
        </w:rPr>
      </w:pPr>
      <w:r>
        <w:rPr>
          <w:snapToGrid w:val="0"/>
        </w:rPr>
        <w:tab/>
        <w:t>(f)</w:t>
      </w:r>
      <w:r>
        <w:rPr>
          <w:snapToGrid w:val="0"/>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2</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 and</w:t>
      </w:r>
    </w:p>
    <w:p>
      <w:pPr>
        <w:pStyle w:val="Indenta"/>
        <w:rPr>
          <w:snapToGrid w:val="0"/>
        </w:rPr>
      </w:pPr>
      <w:r>
        <w:rPr>
          <w:snapToGrid w:val="0"/>
        </w:rPr>
        <w:tab/>
        <w:t>(b)</w:t>
      </w:r>
      <w:r>
        <w:rPr>
          <w:snapToGrid w:val="0"/>
        </w:rPr>
        <w:tab/>
        <w:t>the address of the premises where the gaming (not being a lottery) is to be conducted; and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 and</w:t>
      </w:r>
    </w:p>
    <w:p>
      <w:pPr>
        <w:pStyle w:val="Indenta"/>
        <w:rPr>
          <w:snapToGrid w:val="0"/>
        </w:rPr>
      </w:pPr>
      <w:r>
        <w:rPr>
          <w:snapToGrid w:val="0"/>
        </w:rPr>
        <w:tab/>
        <w:t>(d)</w:t>
      </w:r>
      <w:r>
        <w:rPr>
          <w:snapToGrid w:val="0"/>
        </w:rPr>
        <w:tab/>
        <w:t>the type of permit required, the nature of the gaming to be conducted, and the nature and value of any prizes to be offered; and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 and</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14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140"/>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spacing w:before="100"/>
      </w:pPr>
      <w:r>
        <w:tab/>
        <w:t>[Regulation 9 amended in Gazette 30 Jan 2004 p. 415; 18 May 2004 p. 1572.]</w:t>
      </w:r>
    </w:p>
    <w:p>
      <w:pPr>
        <w:pStyle w:val="Heading5"/>
        <w:rPr>
          <w:snapToGrid w:val="0"/>
        </w:rPr>
      </w:pPr>
      <w:bookmarkStart w:id="72" w:name="_Toc407629161"/>
      <w:bookmarkStart w:id="73" w:name="_Toc460853127"/>
      <w:r>
        <w:rPr>
          <w:rStyle w:val="CharSectno"/>
        </w:rPr>
        <w:t>10</w:t>
      </w:r>
      <w:r>
        <w:rPr>
          <w:snapToGrid w:val="0"/>
        </w:rPr>
        <w:t>.</w:t>
      </w:r>
      <w:r>
        <w:rPr>
          <w:snapToGrid w:val="0"/>
        </w:rPr>
        <w:tab/>
        <w:t>Approval to use premises, application for (Act s. 55)</w:t>
      </w:r>
      <w:bookmarkEnd w:id="72"/>
      <w:bookmarkEnd w:id="73"/>
    </w:p>
    <w:p>
      <w:pPr>
        <w:pStyle w:val="Subsection"/>
        <w:spacing w:before="14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spacing w:before="60"/>
        <w:rPr>
          <w:snapToGrid w:val="0"/>
        </w:rPr>
      </w:pPr>
      <w:r>
        <w:rPr>
          <w:snapToGrid w:val="0"/>
        </w:rPr>
        <w:tab/>
        <w:t>(a)</w:t>
      </w:r>
      <w:r>
        <w:rPr>
          <w:snapToGrid w:val="0"/>
        </w:rPr>
        <w:tab/>
        <w:t>disclose the nature and extent of the interest in the premises held by the applicant; and</w:t>
      </w:r>
    </w:p>
    <w:p>
      <w:pPr>
        <w:pStyle w:val="Indenta"/>
        <w:spacing w:before="60"/>
        <w:rPr>
          <w:snapToGrid w:val="0"/>
        </w:rPr>
      </w:pPr>
      <w:r>
        <w:rPr>
          <w:snapToGrid w:val="0"/>
        </w:rPr>
        <w:tab/>
        <w:t>(b)</w:t>
      </w:r>
      <w:r>
        <w:rPr>
          <w:snapToGrid w:val="0"/>
        </w:rPr>
        <w:tab/>
        <w:t>describe, and give details of the title to, the premises; and</w:t>
      </w:r>
    </w:p>
    <w:p>
      <w:pPr>
        <w:pStyle w:val="Indenta"/>
        <w:spacing w:before="60"/>
        <w:rPr>
          <w:snapToGrid w:val="0"/>
        </w:rPr>
      </w:pPr>
      <w:r>
        <w:rPr>
          <w:snapToGrid w:val="0"/>
        </w:rPr>
        <w:tab/>
        <w:t>(c)</w:t>
      </w:r>
      <w:r>
        <w:rPr>
          <w:snapToGrid w:val="0"/>
        </w:rPr>
        <w:tab/>
        <w:t>furnish evidence satisfactory to the Commission of the consent of the owner, and any relevant occupier, of the premises to the proposed use; and</w:t>
      </w:r>
    </w:p>
    <w:p>
      <w:pPr>
        <w:pStyle w:val="Indenta"/>
        <w:spacing w:before="60"/>
        <w:rPr>
          <w:snapToGrid w:val="0"/>
        </w:rPr>
      </w:pPr>
      <w:r>
        <w:rPr>
          <w:snapToGrid w:val="0"/>
        </w:rPr>
        <w:tab/>
        <w:t>(d)</w:t>
      </w:r>
      <w:r>
        <w:rPr>
          <w:snapToGrid w:val="0"/>
        </w:rPr>
        <w:tab/>
        <w:t>state the periods, or the nature of the functions or occasions, for which the approval is sought; and</w:t>
      </w:r>
    </w:p>
    <w:p>
      <w:pPr>
        <w:pStyle w:val="Indenta"/>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rPr>
          <w:snapToGrid w:val="0"/>
        </w:rPr>
      </w:pPr>
      <w:r>
        <w:rPr>
          <w:snapToGrid w:val="0"/>
        </w:rPr>
        <w:tab/>
        <w:t>(2)</w:t>
      </w:r>
      <w:r>
        <w:rPr>
          <w:snapToGrid w:val="0"/>
        </w:rPr>
        <w:tab/>
        <w:t>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 in Gazette 30 Jan 2004 p. 415.]</w:t>
      </w:r>
    </w:p>
    <w:p>
      <w:pPr>
        <w:pStyle w:val="Heading5"/>
        <w:rPr>
          <w:snapToGrid w:val="0"/>
        </w:rPr>
      </w:pPr>
      <w:bookmarkStart w:id="74" w:name="_Toc407629162"/>
      <w:bookmarkStart w:id="75" w:name="_Toc460853128"/>
      <w:r>
        <w:rPr>
          <w:rStyle w:val="CharSectno"/>
        </w:rPr>
        <w:t>11</w:t>
      </w:r>
      <w:r>
        <w:rPr>
          <w:snapToGrid w:val="0"/>
        </w:rPr>
        <w:t>.</w:t>
      </w:r>
      <w:r>
        <w:rPr>
          <w:snapToGrid w:val="0"/>
        </w:rPr>
        <w:tab/>
        <w:t>Renewals etc., applications for (Act s. 56)</w:t>
      </w:r>
      <w:bookmarkEnd w:id="74"/>
      <w:bookmarkEnd w:id="75"/>
    </w:p>
    <w:p>
      <w:pPr>
        <w:pStyle w:val="Subsection"/>
        <w:keepNext/>
        <w:keepLines/>
        <w:rPr>
          <w:snapToGrid w:val="0"/>
        </w:rPr>
      </w:pPr>
      <w:r>
        <w:rPr>
          <w:snapToGrid w:val="0"/>
        </w:rPr>
        <w:tab/>
        <w:t>(1)</w:t>
      </w:r>
      <w:r>
        <w:rPr>
          <w:snapToGrid w:val="0"/>
        </w:rPr>
        <w:tab/>
        <w:t>An application under section 56 for the renewal or re</w:t>
      </w:r>
      <w:r>
        <w:rPr>
          <w:snapToGrid w:val="0"/>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76" w:name="_Toc407629163"/>
      <w:bookmarkStart w:id="77" w:name="_Toc460853129"/>
      <w:r>
        <w:rPr>
          <w:rStyle w:val="CharSectno"/>
        </w:rPr>
        <w:t>12</w:t>
      </w:r>
      <w:r>
        <w:rPr>
          <w:snapToGrid w:val="0"/>
        </w:rPr>
        <w:t>.</w:t>
      </w:r>
      <w:r>
        <w:rPr>
          <w:snapToGrid w:val="0"/>
        </w:rPr>
        <w:tab/>
        <w:t>Financial statements, permit holders to provide etc.</w:t>
      </w:r>
      <w:bookmarkEnd w:id="76"/>
      <w:bookmarkEnd w:id="77"/>
    </w:p>
    <w:p>
      <w:pPr>
        <w:pStyle w:val="Subsection"/>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 or</w:t>
      </w:r>
    </w:p>
    <w:p>
      <w:pPr>
        <w:pStyle w:val="Indenta"/>
        <w:rPr>
          <w:snapToGrid w:val="0"/>
        </w:rPr>
      </w:pPr>
      <w:r>
        <w:rPr>
          <w:snapToGrid w:val="0"/>
        </w:rPr>
        <w:tab/>
        <w:t>(b)</w:t>
      </w:r>
      <w:r>
        <w:rPr>
          <w:snapToGrid w:val="0"/>
        </w:rPr>
        <w:tab/>
        <w:t>permitted bingo, unless section 95(2)(a) applies; or</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rPr>
          <w:snapToGrid w:val="0"/>
        </w:rPr>
      </w:pPr>
      <w:r>
        <w:rPr>
          <w:snapToGrid w:val="0"/>
        </w:rPr>
        <w:tab/>
        <w:t>(a)</w:t>
      </w:r>
      <w:r>
        <w:rPr>
          <w:snapToGrid w:val="0"/>
        </w:rPr>
        <w:tab/>
        <w:t>if the permit authorises a permitted lottery to which subregulation (1)(c) applies —</w:t>
      </w:r>
    </w:p>
    <w:p>
      <w:pPr>
        <w:pStyle w:val="Indenti"/>
        <w:rPr>
          <w:snapToGrid w:val="0"/>
        </w:rPr>
      </w:pPr>
      <w:r>
        <w:rPr>
          <w:snapToGrid w:val="0"/>
        </w:rPr>
        <w:tab/>
        <w:t>(i)</w:t>
      </w:r>
      <w:r>
        <w:rPr>
          <w:snapToGrid w:val="0"/>
        </w:rPr>
        <w:tab/>
        <w:t>that is a standard lottery, within 14 days after the drawing of the lottery is completed; or</w:t>
      </w:r>
    </w:p>
    <w:p>
      <w:pPr>
        <w:pStyle w:val="Indenti"/>
        <w:rPr>
          <w:snapToGrid w:val="0"/>
        </w:rPr>
      </w:pPr>
      <w:r>
        <w:rPr>
          <w:snapToGrid w:val="0"/>
        </w:rPr>
        <w:tab/>
        <w:t>(ii)</w:t>
      </w:r>
      <w:r>
        <w:rPr>
          <w:snapToGrid w:val="0"/>
        </w:rPr>
        <w:tab/>
        <w:t>that is a continuing lottery, within 14 days after the date of the expiry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authorises any other kind of gaming, within 7 days after the date of the expiry of the permit.</w:t>
      </w:r>
    </w:p>
    <w:p>
      <w:pPr>
        <w:pStyle w:val="Footnotesection"/>
      </w:pPr>
      <w:r>
        <w:tab/>
        <w:t>[Regulation 12 amended in Gazette 28 Jun 1996 p. 3099; 16 May 1997 p. 2393.]</w:t>
      </w:r>
    </w:p>
    <w:p>
      <w:pPr>
        <w:pStyle w:val="Heading5"/>
        <w:rPr>
          <w:snapToGrid w:val="0"/>
        </w:rPr>
      </w:pPr>
      <w:bookmarkStart w:id="78" w:name="_Toc407629164"/>
      <w:bookmarkStart w:id="79" w:name="_Toc460853130"/>
      <w:r>
        <w:rPr>
          <w:rStyle w:val="CharSectno"/>
        </w:rPr>
        <w:t>13</w:t>
      </w:r>
      <w:r>
        <w:rPr>
          <w:snapToGrid w:val="0"/>
        </w:rPr>
        <w:t>.</w:t>
      </w:r>
      <w:r>
        <w:rPr>
          <w:snapToGrid w:val="0"/>
        </w:rPr>
        <w:tab/>
        <w:t>No permit required if gaming etc. deemed permitted</w:t>
      </w:r>
      <w:bookmarkEnd w:id="78"/>
      <w:bookmarkEnd w:id="79"/>
    </w:p>
    <w:p>
      <w:pPr>
        <w:pStyle w:val="Subsection"/>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80" w:name="_Toc407629165"/>
      <w:bookmarkStart w:id="81" w:name="_Toc460853131"/>
      <w:r>
        <w:rPr>
          <w:rStyle w:val="CharSectno"/>
        </w:rPr>
        <w:t>13A</w:t>
      </w:r>
      <w:r>
        <w:t>.</w:t>
      </w:r>
      <w:r>
        <w:tab/>
        <w:t>Conviction of license holder etc., holders to notify Commission</w:t>
      </w:r>
      <w:bookmarkEnd w:id="80"/>
      <w:bookmarkEnd w:id="81"/>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spacing w:before="200"/>
      </w:pPr>
      <w:bookmarkStart w:id="82" w:name="_Toc403656839"/>
      <w:bookmarkStart w:id="83" w:name="_Toc403720585"/>
      <w:bookmarkStart w:id="84" w:name="_Toc407629166"/>
      <w:bookmarkStart w:id="85" w:name="_Toc418677836"/>
      <w:bookmarkStart w:id="86" w:name="_Toc418677945"/>
      <w:bookmarkStart w:id="87" w:name="_Toc436646271"/>
      <w:bookmarkStart w:id="88" w:name="_Toc438113706"/>
      <w:bookmarkStart w:id="89" w:name="_Toc439166249"/>
      <w:bookmarkStart w:id="90" w:name="_Toc460853132"/>
      <w:r>
        <w:rPr>
          <w:rStyle w:val="CharDivNo"/>
        </w:rPr>
        <w:t>Division 2</w:t>
      </w:r>
      <w:r>
        <w:t> — </w:t>
      </w:r>
      <w:r>
        <w:rPr>
          <w:rStyle w:val="CharDivText"/>
        </w:rPr>
        <w:t>Continuing lotteries</w:t>
      </w:r>
      <w:bookmarkEnd w:id="82"/>
      <w:bookmarkEnd w:id="83"/>
      <w:bookmarkEnd w:id="84"/>
      <w:bookmarkEnd w:id="85"/>
      <w:bookmarkEnd w:id="86"/>
      <w:bookmarkEnd w:id="87"/>
      <w:bookmarkEnd w:id="88"/>
      <w:bookmarkEnd w:id="89"/>
      <w:bookmarkEnd w:id="90"/>
    </w:p>
    <w:p>
      <w:pPr>
        <w:pStyle w:val="Footnoteheading"/>
      </w:pPr>
      <w:r>
        <w:tab/>
        <w:t>[Heading inserted in Gazette 23 Jun 2000 p. 3206]</w:t>
      </w:r>
    </w:p>
    <w:p>
      <w:pPr>
        <w:pStyle w:val="Heading5"/>
        <w:keepLines w:val="0"/>
        <w:spacing w:before="240"/>
      </w:pPr>
      <w:bookmarkStart w:id="91" w:name="_Toc407629167"/>
      <w:bookmarkStart w:id="92" w:name="_Toc460853133"/>
      <w:r>
        <w:rPr>
          <w:rStyle w:val="CharSectno"/>
        </w:rPr>
        <w:t>14</w:t>
      </w:r>
      <w:r>
        <w:t>.</w:t>
      </w:r>
      <w:r>
        <w:tab/>
        <w:t>Maximum number of tickets prescribed (Act s. 104L(1))</w:t>
      </w:r>
      <w:bookmarkEnd w:id="91"/>
      <w:bookmarkEnd w:id="92"/>
    </w:p>
    <w:p>
      <w:pPr>
        <w:pStyle w:val="Subsection"/>
        <w:spacing w:before="180"/>
      </w:pPr>
      <w:r>
        <w:tab/>
      </w:r>
      <w:r>
        <w:tab/>
        <w:t>For the purposes of section 104L(1) of the Act the maximum number of tickets that may be in one batch shall be 5 000.</w:t>
      </w:r>
    </w:p>
    <w:p>
      <w:pPr>
        <w:pStyle w:val="Footnotesection"/>
      </w:pPr>
      <w:r>
        <w:tab/>
        <w:t>[Regulation 14 inserted in Gazette 23 Jun 2000 p. 3206.]</w:t>
      </w:r>
    </w:p>
    <w:p>
      <w:pPr>
        <w:pStyle w:val="Heading5"/>
        <w:spacing w:before="240"/>
      </w:pPr>
      <w:bookmarkStart w:id="93" w:name="_Toc407629168"/>
      <w:bookmarkStart w:id="94" w:name="_Toc460853134"/>
      <w:r>
        <w:rPr>
          <w:rStyle w:val="CharSectno"/>
        </w:rPr>
        <w:t>15</w:t>
      </w:r>
      <w:r>
        <w:t>.</w:t>
      </w:r>
      <w:r>
        <w:tab/>
        <w:t>Records to be kept by licensed suppliers for Act Part V Div. 7</w:t>
      </w:r>
      <w:bookmarkEnd w:id="93"/>
      <w:bookmarkEnd w:id="94"/>
    </w:p>
    <w:p>
      <w:pPr>
        <w:pStyle w:val="Subsection"/>
        <w:spacing w:before="180"/>
      </w:pPr>
      <w:r>
        <w:tab/>
        <w:t>(1)</w:t>
      </w:r>
      <w:r>
        <w:tab/>
        <w:t>A person who is a licensed supplier under Part V, Division 7 of the Act shall maintain —</w:t>
      </w:r>
    </w:p>
    <w:p>
      <w:pPr>
        <w:pStyle w:val="Indenta"/>
      </w:pPr>
      <w:r>
        <w:tab/>
        <w:t>(a)</w:t>
      </w:r>
      <w:r>
        <w:tab/>
        <w:t>a record in which there shall be recorded in respect of all tickets obtained by the licensed supplier —</w:t>
      </w:r>
    </w:p>
    <w:p>
      <w:pPr>
        <w:pStyle w:val="Indenti"/>
      </w:pPr>
      <w:r>
        <w:tab/>
        <w:t>(i)</w:t>
      </w:r>
      <w:r>
        <w:tab/>
        <w:t>the name of the person from whom the tickets were obtained; and</w:t>
      </w:r>
    </w:p>
    <w:p>
      <w:pPr>
        <w:pStyle w:val="Indenti"/>
      </w:pPr>
      <w:r>
        <w:tab/>
        <w:t>(ii)</w:t>
      </w:r>
      <w:r>
        <w:tab/>
        <w:t>the day on which the tickets were obtained; and</w:t>
      </w:r>
    </w:p>
    <w:p>
      <w:pPr>
        <w:pStyle w:val="Indenti"/>
      </w:pPr>
      <w:r>
        <w:tab/>
        <w:t>(iii)</w:t>
      </w:r>
      <w:r>
        <w:tab/>
        <w:t>the number of batches obtained; and</w:t>
      </w:r>
    </w:p>
    <w:p>
      <w:pPr>
        <w:pStyle w:val="Indenti"/>
      </w:pPr>
      <w:r>
        <w:tab/>
        <w:t>(iv)</w:t>
      </w:r>
      <w:r>
        <w:tab/>
        <w:t>the number of tickets in each batch; and</w:t>
      </w:r>
    </w:p>
    <w:p>
      <w:pPr>
        <w:pStyle w:val="Indenti"/>
      </w:pPr>
      <w:r>
        <w:tab/>
        <w:t>(v)</w:t>
      </w:r>
      <w:r>
        <w:tab/>
        <w:t>the face value of the tickets in each batch; and</w:t>
      </w:r>
    </w:p>
    <w:p>
      <w:pPr>
        <w:pStyle w:val="Indenti"/>
      </w:pPr>
      <w:r>
        <w:tab/>
        <w:t>(vi)</w:t>
      </w:r>
      <w:r>
        <w:tab/>
        <w:t>the series number of the tickets in each batch;</w:t>
      </w:r>
    </w:p>
    <w:p>
      <w:pPr>
        <w:pStyle w:val="Indenta"/>
      </w:pPr>
      <w:r>
        <w:tab/>
      </w:r>
      <w:r>
        <w:tab/>
        <w:t>and</w:t>
      </w:r>
    </w:p>
    <w:p>
      <w:pPr>
        <w:pStyle w:val="Indenta"/>
      </w:pPr>
      <w:r>
        <w:tab/>
        <w:t>(b)</w:t>
      </w:r>
      <w:r>
        <w:tab/>
        <w:t>a record in which there shall be recorded in respect of all tickets supplied by the licensed supplier —</w:t>
      </w:r>
    </w:p>
    <w:p>
      <w:pPr>
        <w:pStyle w:val="Indenti"/>
      </w:pPr>
      <w:r>
        <w:tab/>
        <w:t>(i)</w:t>
      </w:r>
      <w:r>
        <w:tab/>
        <w:t>the name of the person to whom the tickets were supplied; and</w:t>
      </w:r>
    </w:p>
    <w:p>
      <w:pPr>
        <w:pStyle w:val="Indenti"/>
      </w:pPr>
      <w:r>
        <w:tab/>
        <w:t>(ii)</w:t>
      </w:r>
      <w:r>
        <w:tab/>
        <w:t>the day on which the tickets were supplied; and</w:t>
      </w:r>
    </w:p>
    <w:p>
      <w:pPr>
        <w:pStyle w:val="Indenti"/>
      </w:pPr>
      <w:r>
        <w:tab/>
        <w:t>(iii)</w:t>
      </w:r>
      <w:r>
        <w:tab/>
        <w:t>the number of batches supplied; and</w:t>
      </w:r>
    </w:p>
    <w:p>
      <w:pPr>
        <w:pStyle w:val="Indenti"/>
      </w:pPr>
      <w:r>
        <w:tab/>
        <w:t>(iv)</w:t>
      </w:r>
      <w:r>
        <w:tab/>
        <w:t>the number of tickets in each batch; and</w:t>
      </w:r>
    </w:p>
    <w:p>
      <w:pPr>
        <w:pStyle w:val="Indenti"/>
        <w:keepNext/>
      </w:pPr>
      <w:r>
        <w:tab/>
        <w:t>(v)</w:t>
      </w:r>
      <w:r>
        <w:tab/>
        <w:t>the face value of the tickets in each batch; and</w:t>
      </w:r>
    </w:p>
    <w:p>
      <w:pPr>
        <w:pStyle w:val="Indenti"/>
      </w:pPr>
      <w:r>
        <w:tab/>
        <w:t>(vi)</w:t>
      </w:r>
      <w:r>
        <w:tab/>
        <w:t>the series number of the tickets in each batch.</w:t>
      </w:r>
    </w:p>
    <w:p>
      <w:pPr>
        <w:pStyle w:val="Subsection"/>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keepNext/>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pPr>
      <w:bookmarkStart w:id="95" w:name="_Toc403656842"/>
      <w:bookmarkStart w:id="96" w:name="_Toc403720588"/>
      <w:bookmarkStart w:id="97" w:name="_Toc407629169"/>
      <w:bookmarkStart w:id="98" w:name="_Toc418677839"/>
      <w:bookmarkStart w:id="99" w:name="_Toc418677948"/>
      <w:bookmarkStart w:id="100" w:name="_Toc436646274"/>
      <w:bookmarkStart w:id="101" w:name="_Toc438113709"/>
      <w:bookmarkStart w:id="102" w:name="_Toc439166252"/>
      <w:bookmarkStart w:id="103" w:name="_Toc460853135"/>
      <w:r>
        <w:rPr>
          <w:rStyle w:val="CharDivNo"/>
        </w:rPr>
        <w:t>Division 3</w:t>
      </w:r>
      <w:r>
        <w:rPr>
          <w:snapToGrid w:val="0"/>
        </w:rPr>
        <w:t> — </w:t>
      </w:r>
      <w:r>
        <w:rPr>
          <w:rStyle w:val="CharDivText"/>
        </w:rPr>
        <w:t>Permitted two</w:t>
      </w:r>
      <w:r>
        <w:rPr>
          <w:rStyle w:val="CharDivText"/>
        </w:rPr>
        <w:noBreakHyphen/>
        <w:t>up</w:t>
      </w:r>
      <w:bookmarkEnd w:id="95"/>
      <w:bookmarkEnd w:id="96"/>
      <w:bookmarkEnd w:id="97"/>
      <w:bookmarkEnd w:id="98"/>
      <w:bookmarkEnd w:id="99"/>
      <w:bookmarkEnd w:id="100"/>
      <w:bookmarkEnd w:id="101"/>
      <w:bookmarkEnd w:id="102"/>
      <w:bookmarkEnd w:id="103"/>
    </w:p>
    <w:p>
      <w:pPr>
        <w:pStyle w:val="Heading5"/>
        <w:spacing w:before="240"/>
        <w:rPr>
          <w:snapToGrid w:val="0"/>
        </w:rPr>
      </w:pPr>
      <w:bookmarkStart w:id="104" w:name="_Toc407629170"/>
      <w:bookmarkStart w:id="105" w:name="_Toc460853136"/>
      <w:r>
        <w:rPr>
          <w:rStyle w:val="CharSectno"/>
        </w:rPr>
        <w:t>16</w:t>
      </w:r>
      <w:r>
        <w:rPr>
          <w:snapToGrid w:val="0"/>
        </w:rPr>
        <w:t>.</w:t>
      </w:r>
      <w:r>
        <w:rPr>
          <w:snapToGrid w:val="0"/>
        </w:rPr>
        <w:tab/>
        <w:t>Financial information to be provided about games</w:t>
      </w:r>
      <w:bookmarkEnd w:id="104"/>
      <w:bookmarkEnd w:id="105"/>
    </w:p>
    <w:p>
      <w:pPr>
        <w:pStyle w:val="Subsection"/>
        <w:spacing w:before="180"/>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80"/>
        <w:rPr>
          <w:snapToGrid w:val="0"/>
        </w:rPr>
      </w:pPr>
      <w:r>
        <w:rPr>
          <w:snapToGrid w:val="0"/>
        </w:rPr>
        <w:tab/>
      </w:r>
      <w:r>
        <w:rPr>
          <w:snapToGrid w:val="0"/>
        </w:rPr>
        <w:tab/>
        <w:t>and give to that committee such further information as to the conduct of the game and the moneys involved as is requested.</w:t>
      </w:r>
    </w:p>
    <w:p>
      <w:pPr>
        <w:pStyle w:val="Subsection"/>
        <w:spacing w:before="180"/>
        <w:rPr>
          <w:snapToGrid w:val="0"/>
        </w:rPr>
      </w:pPr>
      <w:r>
        <w:rPr>
          <w:snapToGrid w:val="0"/>
        </w:rPr>
        <w:tab/>
        <w:t>(2)</w:t>
      </w:r>
      <w:r>
        <w:rPr>
          <w:snapToGrid w:val="0"/>
        </w:rPr>
        <w:tab/>
        <w:t>Within 14 days of conduct of a game to which section 80 applies, the committee of the club on behalf of which the permit relating to that game was issued</w:t>
      </w:r>
      <w:r>
        <w:t xml:space="preserve"> must give to the Commission a financial statement —</w:t>
      </w:r>
    </w:p>
    <w:p>
      <w:pPr>
        <w:pStyle w:val="Indenta"/>
      </w:pPr>
      <w:r>
        <w:tab/>
        <w:t>(a)</w:t>
      </w:r>
      <w:r>
        <w:tab/>
        <w:t>in the form, or substantially in the form, that is annexed to the permit; and</w:t>
      </w:r>
    </w:p>
    <w:p>
      <w:pPr>
        <w:pStyle w:val="Indenta"/>
      </w:pPr>
      <w:r>
        <w:tab/>
        <w:t>(b)</w:t>
      </w:r>
      <w:r>
        <w:tab/>
        <w:t>in accordance with any directions of the Commission which relate to that form.</w:t>
      </w:r>
    </w:p>
    <w:p>
      <w:pPr>
        <w:pStyle w:val="Subsection"/>
        <w:spacing w:before="180"/>
        <w:rPr>
          <w:snapToGrid w:val="0"/>
        </w:rPr>
      </w:pPr>
      <w:r>
        <w:rPr>
          <w:snapToGrid w:val="0"/>
        </w:rPr>
        <w:tab/>
        <w:t>(2a)</w:t>
      </w:r>
      <w:r>
        <w:rPr>
          <w:snapToGrid w:val="0"/>
        </w:rPr>
        <w:tab/>
        <w:t xml:space="preserve">Where a person to whom subregulation (1) applies fails to give the committee the information required to enable the committee to comply with subregulation (2), the committee </w:t>
      </w:r>
      <w:r>
        <w:t>must give</w:t>
      </w:r>
      <w:r>
        <w:rPr>
          <w:snapToGrid w:val="0"/>
        </w:rPr>
        <w:t xml:space="preserve"> to the Commission a statement setting out such relevant information as is available and informing the Commission of the steps taken by the committee to secure compliance with subregulation (1).</w:t>
      </w:r>
    </w:p>
    <w:p>
      <w:pPr>
        <w:pStyle w:val="Subsection"/>
        <w:spacing w:before="180"/>
        <w:rPr>
          <w:snapToGrid w:val="0"/>
        </w:rPr>
      </w:pPr>
      <w:r>
        <w:rPr>
          <w:snapToGrid w:val="0"/>
        </w:rPr>
        <w:tab/>
        <w:t>(3)</w:t>
      </w:r>
      <w:r>
        <w:rPr>
          <w:snapToGrid w:val="0"/>
        </w:rPr>
        <w:tab/>
        <w:t>A person to whom subregulation (1) applies or a committee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as that officer or member of the Police Force may by notice in writing require.</w:t>
      </w:r>
    </w:p>
    <w:p>
      <w:pPr>
        <w:pStyle w:val="Footnotesection"/>
      </w:pPr>
      <w:r>
        <w:tab/>
        <w:t>[Regulation 16 amended in Gazette 28 Jun 1996 p. 3099; 16 May 1997 p. 2393; 1 Dec 2015 p. 4824.]</w:t>
      </w:r>
    </w:p>
    <w:p>
      <w:pPr>
        <w:pStyle w:val="Heading5"/>
        <w:rPr>
          <w:snapToGrid w:val="0"/>
        </w:rPr>
      </w:pPr>
      <w:bookmarkStart w:id="106" w:name="_Toc407629171"/>
      <w:bookmarkStart w:id="107" w:name="_Toc460853137"/>
      <w:r>
        <w:rPr>
          <w:rStyle w:val="CharSectno"/>
        </w:rPr>
        <w:t>17</w:t>
      </w:r>
      <w:r>
        <w:rPr>
          <w:snapToGrid w:val="0"/>
        </w:rPr>
        <w:t>.</w:t>
      </w:r>
      <w:r>
        <w:rPr>
          <w:snapToGrid w:val="0"/>
        </w:rPr>
        <w:tab/>
        <w:t>Suspending permit for game</w:t>
      </w:r>
      <w:bookmarkEnd w:id="106"/>
      <w:bookmarkEnd w:id="107"/>
    </w:p>
    <w:p>
      <w:pPr>
        <w:pStyle w:val="Subsection"/>
        <w:rPr>
          <w:snapToGrid w:val="0"/>
        </w:rPr>
      </w:pPr>
      <w:r>
        <w:rPr>
          <w:snapToGrid w:val="0"/>
        </w:rPr>
        <w:tab/>
      </w:r>
      <w:r>
        <w:rPr>
          <w:snapToGrid w:val="0"/>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rPr>
        <w:noBreakHyphen/>
        <w:t>up.</w:t>
      </w:r>
    </w:p>
    <w:p>
      <w:pPr>
        <w:pStyle w:val="Heading5"/>
      </w:pPr>
      <w:bookmarkStart w:id="108" w:name="_Toc407629172"/>
      <w:bookmarkStart w:id="109" w:name="_Toc460853138"/>
      <w:r>
        <w:rPr>
          <w:rStyle w:val="CharSectno"/>
        </w:rPr>
        <w:t>17A</w:t>
      </w:r>
      <w:r>
        <w:t>.</w:t>
      </w:r>
      <w:r>
        <w:tab/>
        <w:t>Prescribed gaming equipment (Act s. 84(1))</w:t>
      </w:r>
      <w:bookmarkEnd w:id="108"/>
      <w:bookmarkEnd w:id="109"/>
    </w:p>
    <w:p>
      <w:pPr>
        <w:pStyle w:val="Subsection"/>
      </w:pPr>
      <w:r>
        <w:tab/>
      </w:r>
      <w:r>
        <w:tab/>
        <w:t>The following equipment shall constitute prescribed gaming equipment for the purposes of section 84(1) of the Act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pPr>
      <w:r>
        <w:tab/>
        <w:t>[Regulation 17A inserted in Gazette 30 Jan 2004 p. 402.]</w:t>
      </w:r>
    </w:p>
    <w:p>
      <w:pPr>
        <w:pStyle w:val="Heading3"/>
        <w:keepLines/>
      </w:pPr>
      <w:bookmarkStart w:id="110" w:name="_Toc403656846"/>
      <w:bookmarkStart w:id="111" w:name="_Toc403720592"/>
      <w:bookmarkStart w:id="112" w:name="_Toc407629173"/>
      <w:bookmarkStart w:id="113" w:name="_Toc418677843"/>
      <w:bookmarkStart w:id="114" w:name="_Toc418677952"/>
      <w:bookmarkStart w:id="115" w:name="_Toc436646278"/>
      <w:bookmarkStart w:id="116" w:name="_Toc438113713"/>
      <w:bookmarkStart w:id="117" w:name="_Toc439166256"/>
      <w:bookmarkStart w:id="118" w:name="_Toc460853139"/>
      <w:r>
        <w:rPr>
          <w:rStyle w:val="CharDivNo"/>
        </w:rPr>
        <w:t>Division 4</w:t>
      </w:r>
      <w:r>
        <w:rPr>
          <w:snapToGrid w:val="0"/>
        </w:rPr>
        <w:t> — </w:t>
      </w:r>
      <w:r>
        <w:rPr>
          <w:rStyle w:val="CharDivText"/>
        </w:rPr>
        <w:t>Gaming machines and other equipment</w:t>
      </w:r>
      <w:bookmarkEnd w:id="110"/>
      <w:bookmarkEnd w:id="111"/>
      <w:bookmarkEnd w:id="112"/>
      <w:bookmarkEnd w:id="113"/>
      <w:bookmarkEnd w:id="114"/>
      <w:bookmarkEnd w:id="115"/>
      <w:bookmarkEnd w:id="116"/>
      <w:bookmarkEnd w:id="117"/>
      <w:bookmarkEnd w:id="118"/>
    </w:p>
    <w:p>
      <w:pPr>
        <w:pStyle w:val="Heading5"/>
        <w:rPr>
          <w:snapToGrid w:val="0"/>
        </w:rPr>
      </w:pPr>
      <w:bookmarkStart w:id="119" w:name="_Toc407629174"/>
      <w:bookmarkStart w:id="120" w:name="_Toc460853140"/>
      <w:r>
        <w:rPr>
          <w:rStyle w:val="CharSectno"/>
        </w:rPr>
        <w:t>18</w:t>
      </w:r>
      <w:r>
        <w:rPr>
          <w:snapToGrid w:val="0"/>
        </w:rPr>
        <w:t>.</w:t>
      </w:r>
      <w:r>
        <w:rPr>
          <w:snapToGrid w:val="0"/>
        </w:rPr>
        <w:tab/>
        <w:t>Records etc. to be kept etc. by persons renting equipment from others</w:t>
      </w:r>
      <w:bookmarkEnd w:id="119"/>
      <w:bookmarkEnd w:id="120"/>
    </w:p>
    <w:p>
      <w:pPr>
        <w:pStyle w:val="Subsection"/>
        <w:keepNext/>
        <w:keepLines/>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 and</w:t>
      </w:r>
    </w:p>
    <w:p>
      <w:pPr>
        <w:pStyle w:val="Indenti"/>
        <w:rPr>
          <w:snapToGrid w:val="0"/>
        </w:rPr>
      </w:pPr>
      <w:r>
        <w:rPr>
          <w:snapToGrid w:val="0"/>
        </w:rPr>
        <w:tab/>
        <w:t>(ii)</w:t>
      </w:r>
      <w:r>
        <w:rPr>
          <w:snapToGrid w:val="0"/>
        </w:rPr>
        <w:tab/>
        <w:t>the type and number of tokens rented; and</w:t>
      </w:r>
    </w:p>
    <w:p>
      <w:pPr>
        <w:pStyle w:val="Indenti"/>
        <w:rPr>
          <w:snapToGrid w:val="0"/>
        </w:rPr>
      </w:pPr>
      <w:r>
        <w:rPr>
          <w:snapToGrid w:val="0"/>
        </w:rPr>
        <w:tab/>
        <w:t>(iii)</w:t>
      </w:r>
      <w:r>
        <w:rPr>
          <w:snapToGrid w:val="0"/>
        </w:rPr>
        <w:tab/>
        <w:t>the name of the agent supplying the equipment and tokens; and</w:t>
      </w:r>
    </w:p>
    <w:p>
      <w:pPr>
        <w:pStyle w:val="Indenti"/>
        <w:rPr>
          <w:snapToGrid w:val="0"/>
        </w:rPr>
      </w:pPr>
      <w:r>
        <w:rPr>
          <w:snapToGrid w:val="0"/>
        </w:rPr>
        <w:tab/>
        <w:t>(iv)</w:t>
      </w:r>
      <w:r>
        <w:rPr>
          <w:snapToGrid w:val="0"/>
        </w:rPr>
        <w:tab/>
        <w:t>the period for which the equipment and tokens will be rented; and</w:t>
      </w:r>
    </w:p>
    <w:p>
      <w:pPr>
        <w:pStyle w:val="Indenti"/>
        <w:rPr>
          <w:snapToGrid w:val="0"/>
        </w:rPr>
      </w:pPr>
      <w:r>
        <w:rPr>
          <w:snapToGrid w:val="0"/>
        </w:rPr>
        <w:tab/>
        <w:t>(v)</w:t>
      </w:r>
      <w:r>
        <w:rPr>
          <w:snapToGrid w:val="0"/>
        </w:rPr>
        <w:tab/>
        <w:t>the cost of renting the equipment; and</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121" w:name="_Toc407629175"/>
      <w:bookmarkStart w:id="122" w:name="_Toc460853141"/>
      <w:r>
        <w:rPr>
          <w:rStyle w:val="CharSectno"/>
        </w:rPr>
        <w:t>18A</w:t>
      </w:r>
      <w:r>
        <w:rPr>
          <w:snapToGrid w:val="0"/>
        </w:rPr>
        <w:t>.</w:t>
      </w:r>
      <w:r>
        <w:rPr>
          <w:snapToGrid w:val="0"/>
        </w:rPr>
        <w:tab/>
        <w:t>Skilltester, Merchandiser and similar machines, possession etc. of</w:t>
      </w:r>
      <w:bookmarkEnd w:id="121"/>
      <w:bookmarkEnd w:id="122"/>
    </w:p>
    <w:p>
      <w:pPr>
        <w:pStyle w:val="Subsection"/>
        <w:spacing w:before="120"/>
        <w:rPr>
          <w:snapToGrid w:val="0"/>
        </w:rPr>
      </w:pPr>
      <w:r>
        <w:rPr>
          <w:snapToGrid w:val="0"/>
        </w:rPr>
        <w:tab/>
        <w:t>(1)</w:t>
      </w:r>
      <w:r>
        <w:rPr>
          <w:snapToGrid w:val="0"/>
        </w:rPr>
        <w:tab/>
        <w:t>The possession or use of a gaming machine that is —</w:t>
      </w:r>
    </w:p>
    <w:p>
      <w:pPr>
        <w:pStyle w:val="Indenta"/>
        <w:spacing w:before="60"/>
        <w:rPr>
          <w:snapToGrid w:val="0"/>
        </w:rPr>
      </w:pPr>
      <w:r>
        <w:rPr>
          <w:snapToGrid w:val="0"/>
        </w:rPr>
        <w:tab/>
        <w:t>(a)</w:t>
      </w:r>
      <w:r>
        <w:rPr>
          <w:snapToGrid w:val="0"/>
        </w:rPr>
        <w:tab/>
        <w:t>a machine of the kind generally known or described as a “Skilltester” or “Merchandiser” machine; or</w:t>
      </w:r>
    </w:p>
    <w:p>
      <w:pPr>
        <w:pStyle w:val="Indenta"/>
        <w:spacing w:before="60"/>
        <w:rPr>
          <w:snapToGrid w:val="0"/>
        </w:rPr>
      </w:pPr>
      <w:r>
        <w:rPr>
          <w:snapToGrid w:val="0"/>
        </w:rPr>
        <w:tab/>
        <w:t>(b)</w:t>
      </w:r>
      <w:r>
        <w:rPr>
          <w:snapToGrid w:val="0"/>
        </w:rPr>
        <w:tab/>
        <w:t>a display case machine containing prizes that is in the nature of, or similar to a machine referred to in paragraph (a); or</w:t>
      </w:r>
    </w:p>
    <w:p>
      <w:pPr>
        <w:pStyle w:val="Indenta"/>
        <w:spacing w:before="60"/>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rPr>
          <w:snapToGrid w:val="0"/>
        </w:rPr>
      </w:pPr>
      <w:r>
        <w:rPr>
          <w:snapToGrid w:val="0"/>
        </w:rPr>
        <w:tab/>
        <w:t>(2)</w:t>
      </w:r>
      <w:r>
        <w:rPr>
          <w:snapToGrid w:val="0"/>
        </w:rPr>
        <w:tab/>
        <w:t>A gaming machine may only be located in —</w:t>
      </w:r>
    </w:p>
    <w:p>
      <w:pPr>
        <w:pStyle w:val="Indenta"/>
        <w:spacing w:before="60"/>
        <w:rPr>
          <w:snapToGrid w:val="0"/>
        </w:rPr>
      </w:pPr>
      <w:r>
        <w:rPr>
          <w:snapToGrid w:val="0"/>
        </w:rPr>
        <w:tab/>
        <w:t>(a)</w:t>
      </w:r>
      <w:r>
        <w:rPr>
          <w:snapToGrid w:val="0"/>
        </w:rPr>
        <w:tab/>
        <w:t>an amusement centre; or</w:t>
      </w:r>
    </w:p>
    <w:p>
      <w:pPr>
        <w:pStyle w:val="Indenta"/>
        <w:spacing w:before="60"/>
        <w:rPr>
          <w:snapToGrid w:val="0"/>
        </w:rPr>
      </w:pPr>
      <w:r>
        <w:rPr>
          <w:snapToGrid w:val="0"/>
        </w:rPr>
        <w:tab/>
        <w:t>(b)</w:t>
      </w:r>
      <w:r>
        <w:rPr>
          <w:snapToGrid w:val="0"/>
        </w:rPr>
        <w:tab/>
        <w:t>an arcade; or</w:t>
      </w:r>
    </w:p>
    <w:p>
      <w:pPr>
        <w:pStyle w:val="Indenta"/>
        <w:spacing w:before="60"/>
        <w:rPr>
          <w:snapToGrid w:val="0"/>
        </w:rPr>
      </w:pPr>
      <w:r>
        <w:rPr>
          <w:snapToGrid w:val="0"/>
        </w:rPr>
        <w:tab/>
        <w:t>(c)</w:t>
      </w:r>
      <w:r>
        <w:rPr>
          <w:snapToGrid w:val="0"/>
        </w:rPr>
        <w:tab/>
        <w:t>a shopping centre; or</w:t>
      </w:r>
    </w:p>
    <w:p>
      <w:pPr>
        <w:pStyle w:val="Indenta"/>
        <w:spacing w:before="60"/>
        <w:rPr>
          <w:snapToGrid w:val="0"/>
        </w:rPr>
      </w:pPr>
      <w:r>
        <w:rPr>
          <w:snapToGrid w:val="0"/>
        </w:rPr>
        <w:tab/>
        <w:t>(d)</w:t>
      </w:r>
      <w:r>
        <w:rPr>
          <w:snapToGrid w:val="0"/>
        </w:rPr>
        <w:tab/>
        <w:t>a mall; or</w:t>
      </w:r>
    </w:p>
    <w:p>
      <w:pPr>
        <w:pStyle w:val="Indenta"/>
        <w:spacing w:before="60"/>
        <w:rPr>
          <w:snapToGrid w:val="0"/>
        </w:rPr>
      </w:pPr>
      <w:r>
        <w:rPr>
          <w:snapToGrid w:val="0"/>
        </w:rPr>
        <w:tab/>
        <w:t>(e)</w:t>
      </w:r>
      <w:r>
        <w:rPr>
          <w:snapToGrid w:val="0"/>
        </w:rPr>
        <w:tab/>
        <w:t>any other premises approved by the Commission and specified in a permit issued for that type of gaming machine.</w:t>
      </w:r>
    </w:p>
    <w:p>
      <w:pPr>
        <w:pStyle w:val="Subsection"/>
        <w:rPr>
          <w:snapToGrid w:val="0"/>
        </w:rPr>
      </w:pPr>
      <w:r>
        <w:rPr>
          <w:snapToGrid w:val="0"/>
        </w:rPr>
        <w:tab/>
        <w:t>(3)</w:t>
      </w:r>
      <w:r>
        <w:rPr>
          <w:snapToGrid w:val="0"/>
        </w:rPr>
        <w:tab/>
        <w:t>The maximum amount which may be charged per game for a machine is $5.</w:t>
      </w:r>
    </w:p>
    <w:p>
      <w:pPr>
        <w:pStyle w:val="Subsection"/>
        <w:rPr>
          <w:snapToGrid w:val="0"/>
        </w:rPr>
      </w:pPr>
      <w:r>
        <w:rPr>
          <w:snapToGrid w:val="0"/>
        </w:rPr>
        <w:tab/>
        <w:t>(4)</w:t>
      </w:r>
      <w:r>
        <w:rPr>
          <w:snapToGrid w:val="0"/>
        </w:rPr>
        <w:tab/>
        <w:t>The prizes which may be won by using a gaming machine must be prizes in the nature of goods and not money.</w:t>
      </w:r>
    </w:p>
    <w:p>
      <w:pPr>
        <w:pStyle w:val="Subsection"/>
        <w:keepNext/>
        <w:keepLines/>
        <w:rPr>
          <w:snapToGrid w:val="0"/>
        </w:rPr>
      </w:pPr>
      <w:r>
        <w:rPr>
          <w:snapToGrid w:val="0"/>
        </w:rPr>
        <w:tab/>
        <w:t>(5)</w:t>
      </w:r>
      <w:r>
        <w:rPr>
          <w:snapToGrid w:val="0"/>
        </w:rPr>
        <w:tab/>
        <w:t>The maximum retail value of a prize which may be won using a gaming machine is $50.</w:t>
      </w:r>
    </w:p>
    <w:p>
      <w:pPr>
        <w:pStyle w:val="Footnotesection"/>
      </w:pPr>
      <w:r>
        <w:tab/>
        <w:t>[Regulation 18A inserted in Gazette 22 Oct 1993 p. 5805</w:t>
      </w:r>
      <w:r>
        <w:noBreakHyphen/>
        <w:t>6; amended in Gazette 22 Apr 1994 p. 1710; 30 Jan 2004 p. 415.]</w:t>
      </w:r>
    </w:p>
    <w:p>
      <w:pPr>
        <w:pStyle w:val="Heading5"/>
        <w:rPr>
          <w:snapToGrid w:val="0"/>
        </w:rPr>
      </w:pPr>
      <w:bookmarkStart w:id="123" w:name="_Toc407629176"/>
      <w:bookmarkStart w:id="124" w:name="_Toc460853142"/>
      <w:r>
        <w:rPr>
          <w:rStyle w:val="CharSectno"/>
        </w:rPr>
        <w:t>18AA</w:t>
      </w:r>
      <w:r>
        <w:rPr>
          <w:snapToGrid w:val="0"/>
        </w:rPr>
        <w:t>.</w:t>
      </w:r>
      <w:r>
        <w:rPr>
          <w:snapToGrid w:val="0"/>
        </w:rPr>
        <w:tab/>
        <w:t>Video lottery terminals, possession etc. of</w:t>
      </w:r>
      <w:bookmarkEnd w:id="123"/>
      <w:bookmarkEnd w:id="124"/>
    </w:p>
    <w:p>
      <w:pPr>
        <w:pStyle w:val="Subsection"/>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vertAlign w:val="superscript"/>
        </w:rPr>
        <w:t> 3</w:t>
      </w:r>
      <w:r>
        <w:t>.</w:t>
      </w:r>
    </w:p>
    <w:p>
      <w:pPr>
        <w:pStyle w:val="Footnotesection"/>
      </w:pPr>
      <w:r>
        <w:tab/>
        <w:t>[Regulation 18AA inserted in Gazette 15 Dec 1995 p. 6124</w:t>
      </w:r>
      <w:r>
        <w:noBreakHyphen/>
        <w:t>5; amended in Gazette 28 Jun 1996 p. 3099; 23 Jun 2000 p. 3208.]</w:t>
      </w:r>
    </w:p>
    <w:p>
      <w:pPr>
        <w:pStyle w:val="Heading5"/>
        <w:rPr>
          <w:snapToGrid w:val="0"/>
        </w:rPr>
      </w:pPr>
      <w:bookmarkStart w:id="125" w:name="_Toc407629177"/>
      <w:bookmarkStart w:id="126" w:name="_Toc460853143"/>
      <w:r>
        <w:rPr>
          <w:rStyle w:val="CharSectno"/>
        </w:rPr>
        <w:t>18B</w:t>
      </w:r>
      <w:r>
        <w:rPr>
          <w:snapToGrid w:val="0"/>
        </w:rPr>
        <w:t>.</w:t>
      </w:r>
      <w:r>
        <w:rPr>
          <w:snapToGrid w:val="0"/>
        </w:rPr>
        <w:tab/>
        <w:t>Machines that dispense vouchers, possession etc. of</w:t>
      </w:r>
      <w:bookmarkEnd w:id="125"/>
      <w:bookmarkEnd w:id="126"/>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rPr>
          <w:snapToGrid w:val="0"/>
        </w:rPr>
      </w:pPr>
      <w:r>
        <w:rPr>
          <w:snapToGrid w:val="0"/>
        </w:rPr>
        <w:tab/>
        <w:t>(7)</w:t>
      </w:r>
      <w:r>
        <w:rPr>
          <w:snapToGrid w:val="0"/>
        </w:rPr>
        <w:tab/>
        <w:t>In this regulation —</w:t>
      </w:r>
    </w:p>
    <w:p>
      <w:pPr>
        <w:pStyle w:val="Defstart"/>
      </w:pPr>
      <w:r>
        <w:rPr>
          <w:b/>
        </w:rPr>
        <w:tab/>
      </w:r>
      <w:r>
        <w:rPr>
          <w:rStyle w:val="CharDefText"/>
        </w:rPr>
        <w:t>amusement parlour</w:t>
      </w:r>
      <w:r>
        <w:t xml:space="preserve"> means premises where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8; 15 Dec 1995 p. 6125; 30 Jan 2004 p. 416.]</w:t>
      </w:r>
    </w:p>
    <w:p>
      <w:pPr>
        <w:pStyle w:val="Heading5"/>
      </w:pPr>
      <w:bookmarkStart w:id="127" w:name="_Toc407629178"/>
      <w:bookmarkStart w:id="128" w:name="_Toc460853144"/>
      <w:r>
        <w:rPr>
          <w:rStyle w:val="CharSectno"/>
        </w:rPr>
        <w:t>18C</w:t>
      </w:r>
      <w:r>
        <w:t>.</w:t>
      </w:r>
      <w:r>
        <w:tab/>
        <w:t>Possession of certain gaming machines on cruise ships</w:t>
      </w:r>
      <w:bookmarkEnd w:id="127"/>
      <w:bookmarkEnd w:id="128"/>
    </w:p>
    <w:p>
      <w:pPr>
        <w:pStyle w:val="Subsection"/>
      </w:pPr>
      <w:r>
        <w:tab/>
        <w:t>(1)</w:t>
      </w:r>
      <w:r>
        <w:tab/>
        <w:t xml:space="preserve">In this regulation — </w:t>
      </w:r>
    </w:p>
    <w:p>
      <w:pPr>
        <w:pStyle w:val="Defstart"/>
      </w:pPr>
      <w:r>
        <w:tab/>
      </w:r>
      <w:r>
        <w:rPr>
          <w:rStyle w:val="CharDefText"/>
        </w:rPr>
        <w:t>cruise ship</w:t>
      </w:r>
      <w:r>
        <w:t xml:space="preserve"> means any vessel that — </w:t>
      </w:r>
    </w:p>
    <w:p>
      <w:pPr>
        <w:pStyle w:val="Defpara"/>
      </w:pPr>
      <w:r>
        <w:tab/>
        <w:t>(a)</w:t>
      </w:r>
      <w:r>
        <w:tab/>
        <w:t>has a minimum capacity of 100 passengers; and</w:t>
      </w:r>
    </w:p>
    <w:p>
      <w:pPr>
        <w:pStyle w:val="Defpara"/>
      </w:pPr>
      <w:r>
        <w:tab/>
        <w:t>(b)</w:t>
      </w:r>
      <w:r>
        <w:tab/>
        <w:t>is conducting a scheduled deep water cruise.</w:t>
      </w:r>
    </w:p>
    <w:p>
      <w:pPr>
        <w:pStyle w:val="Subsection"/>
      </w:pPr>
      <w:r>
        <w:tab/>
        <w:t>(2)</w:t>
      </w:r>
      <w:r>
        <w:tab/>
        <w:t>For the purposes of section 85(6A), on board a cruise ship in waters in an area to which section 85(4) applies is a prescribed circumstance.</w:t>
      </w:r>
    </w:p>
    <w:p>
      <w:pPr>
        <w:pStyle w:val="PermNoteHeading"/>
      </w:pPr>
      <w:r>
        <w:tab/>
        <w:t>Note:</w:t>
      </w:r>
    </w:p>
    <w:p>
      <w:pPr>
        <w:pStyle w:val="PermNoteText"/>
      </w:pPr>
      <w:r>
        <w:tab/>
      </w:r>
      <w:r>
        <w:tab/>
        <w:t xml:space="preserve">The substantive criminal law of the State applies throughout the inner adjacent area for the State under the </w:t>
      </w:r>
      <w:r>
        <w:rPr>
          <w:i/>
        </w:rPr>
        <w:t>Crimes at Sea Act 2000</w:t>
      </w:r>
      <w:r>
        <w:t xml:space="preserve"> (</w:t>
      </w:r>
      <w:smartTag w:uri="urn:schemas-microsoft-com:office:smarttags" w:element="place">
        <w:smartTag w:uri="urn:schemas-microsoft-com:office:smarttags" w:element="State">
          <w:r>
            <w:t>Western Australia</w:t>
          </w:r>
        </w:smartTag>
      </w:smartTag>
      <w:r>
        <w:t xml:space="preserve">) and throughout the outer adjacent area for the State under the </w:t>
      </w:r>
      <w:r>
        <w:rPr>
          <w:i/>
        </w:rPr>
        <w:t>Crimes at Sea Act 2000</w:t>
      </w:r>
      <w:r>
        <w:t xml:space="preserve"> (Commonwealth).</w:t>
      </w:r>
    </w:p>
    <w:p>
      <w:pPr>
        <w:pStyle w:val="Footnotesection"/>
      </w:pPr>
      <w:r>
        <w:tab/>
        <w:t>[Regulation 18C inserted in Gazette 12 Aug 2011 p. 3249-50.]</w:t>
      </w:r>
    </w:p>
    <w:p>
      <w:pPr>
        <w:pStyle w:val="Heading3"/>
      </w:pPr>
      <w:bookmarkStart w:id="129" w:name="_Toc403656852"/>
      <w:bookmarkStart w:id="130" w:name="_Toc403720598"/>
      <w:bookmarkStart w:id="131" w:name="_Toc407629179"/>
      <w:bookmarkStart w:id="132" w:name="_Toc418677849"/>
      <w:bookmarkStart w:id="133" w:name="_Toc418677958"/>
      <w:bookmarkStart w:id="134" w:name="_Toc436646284"/>
      <w:bookmarkStart w:id="135" w:name="_Toc438113719"/>
      <w:bookmarkStart w:id="136" w:name="_Toc439166262"/>
      <w:bookmarkStart w:id="137" w:name="_Toc460853145"/>
      <w:r>
        <w:rPr>
          <w:rStyle w:val="CharDivNo"/>
        </w:rPr>
        <w:t>Division 5</w:t>
      </w:r>
      <w:r>
        <w:rPr>
          <w:snapToGrid w:val="0"/>
        </w:rPr>
        <w:t> — </w:t>
      </w:r>
      <w:r>
        <w:rPr>
          <w:rStyle w:val="CharDivText"/>
        </w:rPr>
        <w:t>Permitted bingo</w:t>
      </w:r>
      <w:bookmarkEnd w:id="129"/>
      <w:bookmarkEnd w:id="130"/>
      <w:bookmarkEnd w:id="131"/>
      <w:bookmarkEnd w:id="132"/>
      <w:bookmarkEnd w:id="133"/>
      <w:bookmarkEnd w:id="134"/>
      <w:bookmarkEnd w:id="135"/>
      <w:bookmarkEnd w:id="136"/>
      <w:bookmarkEnd w:id="137"/>
    </w:p>
    <w:p>
      <w:pPr>
        <w:pStyle w:val="Heading5"/>
        <w:rPr>
          <w:snapToGrid w:val="0"/>
        </w:rPr>
      </w:pPr>
      <w:bookmarkStart w:id="138" w:name="_Toc407629180"/>
      <w:bookmarkStart w:id="139" w:name="_Toc460853146"/>
      <w:r>
        <w:rPr>
          <w:rStyle w:val="CharSectno"/>
        </w:rPr>
        <w:t>19</w:t>
      </w:r>
      <w:r>
        <w:rPr>
          <w:snapToGrid w:val="0"/>
        </w:rPr>
        <w:t>.</w:t>
      </w:r>
      <w:r>
        <w:rPr>
          <w:snapToGrid w:val="0"/>
        </w:rPr>
        <w:tab/>
        <w:t>Rules for conducting bingo; rules to be displayed</w:t>
      </w:r>
      <w:bookmarkEnd w:id="138"/>
      <w:bookmarkEnd w:id="139"/>
    </w:p>
    <w:p>
      <w:pPr>
        <w:pStyle w:val="Subsection"/>
        <w:rPr>
          <w:snapToGrid w:val="0"/>
        </w:rPr>
      </w:pPr>
      <w:r>
        <w:rPr>
          <w:snapToGrid w:val="0"/>
        </w:rPr>
        <w:tab/>
        <w:t>(1)</w:t>
      </w:r>
      <w:r>
        <w:rPr>
          <w:snapToGrid w:val="0"/>
        </w:rPr>
        <w:tab/>
        <w:t>Rules for the conduct of games of bingo are set out in Part 1 of Schedule 4.</w:t>
      </w:r>
    </w:p>
    <w:p>
      <w:pPr>
        <w:pStyle w:val="Subsection"/>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 and</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140" w:name="_Toc407629181"/>
      <w:bookmarkStart w:id="141" w:name="_Toc460853147"/>
      <w:r>
        <w:rPr>
          <w:rStyle w:val="CharSectno"/>
        </w:rPr>
        <w:t>20</w:t>
      </w:r>
      <w:r>
        <w:rPr>
          <w:snapToGrid w:val="0"/>
        </w:rPr>
        <w:t>.</w:t>
      </w:r>
      <w:r>
        <w:rPr>
          <w:snapToGrid w:val="0"/>
        </w:rPr>
        <w:tab/>
        <w:t>Bingo for senior citizens’ clubs, no fees payable for</w:t>
      </w:r>
      <w:bookmarkEnd w:id="140"/>
      <w:bookmarkEnd w:id="141"/>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142" w:name="_Toc407629182"/>
      <w:bookmarkStart w:id="143" w:name="_Toc460853148"/>
      <w:r>
        <w:rPr>
          <w:rStyle w:val="CharSectno"/>
        </w:rPr>
        <w:t>21</w:t>
      </w:r>
      <w:r>
        <w:rPr>
          <w:snapToGrid w:val="0"/>
        </w:rPr>
        <w:t>.</w:t>
      </w:r>
      <w:r>
        <w:rPr>
          <w:snapToGrid w:val="0"/>
        </w:rPr>
        <w:tab/>
        <w:t>Percentage of receipts to be paid to Commission</w:t>
      </w:r>
      <w:bookmarkEnd w:id="142"/>
      <w:bookmarkEnd w:id="143"/>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in Gazette 28 Jun 1996 p. 3099.]</w:t>
      </w:r>
    </w:p>
    <w:p>
      <w:pPr>
        <w:pStyle w:val="Heading5"/>
        <w:rPr>
          <w:snapToGrid w:val="0"/>
        </w:rPr>
      </w:pPr>
      <w:bookmarkStart w:id="144" w:name="_Toc407629183"/>
      <w:bookmarkStart w:id="145" w:name="_Toc460853149"/>
      <w:r>
        <w:rPr>
          <w:rStyle w:val="CharSectno"/>
        </w:rPr>
        <w:t>21A</w:t>
      </w:r>
      <w:r>
        <w:rPr>
          <w:snapToGrid w:val="0"/>
        </w:rPr>
        <w:t>.</w:t>
      </w:r>
      <w:r>
        <w:rPr>
          <w:snapToGrid w:val="0"/>
        </w:rPr>
        <w:tab/>
        <w:t>Times and number of sessions</w:t>
      </w:r>
      <w:bookmarkEnd w:id="144"/>
      <w:bookmarkEnd w:id="145"/>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deleted]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in Gazette 21 May 1993 p. 2520; amended in Gazette 30 Jul 2002 p. 3530.]</w:t>
      </w:r>
    </w:p>
    <w:p>
      <w:pPr>
        <w:pStyle w:val="Heading5"/>
        <w:rPr>
          <w:snapToGrid w:val="0"/>
        </w:rPr>
      </w:pPr>
      <w:bookmarkStart w:id="146" w:name="_Toc407629184"/>
      <w:bookmarkStart w:id="147" w:name="_Toc460853150"/>
      <w:r>
        <w:rPr>
          <w:rStyle w:val="CharSectno"/>
        </w:rPr>
        <w:t>22</w:t>
      </w:r>
      <w:r>
        <w:rPr>
          <w:snapToGrid w:val="0"/>
        </w:rPr>
        <w:t>.</w:t>
      </w:r>
      <w:r>
        <w:rPr>
          <w:snapToGrid w:val="0"/>
        </w:rPr>
        <w:tab/>
        <w:t>Sessions of bingo</w:t>
      </w:r>
      <w:bookmarkEnd w:id="146"/>
      <w:bookmarkEnd w:id="147"/>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in Gazette 6 Apr 1990 p. 1768; 21 May 1993 p. 2520; 22 Aug 2006 p. 3465.]</w:t>
      </w:r>
    </w:p>
    <w:p>
      <w:pPr>
        <w:pStyle w:val="Heading5"/>
        <w:rPr>
          <w:snapToGrid w:val="0"/>
        </w:rPr>
      </w:pPr>
      <w:bookmarkStart w:id="148" w:name="_Toc407629185"/>
      <w:bookmarkStart w:id="149" w:name="_Toc460853151"/>
      <w:r>
        <w:rPr>
          <w:rStyle w:val="CharSectno"/>
        </w:rPr>
        <w:t>23</w:t>
      </w:r>
      <w:r>
        <w:rPr>
          <w:snapToGrid w:val="0"/>
        </w:rPr>
        <w:t>.</w:t>
      </w:r>
      <w:r>
        <w:rPr>
          <w:snapToGrid w:val="0"/>
        </w:rPr>
        <w:tab/>
        <w:t>Controllers of sessions, appointment and duties of</w:t>
      </w:r>
      <w:bookmarkEnd w:id="148"/>
      <w:bookmarkEnd w:id="149"/>
    </w:p>
    <w:p>
      <w:pPr>
        <w:pStyle w:val="Subsection"/>
        <w:spacing w:before="120"/>
        <w:rPr>
          <w:snapToGrid w:val="0"/>
        </w:rPr>
      </w:pPr>
      <w:r>
        <w:rPr>
          <w:snapToGrid w:val="0"/>
        </w:rPr>
        <w:tab/>
        <w:t>(1)</w:t>
      </w:r>
      <w:r>
        <w:rPr>
          <w:snapToGrid w:val="0"/>
        </w:rPr>
        <w:tab/>
        <w:t>Each session of bingo shall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rPr>
          <w:snapToGrid w:val="0"/>
        </w:rPr>
      </w:pPr>
      <w:r>
        <w:rPr>
          <w:snapToGrid w:val="0"/>
        </w:rPr>
        <w:tab/>
        <w:t>(2)</w:t>
      </w:r>
      <w:r>
        <w:rPr>
          <w:snapToGrid w:val="0"/>
        </w:rPr>
        <w:tab/>
        <w:t>The person appointed by the permit holder under subregulation (1)(a) shall —</w:t>
      </w:r>
    </w:p>
    <w:p>
      <w:pPr>
        <w:pStyle w:val="Indenta"/>
        <w:rPr>
          <w:snapToGrid w:val="0"/>
        </w:rPr>
      </w:pPr>
      <w:r>
        <w:rPr>
          <w:snapToGrid w:val="0"/>
        </w:rPr>
        <w:tab/>
        <w:t>(a)</w:t>
      </w:r>
      <w:r>
        <w:rPr>
          <w:snapToGrid w:val="0"/>
        </w:rPr>
        <w:tab/>
        <w:t>in respect of each session keep, or cause to be kept, an accurate record of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 and</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keepNext/>
        <w:rPr>
          <w:snapToGrid w:val="0"/>
        </w:rPr>
      </w:pPr>
      <w:r>
        <w:rPr>
          <w:snapToGrid w:val="0"/>
        </w:rPr>
        <w:tab/>
        <w:t>(d)</w:t>
      </w:r>
      <w:r>
        <w:rPr>
          <w:snapToGrid w:val="0"/>
        </w:rPr>
        <w:tab/>
        <w:t>ensure that the unsuccessful players only participate in the call back for one game in each session.</w:t>
      </w:r>
    </w:p>
    <w:p>
      <w:pPr>
        <w:pStyle w:val="Footnotesection"/>
      </w:pPr>
      <w:r>
        <w:tab/>
        <w:t>[Regulation 23 amended in Gazette 6 Apr 1990 p. 1768.]</w:t>
      </w:r>
    </w:p>
    <w:p>
      <w:pPr>
        <w:pStyle w:val="Heading5"/>
        <w:rPr>
          <w:snapToGrid w:val="0"/>
        </w:rPr>
      </w:pPr>
      <w:bookmarkStart w:id="150" w:name="_Toc407629186"/>
      <w:bookmarkStart w:id="151" w:name="_Toc460853152"/>
      <w:r>
        <w:rPr>
          <w:rStyle w:val="CharSectno"/>
        </w:rPr>
        <w:t>23A</w:t>
      </w:r>
      <w:r>
        <w:rPr>
          <w:snapToGrid w:val="0"/>
        </w:rPr>
        <w:t>.</w:t>
      </w:r>
      <w:r>
        <w:rPr>
          <w:snapToGrid w:val="0"/>
        </w:rPr>
        <w:tab/>
        <w:t>Advertising value of prizes prohibited</w:t>
      </w:r>
      <w:bookmarkEnd w:id="150"/>
      <w:bookmarkEnd w:id="151"/>
    </w:p>
    <w:p>
      <w:pPr>
        <w:pStyle w:val="Subsection"/>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rPr>
          <w:snapToGrid w:val="0"/>
        </w:rPr>
      </w:pPr>
      <w:r>
        <w:rPr>
          <w:snapToGrid w:val="0"/>
        </w:rPr>
        <w:tab/>
        <w:t>(a)</w:t>
      </w:r>
      <w:r>
        <w:rPr>
          <w:snapToGrid w:val="0"/>
        </w:rPr>
        <w:tab/>
        <w:t>advertise or cause to be advertised; or</w:t>
      </w:r>
    </w:p>
    <w:p>
      <w:pPr>
        <w:pStyle w:val="Indenta"/>
        <w:rPr>
          <w:snapToGrid w:val="0"/>
        </w:rPr>
      </w:pPr>
      <w:r>
        <w:rPr>
          <w:snapToGrid w:val="0"/>
        </w:rPr>
        <w:tab/>
        <w:t>(b)</w:t>
      </w:r>
      <w:r>
        <w:rPr>
          <w:snapToGrid w:val="0"/>
        </w:rPr>
        <w:tab/>
        <w:t>announce or cause to be announced,</w:t>
      </w:r>
    </w:p>
    <w:p>
      <w:pPr>
        <w:pStyle w:val="Subsection"/>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pPr>
      <w:r>
        <w:tab/>
        <w:t>(2)</w:t>
      </w:r>
      <w:r>
        <w:tab/>
        <w:t>In this regulation —</w:t>
      </w:r>
    </w:p>
    <w:p>
      <w:pPr>
        <w:pStyle w:val="Defstart"/>
      </w:pPr>
      <w:r>
        <w:rPr>
          <w:b/>
        </w:rPr>
        <w:tab/>
      </w:r>
      <w:r>
        <w:rPr>
          <w:rStyle w:val="CharDefText"/>
        </w:rPr>
        <w:t>prize</w:t>
      </w:r>
      <w:r>
        <w:t xml:space="preserve"> includes a jackpot prize;</w:t>
      </w:r>
    </w:p>
    <w:p>
      <w:pPr>
        <w:pStyle w:val="Defstart"/>
      </w:pPr>
      <w:r>
        <w:rPr>
          <w:b/>
        </w:rPr>
        <w:tab/>
      </w:r>
      <w:r>
        <w:rPr>
          <w:rStyle w:val="CharDefText"/>
        </w:rPr>
        <w:t>value</w:t>
      </w:r>
      <w:r>
        <w:rPr>
          <w:bCs/>
        </w:rPr>
        <w:t>,</w:t>
      </w:r>
      <w:r>
        <w:t xml:space="preserve"> in relation to a prize, includes any projected value, estimated value or potential value of the prize.</w:t>
      </w:r>
    </w:p>
    <w:p>
      <w:pPr>
        <w:pStyle w:val="Footnotesection"/>
      </w:pPr>
      <w:r>
        <w:tab/>
        <w:t>[Regulation 23A inserted in Gazette 27 Feb 1991 p. 5068; amended in Gazette 22 Aug 2006 p. 3465</w:t>
      </w:r>
      <w:r>
        <w:noBreakHyphen/>
        <w:t>6.]</w:t>
      </w:r>
    </w:p>
    <w:p>
      <w:pPr>
        <w:pStyle w:val="Heading5"/>
        <w:rPr>
          <w:snapToGrid w:val="0"/>
        </w:rPr>
      </w:pPr>
      <w:bookmarkStart w:id="152" w:name="_Toc407629187"/>
      <w:bookmarkStart w:id="153" w:name="_Toc460853153"/>
      <w:r>
        <w:rPr>
          <w:rStyle w:val="CharSectno"/>
        </w:rPr>
        <w:t>24</w:t>
      </w:r>
      <w:r>
        <w:rPr>
          <w:snapToGrid w:val="0"/>
        </w:rPr>
        <w:t>.</w:t>
      </w:r>
      <w:r>
        <w:rPr>
          <w:snapToGrid w:val="0"/>
        </w:rPr>
        <w:tab/>
        <w:t>Prizes, permitted value of</w:t>
      </w:r>
      <w:bookmarkEnd w:id="152"/>
      <w:bookmarkEnd w:id="153"/>
    </w:p>
    <w:p>
      <w:pPr>
        <w:pStyle w:val="Subsection"/>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MiscellaneousHeading"/>
        <w:rPr>
          <w:snapToGrid w:val="0"/>
        </w:rPr>
      </w:pPr>
      <w:r>
        <w:rPr>
          <w:b/>
          <w:bCs/>
          <w:snapToGrid w:val="0"/>
        </w:rP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c>
          <w:tcPr>
            <w:tcW w:w="2400" w:type="dxa"/>
            <w:tcBorders>
              <w:top w:val="single" w:sz="4" w:space="0" w:color="auto"/>
              <w:bottom w:val="single" w:sz="4" w:space="0" w:color="auto"/>
            </w:tcBorders>
          </w:tcPr>
          <w:p>
            <w:pPr>
              <w:pStyle w:val="TableNAm"/>
              <w:rPr>
                <w:b/>
                <w:bCs/>
                <w:sz w:val="22"/>
              </w:rPr>
            </w:pPr>
            <w:r>
              <w:rPr>
                <w:b/>
                <w:bCs/>
                <w:sz w:val="22"/>
              </w:rPr>
              <w:t>Gross receipts</w:t>
            </w:r>
          </w:p>
        </w:tc>
        <w:tc>
          <w:tcPr>
            <w:tcW w:w="2040" w:type="dxa"/>
            <w:tcBorders>
              <w:top w:val="single" w:sz="4" w:space="0" w:color="auto"/>
              <w:bottom w:val="single" w:sz="4" w:space="0" w:color="auto"/>
            </w:tcBorders>
          </w:tcPr>
          <w:p>
            <w:pPr>
              <w:pStyle w:val="TableNAm"/>
              <w:rPr>
                <w:b/>
                <w:bCs/>
                <w:sz w:val="22"/>
              </w:rPr>
            </w:pPr>
            <w:r>
              <w:rPr>
                <w:b/>
                <w:bCs/>
                <w:sz w:val="22"/>
              </w:rPr>
              <w:t>Total of prizes</w:t>
            </w:r>
          </w:p>
        </w:tc>
        <w:tc>
          <w:tcPr>
            <w:tcW w:w="1680" w:type="dxa"/>
            <w:tcBorders>
              <w:top w:val="single" w:sz="4" w:space="0" w:color="auto"/>
              <w:bottom w:val="single" w:sz="4" w:space="0" w:color="auto"/>
            </w:tcBorders>
          </w:tcPr>
          <w:p>
            <w:pPr>
              <w:pStyle w:val="TableNAm"/>
              <w:rPr>
                <w:b/>
                <w:bCs/>
                <w:sz w:val="22"/>
              </w:rPr>
            </w:pPr>
            <w:r>
              <w:rPr>
                <w:b/>
                <w:bCs/>
                <w:sz w:val="22"/>
              </w:rPr>
              <w:t>Permitted variation</w:t>
            </w:r>
          </w:p>
        </w:tc>
      </w:tr>
      <w:tr>
        <w:tc>
          <w:tcPr>
            <w:tcW w:w="2400" w:type="dxa"/>
            <w:tcBorders>
              <w:top w:val="single" w:sz="4" w:space="0" w:color="auto"/>
            </w:tcBorders>
          </w:tcPr>
          <w:p>
            <w:pPr>
              <w:pStyle w:val="TableNAm"/>
              <w:rPr>
                <w:sz w:val="22"/>
              </w:rPr>
            </w:pPr>
            <w:r>
              <w:rPr>
                <w:sz w:val="22"/>
              </w:rPr>
              <w:t>$3 000 and under</w:t>
            </w:r>
          </w:p>
        </w:tc>
        <w:tc>
          <w:tcPr>
            <w:tcW w:w="2040" w:type="dxa"/>
            <w:tcBorders>
              <w:top w:val="single" w:sz="4" w:space="0" w:color="auto"/>
            </w:tcBorders>
          </w:tcPr>
          <w:p>
            <w:pPr>
              <w:pStyle w:val="TableNAm"/>
              <w:rPr>
                <w:sz w:val="22"/>
              </w:rPr>
            </w:pPr>
            <w:r>
              <w:rPr>
                <w:sz w:val="22"/>
              </w:rPr>
              <w:t>no limit</w:t>
            </w:r>
          </w:p>
        </w:tc>
        <w:tc>
          <w:tcPr>
            <w:tcW w:w="1680" w:type="dxa"/>
            <w:tcBorders>
              <w:top w:val="single" w:sz="4" w:space="0" w:color="auto"/>
            </w:tcBorders>
          </w:tcPr>
          <w:p>
            <w:pPr>
              <w:pStyle w:val="TableNAm"/>
              <w:rPr>
                <w:sz w:val="22"/>
              </w:rPr>
            </w:pPr>
            <w:r>
              <w:rPr>
                <w:sz w:val="22"/>
              </w:rPr>
              <w:t>—</w:t>
            </w:r>
          </w:p>
        </w:tc>
      </w:tr>
      <w:tr>
        <w:tc>
          <w:tcPr>
            <w:tcW w:w="2400" w:type="dxa"/>
            <w:tcBorders>
              <w:bottom w:val="single" w:sz="4" w:space="0" w:color="auto"/>
            </w:tcBorders>
          </w:tcPr>
          <w:p>
            <w:pPr>
              <w:pStyle w:val="TableNAm"/>
              <w:rPr>
                <w:sz w:val="22"/>
              </w:rPr>
            </w:pPr>
            <w:r>
              <w:rPr>
                <w:sz w:val="22"/>
              </w:rPr>
              <w:t>$3 001 and above</w:t>
            </w:r>
          </w:p>
        </w:tc>
        <w:tc>
          <w:tcPr>
            <w:tcW w:w="2040" w:type="dxa"/>
            <w:tcBorders>
              <w:bottom w:val="single" w:sz="4" w:space="0" w:color="auto"/>
            </w:tcBorders>
          </w:tcPr>
          <w:p>
            <w:pPr>
              <w:pStyle w:val="TableNAm"/>
              <w:rPr>
                <w:sz w:val="22"/>
              </w:rPr>
            </w:pPr>
            <w:r>
              <w:rPr>
                <w:sz w:val="22"/>
              </w:rPr>
              <w:t>60%</w:t>
            </w:r>
          </w:p>
        </w:tc>
        <w:tc>
          <w:tcPr>
            <w:tcW w:w="1680" w:type="dxa"/>
            <w:tcBorders>
              <w:bottom w:val="single" w:sz="4" w:space="0" w:color="auto"/>
            </w:tcBorders>
          </w:tcPr>
          <w:p>
            <w:pPr>
              <w:pStyle w:val="TableNAm"/>
              <w:rPr>
                <w:sz w:val="22"/>
              </w:rPr>
            </w:pPr>
            <w:r>
              <w:rPr>
                <w:sz w:val="22"/>
              </w:rPr>
              <w:t>5%</w:t>
            </w:r>
          </w:p>
        </w:tc>
      </w:tr>
    </w:tbl>
    <w:p>
      <w:pPr>
        <w:pStyle w:val="Subsection"/>
        <w:keepNext/>
      </w:pPr>
      <w:r>
        <w:tab/>
        <w:t>(2)</w:t>
      </w:r>
      <w:r>
        <w:tab/>
        <w:t>If —</w:t>
      </w:r>
    </w:p>
    <w:p>
      <w:pPr>
        <w:pStyle w:val="Indenta"/>
      </w:pPr>
      <w:r>
        <w:tab/>
        <w:t>(a)</w:t>
      </w:r>
      <w:r>
        <w:tab/>
        <w:t>a jackpot prize is offered at a session of bingo; and</w:t>
      </w:r>
    </w:p>
    <w:p>
      <w:pPr>
        <w:pStyle w:val="Indenta"/>
        <w:keepNext/>
        <w:keepLines/>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in Gazette 15 Feb 1994 p. 552; 22 Aug 2006 p. 3466.]</w:t>
      </w:r>
    </w:p>
    <w:p>
      <w:pPr>
        <w:pStyle w:val="Heading5"/>
        <w:rPr>
          <w:snapToGrid w:val="0"/>
        </w:rPr>
      </w:pPr>
      <w:bookmarkStart w:id="154" w:name="_Toc407629188"/>
      <w:bookmarkStart w:id="155" w:name="_Toc460853154"/>
      <w:r>
        <w:rPr>
          <w:rStyle w:val="CharSectno"/>
        </w:rPr>
        <w:t>25</w:t>
      </w:r>
      <w:r>
        <w:rPr>
          <w:snapToGrid w:val="0"/>
        </w:rPr>
        <w:t>.</w:t>
      </w:r>
      <w:r>
        <w:rPr>
          <w:snapToGrid w:val="0"/>
        </w:rPr>
        <w:tab/>
        <w:t>Expenses, maximum and calculation of</w:t>
      </w:r>
      <w:bookmarkEnd w:id="154"/>
      <w:bookmarkEnd w:id="155"/>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keepNext/>
      </w:pPr>
      <w:r>
        <w:tab/>
        <w:t>(2a)</w:t>
      </w:r>
      <w:r>
        <w:tab/>
        <w:t>If —</w:t>
      </w:r>
    </w:p>
    <w:p>
      <w:pPr>
        <w:pStyle w:val="Indenta"/>
        <w:spacing w:before="60"/>
      </w:pPr>
      <w:r>
        <w:tab/>
        <w:t>(a)</w:t>
      </w:r>
      <w:r>
        <w:tab/>
        <w:t>a jackpot prize is offered at a session of bingo; and</w:t>
      </w:r>
    </w:p>
    <w:p>
      <w:pPr>
        <w:pStyle w:val="Indenta"/>
        <w:spacing w:before="60"/>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required to be included —</w:t>
      </w:r>
    </w:p>
    <w:p>
      <w:pPr>
        <w:pStyle w:val="Indenta"/>
        <w:spacing w:before="60"/>
      </w:pPr>
      <w:r>
        <w:tab/>
        <w:t>(c)</w:t>
      </w:r>
      <w:r>
        <w:tab/>
        <w:t>in the total retail value of incentives; or</w:t>
      </w:r>
    </w:p>
    <w:p>
      <w:pPr>
        <w:pStyle w:val="Indenta"/>
        <w:spacing w:before="60"/>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spacing w:before="60"/>
      </w:pPr>
      <w:r>
        <w:tab/>
        <w:t>(a)</w:t>
      </w:r>
      <w:r>
        <w:tab/>
        <w:t>receipts from bingo;</w:t>
      </w:r>
    </w:p>
    <w:p>
      <w:pPr>
        <w:pStyle w:val="Indenta"/>
        <w:keepNext/>
        <w:keepLines/>
        <w:spacing w:before="60"/>
      </w:pPr>
      <w:r>
        <w:tab/>
        <w:t>(b)</w:t>
      </w:r>
      <w:r>
        <w:tab/>
        <w:t>receipts from any —</w:t>
      </w:r>
    </w:p>
    <w:p>
      <w:pPr>
        <w:pStyle w:val="Indenti"/>
        <w:spacing w:before="60"/>
      </w:pPr>
      <w:r>
        <w:tab/>
        <w:t>(i)</w:t>
      </w:r>
      <w:r>
        <w:tab/>
        <w:t>continuing lottery; or</w:t>
      </w:r>
    </w:p>
    <w:p>
      <w:pPr>
        <w:pStyle w:val="Indenti"/>
        <w:spacing w:before="60"/>
      </w:pPr>
      <w:r>
        <w:tab/>
        <w:t>(ii)</w:t>
      </w:r>
      <w:r>
        <w:tab/>
        <w:t>lottery deemed to be permitted under section 103,</w:t>
      </w:r>
    </w:p>
    <w:p>
      <w:pPr>
        <w:pStyle w:val="Indenta"/>
        <w:spacing w:before="60"/>
      </w:pPr>
      <w:r>
        <w:tab/>
      </w:r>
      <w:r>
        <w:tab/>
        <w:t>that is conducted at or in connection with a session of bingo.</w:t>
      </w:r>
    </w:p>
    <w:p>
      <w:pPr>
        <w:pStyle w:val="Footnotesection"/>
      </w:pPr>
      <w:r>
        <w:tab/>
        <w:t>[Regulation 25 inserted in Gazette 6 Apr 1990 p. 1768; amended in Gazette 22 Aug 2006 p. 3466</w:t>
      </w:r>
      <w:r>
        <w:noBreakHyphen/>
        <w:t>7.]</w:t>
      </w:r>
    </w:p>
    <w:p>
      <w:pPr>
        <w:pStyle w:val="Heading5"/>
        <w:rPr>
          <w:snapToGrid w:val="0"/>
        </w:rPr>
      </w:pPr>
      <w:bookmarkStart w:id="156" w:name="_Toc407629189"/>
      <w:bookmarkStart w:id="157" w:name="_Toc460853155"/>
      <w:r>
        <w:rPr>
          <w:rStyle w:val="CharSectno"/>
        </w:rPr>
        <w:t>26</w:t>
      </w:r>
      <w:r>
        <w:rPr>
          <w:snapToGrid w:val="0"/>
        </w:rPr>
        <w:t>.</w:t>
      </w:r>
      <w:r>
        <w:rPr>
          <w:snapToGrid w:val="0"/>
        </w:rPr>
        <w:tab/>
        <w:t>Playing other games of chance at bingo premises</w:t>
      </w:r>
      <w:bookmarkEnd w:id="156"/>
      <w:bookmarkEnd w:id="157"/>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spacing w:before="60"/>
        <w:rPr>
          <w:snapToGrid w:val="0"/>
        </w:rPr>
      </w:pPr>
      <w:r>
        <w:rPr>
          <w:snapToGrid w:val="0"/>
        </w:rPr>
        <w:tab/>
        <w:t>(a)</w:t>
      </w:r>
      <w:r>
        <w:rPr>
          <w:snapToGrid w:val="0"/>
        </w:rPr>
        <w:tab/>
      </w:r>
      <w:r>
        <w:t xml:space="preserve">a </w:t>
      </w:r>
      <w:r>
        <w:rPr>
          <w:snapToGrid w:val="0"/>
        </w:rPr>
        <w:t>continuing lottery;</w:t>
      </w:r>
    </w:p>
    <w:p>
      <w:pPr>
        <w:pStyle w:val="Indenta"/>
        <w:spacing w:before="60"/>
        <w:rPr>
          <w:snapToGrid w:val="0"/>
        </w:rPr>
      </w:pPr>
      <w:r>
        <w:rPr>
          <w:snapToGrid w:val="0"/>
        </w:rPr>
        <w:tab/>
        <w:t>(b)</w:t>
      </w:r>
      <w:r>
        <w:rPr>
          <w:snapToGrid w:val="0"/>
        </w:rPr>
        <w:tab/>
        <w:t>a lottery deemed to be permitted under section 103;</w:t>
      </w:r>
    </w:p>
    <w:p>
      <w:pPr>
        <w:pStyle w:val="Indenta"/>
        <w:spacing w:before="60"/>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spacing w:before="140"/>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spacing w:before="60"/>
        <w:rPr>
          <w:snapToGrid w:val="0"/>
        </w:rPr>
      </w:pPr>
      <w:r>
        <w:rPr>
          <w:snapToGrid w:val="0"/>
        </w:rPr>
        <w:tab/>
        <w:t>(a)</w:t>
      </w:r>
      <w:r>
        <w:rPr>
          <w:snapToGrid w:val="0"/>
        </w:rPr>
        <w:tab/>
        <w:t>the gross receipts for each such lottery; and</w:t>
      </w:r>
    </w:p>
    <w:p>
      <w:pPr>
        <w:pStyle w:val="Indenta"/>
        <w:keepNext/>
        <w:spacing w:before="60"/>
        <w:rPr>
          <w:snapToGrid w:val="0"/>
        </w:rPr>
      </w:pPr>
      <w:r>
        <w:rPr>
          <w:snapToGrid w:val="0"/>
        </w:rPr>
        <w:tab/>
        <w:t>(b)</w:t>
      </w:r>
      <w:r>
        <w:rPr>
          <w:snapToGrid w:val="0"/>
        </w:rPr>
        <w:tab/>
        <w:t>the amount of prizes awarded for each such lottery.</w:t>
      </w:r>
    </w:p>
    <w:p>
      <w:pPr>
        <w:pStyle w:val="Footnotesection"/>
        <w:spacing w:before="100"/>
      </w:pPr>
      <w:r>
        <w:tab/>
        <w:t>[Regulation 26 inserted in Gazette 6 Apr 1990 p. 1768</w:t>
      </w:r>
      <w:r>
        <w:noBreakHyphen/>
        <w:t>9; amended in Gazette 22 Aug 2006 p. 3467.]</w:t>
      </w:r>
    </w:p>
    <w:p>
      <w:pPr>
        <w:pStyle w:val="Heading3"/>
      </w:pPr>
      <w:bookmarkStart w:id="158" w:name="_Toc403656863"/>
      <w:bookmarkStart w:id="159" w:name="_Toc403720609"/>
      <w:bookmarkStart w:id="160" w:name="_Toc407629190"/>
      <w:bookmarkStart w:id="161" w:name="_Toc418677860"/>
      <w:bookmarkStart w:id="162" w:name="_Toc418677969"/>
      <w:bookmarkStart w:id="163" w:name="_Toc436646295"/>
      <w:bookmarkStart w:id="164" w:name="_Toc438113730"/>
      <w:bookmarkStart w:id="165" w:name="_Toc439166273"/>
      <w:bookmarkStart w:id="166" w:name="_Toc460853156"/>
      <w:r>
        <w:rPr>
          <w:rStyle w:val="CharDivNo"/>
        </w:rPr>
        <w:t>Division 6</w:t>
      </w:r>
      <w:r>
        <w:rPr>
          <w:snapToGrid w:val="0"/>
        </w:rPr>
        <w:t> — </w:t>
      </w:r>
      <w:r>
        <w:rPr>
          <w:rStyle w:val="CharDivText"/>
        </w:rPr>
        <w:t>Lotteries, etc.</w:t>
      </w:r>
      <w:bookmarkEnd w:id="158"/>
      <w:bookmarkEnd w:id="159"/>
      <w:bookmarkEnd w:id="160"/>
      <w:bookmarkEnd w:id="161"/>
      <w:bookmarkEnd w:id="162"/>
      <w:bookmarkEnd w:id="163"/>
      <w:bookmarkEnd w:id="164"/>
      <w:bookmarkEnd w:id="165"/>
      <w:bookmarkEnd w:id="166"/>
    </w:p>
    <w:p>
      <w:pPr>
        <w:pStyle w:val="Heading4"/>
        <w:spacing w:before="220"/>
        <w:rPr>
          <w:snapToGrid w:val="0"/>
        </w:rPr>
      </w:pPr>
      <w:bookmarkStart w:id="167" w:name="_Toc403656864"/>
      <w:bookmarkStart w:id="168" w:name="_Toc403720610"/>
      <w:bookmarkStart w:id="169" w:name="_Toc407629191"/>
      <w:bookmarkStart w:id="170" w:name="_Toc418677861"/>
      <w:bookmarkStart w:id="171" w:name="_Toc418677970"/>
      <w:bookmarkStart w:id="172" w:name="_Toc436646296"/>
      <w:bookmarkStart w:id="173" w:name="_Toc438113731"/>
      <w:bookmarkStart w:id="174" w:name="_Toc439166274"/>
      <w:bookmarkStart w:id="175" w:name="_Toc460853157"/>
      <w:r>
        <w:rPr>
          <w:snapToGrid w:val="0"/>
        </w:rPr>
        <w:t>Subdivision 1 — Standard lotteries</w:t>
      </w:r>
      <w:bookmarkEnd w:id="167"/>
      <w:bookmarkEnd w:id="168"/>
      <w:bookmarkEnd w:id="169"/>
      <w:bookmarkEnd w:id="170"/>
      <w:bookmarkEnd w:id="171"/>
      <w:bookmarkEnd w:id="172"/>
      <w:bookmarkEnd w:id="173"/>
      <w:bookmarkEnd w:id="174"/>
      <w:bookmarkEnd w:id="175"/>
    </w:p>
    <w:p>
      <w:pPr>
        <w:pStyle w:val="Footnoteheading"/>
      </w:pPr>
      <w:r>
        <w:tab/>
        <w:t>[Heading amended in Gazette 6 Sep 2016 p. 3833.]</w:t>
      </w:r>
    </w:p>
    <w:p>
      <w:pPr>
        <w:pStyle w:val="Heading5"/>
        <w:rPr>
          <w:snapToGrid w:val="0"/>
        </w:rPr>
      </w:pPr>
      <w:bookmarkStart w:id="176" w:name="_Toc407629192"/>
      <w:bookmarkStart w:id="177" w:name="_Toc460853158"/>
      <w:r>
        <w:rPr>
          <w:rStyle w:val="CharSectno"/>
        </w:rPr>
        <w:t>27</w:t>
      </w:r>
      <w:r>
        <w:rPr>
          <w:snapToGrid w:val="0"/>
        </w:rPr>
        <w:t>.</w:t>
      </w:r>
      <w:r>
        <w:rPr>
          <w:snapToGrid w:val="0"/>
        </w:rPr>
        <w:tab/>
        <w:t>Rules for conducting standard lottery</w:t>
      </w:r>
      <w:bookmarkEnd w:id="176"/>
      <w:bookmarkEnd w:id="177"/>
    </w:p>
    <w:p>
      <w:pPr>
        <w:pStyle w:val="Subsection"/>
        <w:spacing w:before="140"/>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178" w:name="_Toc407629193"/>
      <w:bookmarkStart w:id="179" w:name="_Toc460853159"/>
      <w:r>
        <w:rPr>
          <w:rStyle w:val="CharSectno"/>
        </w:rPr>
        <w:t>28</w:t>
      </w:r>
      <w:r>
        <w:rPr>
          <w:snapToGrid w:val="0"/>
        </w:rPr>
        <w:t>.</w:t>
      </w:r>
      <w:r>
        <w:rPr>
          <w:snapToGrid w:val="0"/>
        </w:rPr>
        <w:tab/>
        <w:t>Conditions relating to standard lottery</w:t>
      </w:r>
      <w:bookmarkEnd w:id="178"/>
      <w:bookmarkEnd w:id="179"/>
    </w:p>
    <w:p>
      <w:pPr>
        <w:pStyle w:val="Subsection"/>
        <w:spacing w:before="140"/>
        <w:rPr>
          <w:snapToGrid w:val="0"/>
        </w:rPr>
      </w:pPr>
      <w:r>
        <w:rPr>
          <w:snapToGrid w:val="0"/>
        </w:rPr>
        <w:tab/>
      </w:r>
      <w:r>
        <w:rPr>
          <w:snapToGrid w:val="0"/>
        </w:rPr>
        <w:tab/>
        <w:t>A permit for a standard lottery shall contain conditions limiting —</w:t>
      </w:r>
    </w:p>
    <w:p>
      <w:pPr>
        <w:pStyle w:val="Indenta"/>
        <w:spacing w:before="60"/>
        <w:rPr>
          <w:snapToGrid w:val="0"/>
        </w:rPr>
      </w:pPr>
      <w:r>
        <w:rPr>
          <w:snapToGrid w:val="0"/>
        </w:rPr>
        <w:tab/>
        <w:t>(a)</w:t>
      </w:r>
      <w:r>
        <w:rPr>
          <w:snapToGrid w:val="0"/>
        </w:rPr>
        <w:tab/>
        <w:t>the total number of —</w:t>
      </w:r>
    </w:p>
    <w:p>
      <w:pPr>
        <w:pStyle w:val="Indenti"/>
        <w:spacing w:before="60"/>
        <w:rPr>
          <w:snapToGrid w:val="0"/>
        </w:rPr>
      </w:pPr>
      <w:r>
        <w:rPr>
          <w:snapToGrid w:val="0"/>
        </w:rPr>
        <w:tab/>
        <w:t>(i)</w:t>
      </w:r>
      <w:r>
        <w:rPr>
          <w:snapToGrid w:val="0"/>
        </w:rPr>
        <w:tab/>
        <w:t>chances which may be offered for sale; or</w:t>
      </w:r>
    </w:p>
    <w:p>
      <w:pPr>
        <w:pStyle w:val="Indenti"/>
        <w:spacing w:before="60"/>
        <w:rPr>
          <w:snapToGrid w:val="0"/>
        </w:rPr>
      </w:pPr>
      <w:r>
        <w:rPr>
          <w:snapToGrid w:val="0"/>
        </w:rPr>
        <w:tab/>
        <w:t>(ii)</w:t>
      </w:r>
      <w:r>
        <w:rPr>
          <w:snapToGrid w:val="0"/>
        </w:rPr>
        <w:tab/>
        <w:t>subscriptions which may be received;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price of each chance or subscription; and</w:t>
      </w:r>
    </w:p>
    <w:p>
      <w:pPr>
        <w:pStyle w:val="Indenta"/>
        <w:spacing w:before="60"/>
        <w:rPr>
          <w:snapToGrid w:val="0"/>
        </w:rPr>
      </w:pPr>
      <w:r>
        <w:rPr>
          <w:snapToGrid w:val="0"/>
        </w:rPr>
        <w:tab/>
        <w:t>(c)</w:t>
      </w:r>
      <w:r>
        <w:rPr>
          <w:snapToGrid w:val="0"/>
        </w:rPr>
        <w:tab/>
        <w:t>the dates between which chances may be sold or subscriptions called; and</w:t>
      </w:r>
    </w:p>
    <w:p>
      <w:pPr>
        <w:pStyle w:val="Indenta"/>
        <w:spacing w:before="60"/>
        <w:rPr>
          <w:snapToGrid w:val="0"/>
        </w:rPr>
      </w:pPr>
      <w:r>
        <w:rPr>
          <w:snapToGrid w:val="0"/>
        </w:rPr>
        <w:tab/>
        <w:t>(d)</w:t>
      </w:r>
      <w:r>
        <w:rPr>
          <w:snapToGrid w:val="0"/>
        </w:rPr>
        <w:tab/>
        <w:t>the maximum retail value of prizes or amount of prize money which may be distributed and offered.</w:t>
      </w:r>
    </w:p>
    <w:p>
      <w:pPr>
        <w:pStyle w:val="Footnotesection"/>
        <w:spacing w:before="100"/>
      </w:pPr>
      <w:r>
        <w:tab/>
        <w:t>[Regulation 28 amended in Gazette 11 May 1993 p. 2397.]</w:t>
      </w:r>
    </w:p>
    <w:p>
      <w:pPr>
        <w:pStyle w:val="Ednotesection"/>
      </w:pPr>
      <w:r>
        <w:t>[</w:t>
      </w:r>
      <w:r>
        <w:rPr>
          <w:b/>
        </w:rPr>
        <w:t>28A, 28B.</w:t>
      </w:r>
      <w:r>
        <w:tab/>
        <w:t>Deleted in Gazette 6 Jul 1993 p. 3312.]</w:t>
      </w:r>
    </w:p>
    <w:p>
      <w:pPr>
        <w:pStyle w:val="Heading5"/>
        <w:rPr>
          <w:snapToGrid w:val="0"/>
        </w:rPr>
      </w:pPr>
      <w:bookmarkStart w:id="180" w:name="_Toc407629194"/>
      <w:bookmarkStart w:id="181" w:name="_Toc460853160"/>
      <w:r>
        <w:rPr>
          <w:rStyle w:val="CharSectno"/>
        </w:rPr>
        <w:t>28C</w:t>
      </w:r>
      <w:r>
        <w:rPr>
          <w:snapToGrid w:val="0"/>
        </w:rPr>
        <w:t>.</w:t>
      </w:r>
      <w:r>
        <w:rPr>
          <w:snapToGrid w:val="0"/>
        </w:rPr>
        <w:tab/>
        <w:t>Lottery tickets etc. not to be sent etc. to persons for sale etc. without their consent</w:t>
      </w:r>
      <w:bookmarkEnd w:id="180"/>
      <w:bookmarkEnd w:id="181"/>
      <w:r>
        <w:rPr>
          <w:snapToGrid w:val="0"/>
        </w:rPr>
        <w:t xml:space="preserve"> </w:t>
      </w:r>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in Gazette 11 May 1993 p. 2398.]</w:t>
      </w:r>
    </w:p>
    <w:p>
      <w:pPr>
        <w:pStyle w:val="Heading5"/>
        <w:rPr>
          <w:snapToGrid w:val="0"/>
        </w:rPr>
      </w:pPr>
      <w:bookmarkStart w:id="182" w:name="_Toc407629195"/>
      <w:bookmarkStart w:id="183" w:name="_Toc460853161"/>
      <w:r>
        <w:rPr>
          <w:rStyle w:val="CharSectno"/>
        </w:rPr>
        <w:t>29</w:t>
      </w:r>
      <w:r>
        <w:rPr>
          <w:snapToGrid w:val="0"/>
        </w:rPr>
        <w:t>.</w:t>
      </w:r>
      <w:r>
        <w:rPr>
          <w:snapToGrid w:val="0"/>
        </w:rPr>
        <w:tab/>
        <w:t>When standard lottery must be drawn</w:t>
      </w:r>
      <w:bookmarkEnd w:id="182"/>
      <w:bookmarkEnd w:id="183"/>
    </w:p>
    <w:p>
      <w:pPr>
        <w:pStyle w:val="Subsection"/>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spacing w:before="100"/>
      </w:pPr>
      <w:r>
        <w:tab/>
        <w:t>[Regulation 29 inserted in Gazette 11 May 1993 p. 2398; amended in Gazette 23 Feb 1996 p. 674.]</w:t>
      </w:r>
    </w:p>
    <w:p>
      <w:pPr>
        <w:pStyle w:val="Heading5"/>
        <w:rPr>
          <w:snapToGrid w:val="0"/>
        </w:rPr>
      </w:pPr>
      <w:bookmarkStart w:id="184" w:name="_Toc407629196"/>
      <w:bookmarkStart w:id="185" w:name="_Toc460853162"/>
      <w:r>
        <w:rPr>
          <w:rStyle w:val="CharSectno"/>
        </w:rPr>
        <w:t>30</w:t>
      </w:r>
      <w:r>
        <w:rPr>
          <w:snapToGrid w:val="0"/>
        </w:rPr>
        <w:t>.</w:t>
      </w:r>
      <w:r>
        <w:rPr>
          <w:snapToGrid w:val="0"/>
        </w:rPr>
        <w:tab/>
        <w:t>Unclaimed prizes in standard lotteries</w:t>
      </w:r>
      <w:bookmarkEnd w:id="184"/>
      <w:bookmarkEnd w:id="185"/>
    </w:p>
    <w:p>
      <w:pPr>
        <w:pStyle w:val="Subsection"/>
        <w:rPr>
          <w:snapToGrid w:val="0"/>
        </w:rPr>
      </w:pPr>
      <w:r>
        <w:rPr>
          <w:snapToGrid w:val="0"/>
        </w:rPr>
        <w:tab/>
        <w:t>(1)</w:t>
      </w:r>
      <w:r>
        <w:rPr>
          <w:snapToGrid w:val="0"/>
        </w:rPr>
        <w:tab/>
        <w:t>Where any prize in a standard lottery is not claimed within one year of the date of drawing the permit holder shall furnish to the Commission in writing —</w:t>
      </w:r>
    </w:p>
    <w:p>
      <w:pPr>
        <w:pStyle w:val="Indenta"/>
        <w:rPr>
          <w:snapToGrid w:val="0"/>
        </w:rPr>
      </w:pPr>
      <w:r>
        <w:rPr>
          <w:snapToGrid w:val="0"/>
        </w:rPr>
        <w:tab/>
        <w:t>(a)</w:t>
      </w:r>
      <w:r>
        <w:rPr>
          <w:snapToGrid w:val="0"/>
        </w:rPr>
        <w:tab/>
        <w:t>the name, and any known address, of the prize winner; and</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rPr>
          <w:snapToGrid w:val="0"/>
        </w:rPr>
      </w:pPr>
      <w:r>
        <w:rPr>
          <w:snapToGrid w:val="0"/>
        </w:rPr>
        <w:tab/>
        <w:t>(2)</w:t>
      </w:r>
      <w:r>
        <w:rPr>
          <w:snapToGrid w:val="0"/>
        </w:rPr>
        <w:tab/>
        <w:t>The Commission may give directions to the permit holder to take specific further steps to locate the prize winner.</w:t>
      </w:r>
    </w:p>
    <w:p>
      <w:pPr>
        <w:pStyle w:val="Subsection"/>
        <w:keepNext/>
        <w:keepLines/>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186" w:name="_Toc407629197"/>
      <w:bookmarkStart w:id="187" w:name="_Toc460853163"/>
      <w:r>
        <w:rPr>
          <w:rStyle w:val="CharSectno"/>
        </w:rPr>
        <w:t>30A</w:t>
      </w:r>
      <w:r>
        <w:rPr>
          <w:snapToGrid w:val="0"/>
        </w:rPr>
        <w:t>.</w:t>
      </w:r>
      <w:r>
        <w:rPr>
          <w:snapToGrid w:val="0"/>
        </w:rPr>
        <w:tab/>
        <w:t>Prizes from donor organizations</w:t>
      </w:r>
      <w:bookmarkEnd w:id="186"/>
      <w:bookmarkEnd w:id="187"/>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in Gazette 27 Sep 1991 p. 5069.]</w:t>
      </w:r>
    </w:p>
    <w:p>
      <w:pPr>
        <w:pStyle w:val="Heading5"/>
        <w:rPr>
          <w:snapToGrid w:val="0"/>
        </w:rPr>
      </w:pPr>
      <w:bookmarkStart w:id="188" w:name="_Toc407629198"/>
      <w:bookmarkStart w:id="189" w:name="_Toc460853164"/>
      <w:r>
        <w:rPr>
          <w:rStyle w:val="CharSectno"/>
        </w:rPr>
        <w:t>30B</w:t>
      </w:r>
      <w:r>
        <w:rPr>
          <w:snapToGrid w:val="0"/>
        </w:rPr>
        <w:t>.</w:t>
      </w:r>
      <w:r>
        <w:rPr>
          <w:snapToGrid w:val="0"/>
        </w:rPr>
        <w:tab/>
        <w:t>Body not to buy ticket etc. in its own lottery</w:t>
      </w:r>
      <w:bookmarkEnd w:id="188"/>
      <w:bookmarkEnd w:id="189"/>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keepLines/>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in Gazette 11 May 1993 p. 2398.]</w:t>
      </w:r>
    </w:p>
    <w:p>
      <w:pPr>
        <w:pStyle w:val="Heading5"/>
        <w:rPr>
          <w:snapToGrid w:val="0"/>
        </w:rPr>
      </w:pPr>
      <w:bookmarkStart w:id="190" w:name="_Toc407629199"/>
      <w:bookmarkStart w:id="191" w:name="_Toc460853165"/>
      <w:r>
        <w:rPr>
          <w:rStyle w:val="CharSectno"/>
        </w:rPr>
        <w:t>31</w:t>
      </w:r>
      <w:r>
        <w:rPr>
          <w:snapToGrid w:val="0"/>
        </w:rPr>
        <w:t>.</w:t>
      </w:r>
      <w:r>
        <w:rPr>
          <w:snapToGrid w:val="0"/>
        </w:rPr>
        <w:tab/>
        <w:t>Small private lotteries (Act s. 103)</w:t>
      </w:r>
      <w:bookmarkEnd w:id="190"/>
      <w:bookmarkEnd w:id="191"/>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in Gazette 16 May 1997 p. 2393; 22 Aug 2006 p. 3467</w:t>
      </w:r>
      <w:r>
        <w:noBreakHyphen/>
        <w:t>8.]</w:t>
      </w:r>
    </w:p>
    <w:p>
      <w:pPr>
        <w:pStyle w:val="Heading4"/>
        <w:rPr>
          <w:snapToGrid w:val="0"/>
        </w:rPr>
      </w:pPr>
      <w:bookmarkStart w:id="192" w:name="_Toc403656873"/>
      <w:bookmarkStart w:id="193" w:name="_Toc403720619"/>
      <w:bookmarkStart w:id="194" w:name="_Toc407629200"/>
      <w:bookmarkStart w:id="195" w:name="_Toc418677870"/>
      <w:bookmarkStart w:id="196" w:name="_Toc418677979"/>
      <w:bookmarkStart w:id="197" w:name="_Toc436646305"/>
      <w:bookmarkStart w:id="198" w:name="_Toc438113740"/>
      <w:bookmarkStart w:id="199" w:name="_Toc439166283"/>
      <w:bookmarkStart w:id="200" w:name="_Toc460853166"/>
      <w:r>
        <w:rPr>
          <w:snapToGrid w:val="0"/>
        </w:rPr>
        <w:t>Subdivision 2 — Continuing lotteries</w:t>
      </w:r>
      <w:bookmarkEnd w:id="192"/>
      <w:bookmarkEnd w:id="193"/>
      <w:bookmarkEnd w:id="194"/>
      <w:bookmarkEnd w:id="195"/>
      <w:bookmarkEnd w:id="196"/>
      <w:bookmarkEnd w:id="197"/>
      <w:bookmarkEnd w:id="198"/>
      <w:bookmarkEnd w:id="199"/>
      <w:bookmarkEnd w:id="200"/>
    </w:p>
    <w:p>
      <w:pPr>
        <w:pStyle w:val="Footnoteheading"/>
      </w:pPr>
      <w:r>
        <w:tab/>
        <w:t>[Heading amended in Gazette 6 Sep 2016 p. 3833.]</w:t>
      </w:r>
    </w:p>
    <w:p>
      <w:pPr>
        <w:pStyle w:val="Heading5"/>
        <w:rPr>
          <w:snapToGrid w:val="0"/>
        </w:rPr>
      </w:pPr>
      <w:bookmarkStart w:id="201" w:name="_Toc407629201"/>
      <w:bookmarkStart w:id="202" w:name="_Toc460853167"/>
      <w:r>
        <w:rPr>
          <w:rStyle w:val="CharSectno"/>
        </w:rPr>
        <w:t>32</w:t>
      </w:r>
      <w:r>
        <w:rPr>
          <w:snapToGrid w:val="0"/>
        </w:rPr>
        <w:t>.</w:t>
      </w:r>
      <w:r>
        <w:rPr>
          <w:snapToGrid w:val="0"/>
        </w:rPr>
        <w:tab/>
        <w:t>Rules for conducting continuing lotteries</w:t>
      </w:r>
      <w:bookmarkEnd w:id="201"/>
      <w:bookmarkEnd w:id="202"/>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203" w:name="_Toc407629202"/>
      <w:bookmarkStart w:id="204" w:name="_Toc460853168"/>
      <w:r>
        <w:rPr>
          <w:rStyle w:val="CharSectno"/>
        </w:rPr>
        <w:t>33</w:t>
      </w:r>
      <w:r>
        <w:rPr>
          <w:snapToGrid w:val="0"/>
        </w:rPr>
        <w:t>.</w:t>
      </w:r>
      <w:r>
        <w:rPr>
          <w:snapToGrid w:val="0"/>
        </w:rPr>
        <w:tab/>
        <w:t>Conditions relating to continuing lottery</w:t>
      </w:r>
      <w:bookmarkEnd w:id="203"/>
      <w:bookmarkEnd w:id="204"/>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 and</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keepNext/>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that all tickets offered for sale in that lottery are obtained from a person who is a licensed</w:t>
      </w:r>
      <w:r>
        <w:t xml:space="preserve"> supplier; and</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Footnotesection"/>
      </w:pPr>
      <w:bookmarkStart w:id="205" w:name="_Toc407629203"/>
      <w:r>
        <w:tab/>
        <w:t>[Regulation 33 amended in Gazette 1 Dec 2015 p. 4824.]</w:t>
      </w:r>
    </w:p>
    <w:p>
      <w:pPr>
        <w:pStyle w:val="Heading5"/>
        <w:rPr>
          <w:snapToGrid w:val="0"/>
        </w:rPr>
      </w:pPr>
      <w:bookmarkStart w:id="206" w:name="_Toc460853169"/>
      <w:r>
        <w:rPr>
          <w:rStyle w:val="CharSectno"/>
        </w:rPr>
        <w:t>34</w:t>
      </w:r>
      <w:r>
        <w:rPr>
          <w:snapToGrid w:val="0"/>
        </w:rPr>
        <w:t>.</w:t>
      </w:r>
      <w:r>
        <w:rPr>
          <w:snapToGrid w:val="0"/>
        </w:rPr>
        <w:tab/>
        <w:t>Vending machines for continuing lotteries, location of and conditions as to (Act s. 105(2))</w:t>
      </w:r>
      <w:bookmarkEnd w:id="205"/>
      <w:bookmarkEnd w:id="206"/>
    </w:p>
    <w:p>
      <w:pPr>
        <w:pStyle w:val="Subsection"/>
      </w:pPr>
      <w:r>
        <w:tab/>
        <w:t>(1)</w:t>
      </w:r>
      <w:r>
        <w:tab/>
        <w:t>For the purposes of section 105(2), the following premises are premises of a prescribed kind —</w:t>
      </w:r>
    </w:p>
    <w:p>
      <w:pPr>
        <w:pStyle w:val="Indenta"/>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207" w:name="_Toc407629204"/>
      <w:bookmarkStart w:id="208" w:name="_Toc460853170"/>
      <w:r>
        <w:rPr>
          <w:rStyle w:val="CharSectno"/>
        </w:rPr>
        <w:t>35</w:t>
      </w:r>
      <w:r>
        <w:rPr>
          <w:snapToGrid w:val="0"/>
        </w:rPr>
        <w:t>.</w:t>
      </w:r>
      <w:r>
        <w:rPr>
          <w:snapToGrid w:val="0"/>
        </w:rPr>
        <w:tab/>
        <w:t>Accounts etc. of continuing lottery to be available for inspection</w:t>
      </w:r>
      <w:bookmarkEnd w:id="207"/>
      <w:bookmarkEnd w:id="208"/>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in Gazette 16 May 1997 p. 2393.]</w:t>
      </w:r>
    </w:p>
    <w:p>
      <w:pPr>
        <w:pStyle w:val="Heading5"/>
        <w:rPr>
          <w:snapToGrid w:val="0"/>
        </w:rPr>
      </w:pPr>
      <w:bookmarkStart w:id="209" w:name="_Toc407629205"/>
      <w:bookmarkStart w:id="210" w:name="_Toc460853171"/>
      <w:r>
        <w:rPr>
          <w:rStyle w:val="CharSectno"/>
        </w:rPr>
        <w:t>36</w:t>
      </w:r>
      <w:r>
        <w:rPr>
          <w:snapToGrid w:val="0"/>
        </w:rPr>
        <w:t>.</w:t>
      </w:r>
      <w:r>
        <w:rPr>
          <w:snapToGrid w:val="0"/>
        </w:rPr>
        <w:tab/>
        <w:t>Distribution of benefit</w:t>
      </w:r>
      <w:bookmarkEnd w:id="209"/>
      <w:bookmarkEnd w:id="210"/>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pPr>
      <w:bookmarkStart w:id="211" w:name="_Toc460853172"/>
      <w:bookmarkStart w:id="212" w:name="_Toc403656879"/>
      <w:bookmarkStart w:id="213" w:name="_Toc403720625"/>
      <w:bookmarkStart w:id="214" w:name="_Toc407629206"/>
      <w:bookmarkStart w:id="215" w:name="_Toc418677876"/>
      <w:bookmarkStart w:id="216" w:name="_Toc418677985"/>
      <w:bookmarkStart w:id="217" w:name="_Toc436646311"/>
      <w:bookmarkStart w:id="218" w:name="_Toc438113746"/>
      <w:bookmarkStart w:id="219" w:name="_Toc439166289"/>
      <w:r>
        <w:t>Subdivision 3 — Trade promotion lotteries</w:t>
      </w:r>
      <w:bookmarkEnd w:id="211"/>
    </w:p>
    <w:p>
      <w:pPr>
        <w:pStyle w:val="Footnoteheading"/>
      </w:pPr>
      <w:r>
        <w:tab/>
        <w:t>[Heading inserted in Gazette 6 Sep 2016 p. 3831.]</w:t>
      </w:r>
    </w:p>
    <w:p>
      <w:pPr>
        <w:pStyle w:val="Heading5"/>
      </w:pPr>
      <w:bookmarkStart w:id="220" w:name="_Toc460853173"/>
      <w:r>
        <w:rPr>
          <w:rStyle w:val="CharSectno"/>
        </w:rPr>
        <w:t>36A</w:t>
      </w:r>
      <w:r>
        <w:t>.</w:t>
      </w:r>
      <w:r>
        <w:tab/>
        <w:t>Prescribed conditions for trade promotion lottery (Act s. 102)</w:t>
      </w:r>
      <w:bookmarkEnd w:id="220"/>
    </w:p>
    <w:p>
      <w:pPr>
        <w:pStyle w:val="Subsection"/>
      </w:pPr>
      <w:r>
        <w:tab/>
        <w:t>(1)</w:t>
      </w:r>
      <w:r>
        <w:tab/>
        <w:t>For the purposes of section 102 of the Act, the conditions specified in Schedule 5 are prescribed for a trade promotion lottery.</w:t>
      </w:r>
    </w:p>
    <w:p>
      <w:pPr>
        <w:pStyle w:val="Subsection"/>
      </w:pPr>
      <w:r>
        <w:tab/>
        <w:t>(2)</w:t>
      </w:r>
      <w:r>
        <w:tab/>
        <w:t xml:space="preserve">In Schedule 5 — </w:t>
      </w:r>
    </w:p>
    <w:p>
      <w:pPr>
        <w:pStyle w:val="Defstart"/>
      </w:pPr>
      <w:r>
        <w:tab/>
      </w:r>
      <w:r>
        <w:rPr>
          <w:rStyle w:val="CharDefText"/>
        </w:rPr>
        <w:t>lottery terms and conditions</w:t>
      </w:r>
      <w:r>
        <w:t>, in relation to a trade promotion lottery, means the terms and conditions applying to the conduct of the lottery including the terms and conditions of entry.</w:t>
      </w:r>
    </w:p>
    <w:p>
      <w:pPr>
        <w:pStyle w:val="Footnotesection"/>
      </w:pPr>
      <w:r>
        <w:tab/>
        <w:t>[Regulation 36A inserted in Gazette 6 Sep 2016 p. 3831-2.]</w:t>
      </w:r>
    </w:p>
    <w:p>
      <w:pPr>
        <w:pStyle w:val="Heading4"/>
        <w:rPr>
          <w:snapToGrid w:val="0"/>
        </w:rPr>
      </w:pPr>
      <w:bookmarkStart w:id="221" w:name="_Toc460853174"/>
      <w:r>
        <w:rPr>
          <w:snapToGrid w:val="0"/>
        </w:rPr>
        <w:t>Subdivision 4 — Lotteries generally</w:t>
      </w:r>
      <w:bookmarkEnd w:id="212"/>
      <w:bookmarkEnd w:id="213"/>
      <w:bookmarkEnd w:id="214"/>
      <w:bookmarkEnd w:id="215"/>
      <w:bookmarkEnd w:id="216"/>
      <w:bookmarkEnd w:id="217"/>
      <w:bookmarkEnd w:id="218"/>
      <w:bookmarkEnd w:id="219"/>
      <w:bookmarkEnd w:id="221"/>
    </w:p>
    <w:p>
      <w:pPr>
        <w:pStyle w:val="Footnoteheading"/>
      </w:pPr>
      <w:r>
        <w:tab/>
        <w:t>[Heading amended in Gazette 6 Sep 2016 p. 3833.]</w:t>
      </w:r>
    </w:p>
    <w:p>
      <w:pPr>
        <w:pStyle w:val="Heading5"/>
        <w:rPr>
          <w:snapToGrid w:val="0"/>
        </w:rPr>
      </w:pPr>
      <w:bookmarkStart w:id="222" w:name="_Toc407629207"/>
      <w:bookmarkStart w:id="223" w:name="_Toc460853175"/>
      <w:r>
        <w:rPr>
          <w:rStyle w:val="CharSectno"/>
        </w:rPr>
        <w:t>37</w:t>
      </w:r>
      <w:r>
        <w:rPr>
          <w:snapToGrid w:val="0"/>
        </w:rPr>
        <w:t>.</w:t>
      </w:r>
      <w:r>
        <w:rPr>
          <w:snapToGrid w:val="0"/>
        </w:rPr>
        <w:tab/>
        <w:t>Account book, form of (Act s. 104(3)(a))</w:t>
      </w:r>
      <w:bookmarkEnd w:id="222"/>
      <w:bookmarkEnd w:id="223"/>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spacing w:before="70"/>
        <w:rPr>
          <w:snapToGrid w:val="0"/>
        </w:rPr>
      </w:pPr>
      <w:r>
        <w:rPr>
          <w:snapToGrid w:val="0"/>
        </w:rPr>
        <w:tab/>
        <w:t>(a)</w:t>
      </w:r>
      <w:r>
        <w:rPr>
          <w:snapToGrid w:val="0"/>
        </w:rPr>
        <w:tab/>
        <w:t>from what sources property or moneys are received in connection with the lottery, and the nature and value of each item; and</w:t>
      </w:r>
    </w:p>
    <w:p>
      <w:pPr>
        <w:pStyle w:val="Indenta"/>
        <w:spacing w:before="70"/>
        <w:rPr>
          <w:snapToGrid w:val="0"/>
        </w:rPr>
      </w:pPr>
      <w:r>
        <w:rPr>
          <w:snapToGrid w:val="0"/>
        </w:rPr>
        <w:tab/>
        <w:t>(b)</w:t>
      </w:r>
      <w:r>
        <w:rPr>
          <w:snapToGrid w:val="0"/>
        </w:rPr>
        <w:tab/>
        <w:t>the retail value placed on any prize other than a monetary prize; and</w:t>
      </w:r>
    </w:p>
    <w:p>
      <w:pPr>
        <w:pStyle w:val="Indenta"/>
        <w:spacing w:before="70"/>
        <w:rPr>
          <w:snapToGrid w:val="0"/>
        </w:rPr>
      </w:pPr>
      <w:r>
        <w:rPr>
          <w:snapToGrid w:val="0"/>
        </w:rPr>
        <w:tab/>
        <w:t>(c)</w:t>
      </w:r>
      <w:r>
        <w:rPr>
          <w:snapToGrid w:val="0"/>
        </w:rPr>
        <w:tab/>
        <w:t>the nature and purpose of all outgoings, the amount or item disbursed and the recipient; and</w:t>
      </w:r>
    </w:p>
    <w:p>
      <w:pPr>
        <w:pStyle w:val="Indenta"/>
        <w:spacing w:before="70"/>
        <w:rPr>
          <w:snapToGrid w:val="0"/>
        </w:rPr>
      </w:pPr>
      <w:r>
        <w:rPr>
          <w:snapToGrid w:val="0"/>
        </w:rPr>
        <w:tab/>
        <w:t>(d)</w:t>
      </w:r>
      <w:r>
        <w:rPr>
          <w:snapToGrid w:val="0"/>
        </w:rPr>
        <w:tab/>
        <w:t>if the Commission requires, the persons authorised to sell tickets or chances or to receive subscriptions and the nature and extent of that authorisation; and</w:t>
      </w:r>
    </w:p>
    <w:p>
      <w:pPr>
        <w:pStyle w:val="Indenta"/>
        <w:spacing w:before="70"/>
        <w:rPr>
          <w:snapToGrid w:val="0"/>
        </w:rPr>
      </w:pPr>
      <w:r>
        <w:rPr>
          <w:snapToGrid w:val="0"/>
        </w:rPr>
        <w:tab/>
        <w:t>(e)</w:t>
      </w:r>
      <w:r>
        <w:rPr>
          <w:snapToGrid w:val="0"/>
        </w:rPr>
        <w:tab/>
        <w:t>the manner in which the prizes were distributed, and the recipients; and</w:t>
      </w:r>
    </w:p>
    <w:p>
      <w:pPr>
        <w:pStyle w:val="Indenta"/>
        <w:spacing w:before="70"/>
        <w:rPr>
          <w:snapToGrid w:val="0"/>
        </w:rPr>
      </w:pPr>
      <w:r>
        <w:rPr>
          <w:snapToGrid w:val="0"/>
        </w:rPr>
        <w:tab/>
        <w:t>(f)</w:t>
      </w:r>
      <w:r>
        <w:rPr>
          <w:snapToGrid w:val="0"/>
        </w:rPr>
        <w:tab/>
        <w:t>the manner in and the purposes for which proceeds were distributed, the amounts or items disbursed for each purpose and the recipients; and</w:t>
      </w:r>
    </w:p>
    <w:p>
      <w:pPr>
        <w:pStyle w:val="Indenta"/>
        <w:spacing w:before="70"/>
        <w:rPr>
          <w:snapToGrid w:val="0"/>
        </w:rPr>
      </w:pPr>
      <w:r>
        <w:rPr>
          <w:snapToGrid w:val="0"/>
        </w:rPr>
        <w:tab/>
        <w:t>(g)</w:t>
      </w:r>
      <w:r>
        <w:rPr>
          <w:snapToGrid w:val="0"/>
        </w:rPr>
        <w:tab/>
        <w:t>any unclaimed prizes or moneys; and</w:t>
      </w:r>
    </w:p>
    <w:p>
      <w:pPr>
        <w:pStyle w:val="Indenta"/>
        <w:keepNext/>
        <w:spacing w:before="70"/>
        <w:rPr>
          <w:snapToGrid w:val="0"/>
        </w:rPr>
      </w:pPr>
      <w:r>
        <w:rPr>
          <w:snapToGrid w:val="0"/>
        </w:rPr>
        <w:tab/>
        <w:t>(h)</w:t>
      </w:r>
      <w:r>
        <w:rPr>
          <w:snapToGrid w:val="0"/>
        </w:rPr>
        <w:tab/>
        <w:t>whether any and what property or moneys remain,</w:t>
      </w:r>
    </w:p>
    <w:p>
      <w:pPr>
        <w:pStyle w:val="Subsection"/>
        <w:spacing w:before="120"/>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224" w:name="_Toc407629208"/>
      <w:bookmarkStart w:id="225" w:name="_Toc460853176"/>
      <w:r>
        <w:rPr>
          <w:rStyle w:val="CharSectno"/>
        </w:rPr>
        <w:t>38</w:t>
      </w:r>
      <w:r>
        <w:rPr>
          <w:snapToGrid w:val="0"/>
        </w:rPr>
        <w:t>.</w:t>
      </w:r>
      <w:r>
        <w:rPr>
          <w:snapToGrid w:val="0"/>
        </w:rPr>
        <w:tab/>
        <w:t>Prohibition as to private gain etc.</w:t>
      </w:r>
      <w:bookmarkEnd w:id="224"/>
      <w:bookmarkEnd w:id="225"/>
    </w:p>
    <w:p>
      <w:pPr>
        <w:pStyle w:val="Subsection"/>
        <w:rPr>
          <w:snapToGrid w:val="0"/>
        </w:rPr>
      </w:pPr>
      <w:r>
        <w:rPr>
          <w:snapToGrid w:val="0"/>
        </w:rPr>
        <w:tab/>
      </w:r>
      <w:r>
        <w:rPr>
          <w:snapToGrid w:val="0"/>
        </w:rPr>
        <w:tab/>
        <w:t>Every permit relating to a lottery is issued subject to the conditions that —</w:t>
      </w:r>
    </w:p>
    <w:p>
      <w:pPr>
        <w:pStyle w:val="Indenta"/>
        <w:spacing w:before="70"/>
        <w:rPr>
          <w:snapToGrid w:val="0"/>
        </w:rPr>
      </w:pPr>
      <w:r>
        <w:rPr>
          <w:snapToGrid w:val="0"/>
        </w:rPr>
        <w:tab/>
        <w:t>(a)</w:t>
      </w:r>
      <w:r>
        <w:rPr>
          <w:snapToGrid w:val="0"/>
        </w:rPr>
        <w:tab/>
        <w:t>no part of any property or money donated for the purposes of the lottery is to be used for any other purpose; and</w:t>
      </w:r>
    </w:p>
    <w:p>
      <w:pPr>
        <w:pStyle w:val="Indenta"/>
        <w:spacing w:before="70"/>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226" w:name="_Toc407629209"/>
      <w:bookmarkStart w:id="227" w:name="_Toc460853177"/>
      <w:r>
        <w:rPr>
          <w:rStyle w:val="CharSectno"/>
        </w:rPr>
        <w:t>38A</w:t>
      </w:r>
      <w:r>
        <w:rPr>
          <w:snapToGrid w:val="0"/>
        </w:rPr>
        <w:t>.</w:t>
      </w:r>
      <w:r>
        <w:rPr>
          <w:snapToGrid w:val="0"/>
        </w:rPr>
        <w:tab/>
        <w:t>Offences related to permitted lotteries</w:t>
      </w:r>
      <w:bookmarkEnd w:id="226"/>
      <w:bookmarkEnd w:id="227"/>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spacing w:before="40"/>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[Regulation 38A inserted in Gazette 11 May 1993 p. 2398.]</w:t>
      </w:r>
    </w:p>
    <w:p>
      <w:pPr>
        <w:pStyle w:val="Heading4"/>
        <w:rPr>
          <w:snapToGrid w:val="0"/>
        </w:rPr>
      </w:pPr>
      <w:bookmarkStart w:id="228" w:name="_Toc403656883"/>
      <w:bookmarkStart w:id="229" w:name="_Toc403720629"/>
      <w:bookmarkStart w:id="230" w:name="_Toc407629210"/>
      <w:bookmarkStart w:id="231" w:name="_Toc418677880"/>
      <w:bookmarkStart w:id="232" w:name="_Toc418677989"/>
      <w:bookmarkStart w:id="233" w:name="_Toc436646315"/>
      <w:bookmarkStart w:id="234" w:name="_Toc438113750"/>
      <w:bookmarkStart w:id="235" w:name="_Toc439166293"/>
      <w:bookmarkStart w:id="236" w:name="_Toc460853178"/>
      <w:r>
        <w:rPr>
          <w:snapToGrid w:val="0"/>
        </w:rPr>
        <w:t>Subdivision 5 — Amusements, etc.</w:t>
      </w:r>
      <w:bookmarkEnd w:id="228"/>
      <w:bookmarkEnd w:id="229"/>
      <w:bookmarkEnd w:id="230"/>
      <w:bookmarkEnd w:id="231"/>
      <w:bookmarkEnd w:id="232"/>
      <w:bookmarkEnd w:id="233"/>
      <w:bookmarkEnd w:id="234"/>
      <w:bookmarkEnd w:id="235"/>
      <w:bookmarkEnd w:id="236"/>
    </w:p>
    <w:p>
      <w:pPr>
        <w:pStyle w:val="Footnoteheading"/>
      </w:pPr>
      <w:r>
        <w:tab/>
        <w:t>[Heading amended in Gazette 6 Sep 2016 p. 3833.]</w:t>
      </w:r>
    </w:p>
    <w:p>
      <w:pPr>
        <w:pStyle w:val="Heading5"/>
        <w:rPr>
          <w:snapToGrid w:val="0"/>
        </w:rPr>
      </w:pPr>
      <w:bookmarkStart w:id="237" w:name="_Toc407629211"/>
      <w:bookmarkStart w:id="238" w:name="_Toc460853179"/>
      <w:r>
        <w:rPr>
          <w:rStyle w:val="CharSectno"/>
        </w:rPr>
        <w:t>39</w:t>
      </w:r>
      <w:r>
        <w:rPr>
          <w:snapToGrid w:val="0"/>
        </w:rPr>
        <w:t>.</w:t>
      </w:r>
      <w:r>
        <w:rPr>
          <w:snapToGrid w:val="0"/>
        </w:rPr>
        <w:tab/>
        <w:t>Amusements with prizes at agricultural shows etc., matters prescribed for (Act s. 107(4))</w:t>
      </w:r>
      <w:bookmarkEnd w:id="237"/>
      <w:bookmarkEnd w:id="238"/>
    </w:p>
    <w:p>
      <w:pPr>
        <w:pStyle w:val="Subsection"/>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the amount paid for a chance to win a prize shall not exceed $5; and</w:t>
      </w:r>
    </w:p>
    <w:p>
      <w:pPr>
        <w:pStyle w:val="Indenta"/>
        <w:rPr>
          <w:snapToGrid w:val="0"/>
        </w:rPr>
      </w:pPr>
      <w:r>
        <w:rPr>
          <w:snapToGrid w:val="0"/>
        </w:rPr>
        <w:tab/>
        <w:t>(b)</w:t>
      </w:r>
      <w:r>
        <w:rPr>
          <w:snapToGrid w:val="0"/>
        </w:rPr>
        <w:tab/>
        <w:t>no money prize shall be distributed or offered of an amount exceeding $50.</w:t>
      </w:r>
    </w:p>
    <w:p>
      <w:pPr>
        <w:pStyle w:val="Footnotesection"/>
      </w:pPr>
      <w:r>
        <w:tab/>
        <w:t>[Regulation 39 amended in Gazette 8 Feb 1991 p. 651.]</w:t>
      </w:r>
    </w:p>
    <w:p>
      <w:pPr>
        <w:pStyle w:val="Heading5"/>
        <w:rPr>
          <w:snapToGrid w:val="0"/>
        </w:rPr>
      </w:pPr>
      <w:bookmarkStart w:id="239" w:name="_Toc407629212"/>
      <w:bookmarkStart w:id="240" w:name="_Toc460853180"/>
      <w:r>
        <w:rPr>
          <w:rStyle w:val="CharSectno"/>
        </w:rPr>
        <w:t>39A</w:t>
      </w:r>
      <w:r>
        <w:rPr>
          <w:snapToGrid w:val="0"/>
        </w:rPr>
        <w:t>.</w:t>
      </w:r>
      <w:r>
        <w:rPr>
          <w:snapToGrid w:val="0"/>
        </w:rPr>
        <w:tab/>
        <w:t>Amusements with prizes at sporting events etc., matters prescribed for (Act s. 107(1))</w:t>
      </w:r>
      <w:bookmarkEnd w:id="239"/>
      <w:bookmarkEnd w:id="240"/>
    </w:p>
    <w:p>
      <w:pPr>
        <w:pStyle w:val="Subsection"/>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 or</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3.]</w:t>
      </w:r>
    </w:p>
    <w:p>
      <w:pPr>
        <w:pStyle w:val="Heading5"/>
        <w:rPr>
          <w:snapToGrid w:val="0"/>
        </w:rPr>
      </w:pPr>
      <w:bookmarkStart w:id="241" w:name="_Toc407629213"/>
      <w:bookmarkStart w:id="242" w:name="_Toc460853181"/>
      <w:r>
        <w:rPr>
          <w:rStyle w:val="CharSectno"/>
        </w:rPr>
        <w:t>40</w:t>
      </w:r>
      <w:r>
        <w:rPr>
          <w:snapToGrid w:val="0"/>
        </w:rPr>
        <w:t>.</w:t>
      </w:r>
      <w:r>
        <w:rPr>
          <w:snapToGrid w:val="0"/>
        </w:rPr>
        <w:tab/>
        <w:t>Minor fund raising activities (Act s. 108)</w:t>
      </w:r>
      <w:bookmarkEnd w:id="241"/>
      <w:bookmarkEnd w:id="242"/>
    </w:p>
    <w:p>
      <w:pPr>
        <w:pStyle w:val="Subsection"/>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pPr>
      <w:bookmarkStart w:id="243" w:name="_Toc407629214"/>
      <w:bookmarkStart w:id="244" w:name="_Toc460853182"/>
      <w:r>
        <w:rPr>
          <w:rStyle w:val="CharSectno"/>
        </w:rPr>
        <w:t>40A</w:t>
      </w:r>
      <w:r>
        <w:t>.</w:t>
      </w:r>
      <w:r>
        <w:tab/>
        <w:t>Football tipping competitions (Act s. 108)</w:t>
      </w:r>
      <w:bookmarkEnd w:id="243"/>
      <w:bookmarkEnd w:id="244"/>
    </w:p>
    <w:p>
      <w:pPr>
        <w:pStyle w:val="Subsection"/>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245" w:name="_Toc403656888"/>
      <w:bookmarkStart w:id="246" w:name="_Toc403720634"/>
      <w:bookmarkStart w:id="247" w:name="_Toc407629215"/>
      <w:bookmarkStart w:id="248" w:name="_Toc418677885"/>
      <w:bookmarkStart w:id="249" w:name="_Toc418677994"/>
      <w:bookmarkStart w:id="250" w:name="_Toc436646320"/>
      <w:bookmarkStart w:id="251" w:name="_Toc438113755"/>
      <w:bookmarkStart w:id="252" w:name="_Toc439166298"/>
      <w:bookmarkStart w:id="253" w:name="_Toc460853183"/>
      <w:r>
        <w:rPr>
          <w:rStyle w:val="CharPartNo"/>
        </w:rPr>
        <w:t>Part 5</w:t>
      </w:r>
      <w:r>
        <w:rPr>
          <w:rStyle w:val="CharDivText"/>
        </w:rPr>
        <w:t> </w:t>
      </w:r>
      <w:r>
        <w:t>—</w:t>
      </w:r>
      <w:r>
        <w:rPr>
          <w:rStyle w:val="CharDivNo"/>
        </w:rPr>
        <w:t xml:space="preserve"> </w:t>
      </w:r>
      <w:r>
        <w:rPr>
          <w:rStyle w:val="CharPartText"/>
        </w:rPr>
        <w:t>Miscellaneous</w:t>
      </w:r>
      <w:bookmarkEnd w:id="245"/>
      <w:bookmarkEnd w:id="246"/>
      <w:bookmarkEnd w:id="247"/>
      <w:bookmarkEnd w:id="248"/>
      <w:bookmarkEnd w:id="249"/>
      <w:bookmarkEnd w:id="250"/>
      <w:bookmarkEnd w:id="251"/>
      <w:bookmarkEnd w:id="252"/>
      <w:bookmarkEnd w:id="253"/>
    </w:p>
    <w:p>
      <w:pPr>
        <w:pStyle w:val="Footnoteheading"/>
      </w:pPr>
      <w:r>
        <w:tab/>
        <w:t>[Heading inserted in Gazette 4 Aug 1998 p. 3989.]</w:t>
      </w:r>
    </w:p>
    <w:p>
      <w:pPr>
        <w:pStyle w:val="Heading5"/>
      </w:pPr>
      <w:bookmarkStart w:id="254" w:name="_Toc407629216"/>
      <w:bookmarkStart w:id="255" w:name="_Toc460853184"/>
      <w:r>
        <w:rPr>
          <w:rStyle w:val="CharSectno"/>
        </w:rPr>
        <w:t>41</w:t>
      </w:r>
      <w:r>
        <w:t>.</w:t>
      </w:r>
      <w:r>
        <w:tab/>
        <w:t>Premises where amusement machines are permitted (Act s. 39(2)(e))</w:t>
      </w:r>
      <w:bookmarkEnd w:id="254"/>
      <w:bookmarkEnd w:id="255"/>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256" w:name="_Toc407629217"/>
      <w:bookmarkStart w:id="257" w:name="_Toc460853185"/>
      <w:r>
        <w:rPr>
          <w:rStyle w:val="CharSectno"/>
        </w:rPr>
        <w:t>42</w:t>
      </w:r>
      <w:r>
        <w:t>.</w:t>
      </w:r>
      <w:r>
        <w:tab/>
        <w:t>Unclaimed winnings (Act s. 109B(1))</w:t>
      </w:r>
      <w:bookmarkEnd w:id="256"/>
      <w:bookmarkEnd w:id="257"/>
    </w:p>
    <w:p>
      <w:pPr>
        <w:pStyle w:val="Subsection"/>
      </w:pPr>
      <w:r>
        <w:tab/>
      </w:r>
      <w:r>
        <w:tab/>
        <w:t>For the purposes of section 109B(1)(a) and (b), the prescribed amount is 99 cents.</w:t>
      </w:r>
    </w:p>
    <w:p>
      <w:pPr>
        <w:pStyle w:val="Footnotesection"/>
      </w:pPr>
      <w:r>
        <w:tab/>
        <w:t>[Regulation 42 inserted in Gazette 4 Aug 1998 p. 3989.]</w:t>
      </w:r>
    </w:p>
    <w:p>
      <w:pPr>
        <w:pStyle w:val="Heading5"/>
      </w:pPr>
      <w:bookmarkStart w:id="258" w:name="_Toc407629218"/>
      <w:bookmarkStart w:id="259" w:name="_Toc460853186"/>
      <w:r>
        <w:rPr>
          <w:rStyle w:val="CharSectno"/>
        </w:rPr>
        <w:t>43</w:t>
      </w:r>
      <w:r>
        <w:t>.</w:t>
      </w:r>
      <w:r>
        <w:tab/>
        <w:t>Certain advertising prohibited</w:t>
      </w:r>
      <w:bookmarkEnd w:id="258"/>
      <w:bookmarkEnd w:id="259"/>
    </w:p>
    <w:p>
      <w:pPr>
        <w:pStyle w:val="Subsection"/>
      </w:pPr>
      <w:r>
        <w:tab/>
        <w:t>(1)</w:t>
      </w:r>
      <w:r>
        <w:tab/>
        <w:t xml:space="preserve">In this regulation — </w:t>
      </w:r>
    </w:p>
    <w:p>
      <w:pPr>
        <w:pStyle w:val="Defstart"/>
      </w:pPr>
      <w:r>
        <w:tab/>
      </w:r>
      <w:r>
        <w:rPr>
          <w:rStyle w:val="CharDefText"/>
        </w:rPr>
        <w:t>gambling operator</w:t>
      </w:r>
      <w:r>
        <w:t xml:space="preserve"> means — </w:t>
      </w:r>
    </w:p>
    <w:p>
      <w:pPr>
        <w:pStyle w:val="Defpara"/>
      </w:pPr>
      <w:r>
        <w:tab/>
        <w:t>(a)</w:t>
      </w:r>
      <w:r>
        <w:tab/>
        <w:t>a person referred to in section 43A(3)(a) to (da) of the Act; or</w:t>
      </w:r>
    </w:p>
    <w:p>
      <w:pPr>
        <w:pStyle w:val="Defpara"/>
      </w:pPr>
      <w:r>
        <w:tab/>
        <w:t>(b)</w:t>
      </w:r>
      <w:r>
        <w:tab/>
        <w:t>a person or class of person prescribed under section 43A(3)(d) of the Act;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publish, or cause to be published, an advertisement in this State that conveys, or is likely to be understood as conveying, the existence in this State or elsewhere of a gambling operator if the advertisement — </w:t>
      </w:r>
    </w:p>
    <w:p>
      <w:pPr>
        <w:pStyle w:val="Indenta"/>
      </w:pPr>
      <w:r>
        <w:tab/>
        <w:t>(a)</w:t>
      </w:r>
      <w:r>
        <w:tab/>
        <w:t>procures, incites or encourages a person to commit an offence; or</w:t>
      </w:r>
    </w:p>
    <w:p>
      <w:pPr>
        <w:pStyle w:val="Indenta"/>
      </w:pPr>
      <w:r>
        <w:tab/>
        <w:t>(b)</w:t>
      </w:r>
      <w:r>
        <w:tab/>
        <w:t>shows a child gambling or at a place where gambling is, or is depicted as, occurring; or</w:t>
      </w:r>
    </w:p>
    <w:p>
      <w:pPr>
        <w:pStyle w:val="Indenta"/>
      </w:pPr>
      <w:r>
        <w:tab/>
        <w:t>(c)</w:t>
      </w:r>
      <w:r>
        <w:tab/>
        <w:t>is false, misleading or deceptive; or</w:t>
      </w:r>
    </w:p>
    <w:p>
      <w:pPr>
        <w:pStyle w:val="Indenta"/>
      </w:pPr>
      <w:r>
        <w:tab/>
        <w:t>(d)</w:t>
      </w:r>
      <w:r>
        <w:tab/>
        <w:t>suggests that every bet placed with, or placed or accepted through, the operator will be successful; or</w:t>
      </w:r>
    </w:p>
    <w:p>
      <w:pPr>
        <w:pStyle w:val="Indenta"/>
      </w:pPr>
      <w:r>
        <w:tab/>
        <w:t>(e)</w:t>
      </w:r>
      <w:r>
        <w:tab/>
        <w:t xml:space="preserve">offers a benefit, consideration or reward in return for the person — </w:t>
      </w:r>
    </w:p>
    <w:p>
      <w:pPr>
        <w:pStyle w:val="Indenti"/>
      </w:pPr>
      <w:r>
        <w:tab/>
        <w:t>(i)</w:t>
      </w:r>
      <w:r>
        <w:tab/>
        <w:t>participating in gambling; or</w:t>
      </w:r>
    </w:p>
    <w:p>
      <w:pPr>
        <w:pStyle w:val="Indenti"/>
      </w:pPr>
      <w:r>
        <w:tab/>
        <w:t>(ii)</w:t>
      </w:r>
      <w:r>
        <w:tab/>
        <w:t>continuing to gamble; or</w:t>
      </w:r>
    </w:p>
    <w:p>
      <w:pPr>
        <w:pStyle w:val="Indenti"/>
      </w:pPr>
      <w:r>
        <w:tab/>
        <w:t>(iii)</w:t>
      </w:r>
      <w:r>
        <w:tab/>
        <w:t>opening a betting account with the operator;</w:t>
      </w:r>
    </w:p>
    <w:p>
      <w:pPr>
        <w:pStyle w:val="Indenta"/>
      </w:pPr>
      <w:r>
        <w:tab/>
      </w:r>
      <w:r>
        <w:tab/>
        <w:t>or</w:t>
      </w:r>
    </w:p>
    <w:p>
      <w:pPr>
        <w:pStyle w:val="Indenta"/>
      </w:pPr>
      <w:r>
        <w:tab/>
        <w:t>(f)</w:t>
      </w:r>
      <w:r>
        <w:tab/>
        <w:t>contains an express or implied inducement for a person to contact the gambling operator; or</w:t>
      </w:r>
    </w:p>
    <w:p>
      <w:pPr>
        <w:pStyle w:val="Indenta"/>
      </w:pPr>
      <w:r>
        <w:tab/>
        <w:t>(g)</w:t>
      </w:r>
      <w:r>
        <w:tab/>
        <w:t xml:space="preserve">offers a person free or discounted liquor, as defined in the </w:t>
      </w:r>
      <w:r>
        <w:rPr>
          <w:i/>
        </w:rPr>
        <w:t>Liquor Control Act 1988</w:t>
      </w:r>
      <w:r>
        <w:t xml:space="preserve"> section 3(1), if the person participates in gambling; or</w:t>
      </w:r>
    </w:p>
    <w:p>
      <w:pPr>
        <w:pStyle w:val="Indenta"/>
      </w:pPr>
      <w:r>
        <w:tab/>
        <w:t>(h)</w:t>
      </w:r>
      <w:r>
        <w:tab/>
        <w:t xml:space="preserve">is not in accordance with the following codes of practice — </w:t>
      </w:r>
    </w:p>
    <w:p>
      <w:pPr>
        <w:pStyle w:val="Indenti"/>
      </w:pPr>
      <w:r>
        <w:tab/>
        <w:t>(i)</w:t>
      </w:r>
      <w:r>
        <w:tab/>
        <w:t xml:space="preserve">the Australian Press Council’s </w:t>
      </w:r>
      <w:r>
        <w:rPr>
          <w:i/>
          <w:iCs/>
        </w:rPr>
        <w:t>Statement of Principles</w:t>
      </w:r>
      <w:r>
        <w:t xml:space="preserve"> (in the case of a press media advertisement);</w:t>
      </w:r>
    </w:p>
    <w:p>
      <w:pPr>
        <w:pStyle w:val="Indenti"/>
      </w:pPr>
      <w:r>
        <w:tab/>
        <w:t>(ii)</w:t>
      </w:r>
      <w:r>
        <w:tab/>
        <w:t xml:space="preserve">the </w:t>
      </w:r>
      <w:r>
        <w:rPr>
          <w:i/>
          <w:iCs/>
        </w:rPr>
        <w:t>Commercial Radio Code of Practice</w:t>
      </w:r>
      <w:r>
        <w:t xml:space="preserve"> (in the case of a commercial radio advertisement);</w:t>
      </w:r>
    </w:p>
    <w:p>
      <w:pPr>
        <w:pStyle w:val="Indenti"/>
      </w:pPr>
      <w:r>
        <w:tab/>
        <w:t>(iii)</w:t>
      </w:r>
      <w:r>
        <w:tab/>
        <w:t xml:space="preserve">the </w:t>
      </w:r>
      <w:r>
        <w:rPr>
          <w:i/>
          <w:iCs/>
        </w:rPr>
        <w:t>Community Radio Broadcasting Code of Practice</w:t>
      </w:r>
      <w:r>
        <w:t xml:space="preserve"> (in the case of a community radio advertisement);</w:t>
      </w:r>
    </w:p>
    <w:p>
      <w:pPr>
        <w:pStyle w:val="Indenti"/>
      </w:pPr>
      <w:r>
        <w:tab/>
        <w:t>(iv)</w:t>
      </w:r>
      <w:r>
        <w:tab/>
        <w:t xml:space="preserve">the </w:t>
      </w:r>
      <w:r>
        <w:rPr>
          <w:i/>
          <w:iCs/>
        </w:rPr>
        <w:t>Commercial Television Industry Code of Practice</w:t>
      </w:r>
      <w:r>
        <w:t xml:space="preserve"> (in the case of a commercial television advertisement);</w:t>
      </w:r>
    </w:p>
    <w:p>
      <w:pPr>
        <w:pStyle w:val="Indenti"/>
      </w:pPr>
      <w:r>
        <w:tab/>
        <w:t>(v)</w:t>
      </w:r>
      <w:r>
        <w:tab/>
        <w:t xml:space="preserve">the </w:t>
      </w:r>
      <w:r>
        <w:rPr>
          <w:i/>
          <w:iCs/>
        </w:rPr>
        <w:t>Community Television Code of Practice</w:t>
      </w:r>
      <w:r>
        <w:t xml:space="preserve"> (in the case of a community television advertisement).</w:t>
      </w:r>
    </w:p>
    <w:p>
      <w:pPr>
        <w:pStyle w:val="Penstart"/>
        <w:spacing w:before="40"/>
      </w:pPr>
      <w:r>
        <w:tab/>
        <w:t>Penalty: a fine of $1 000.</w:t>
      </w:r>
    </w:p>
    <w:p>
      <w:pPr>
        <w:pStyle w:val="Subsection"/>
      </w:pPr>
      <w:r>
        <w:tab/>
        <w:t>(3)</w:t>
      </w:r>
      <w:r>
        <w:tab/>
        <w:t>Subregulation (2)(e)(i) and (ii) do not apply to a trade promotion lottery conducted by a gambling operator.</w:t>
      </w:r>
    </w:p>
    <w:p>
      <w:pPr>
        <w:pStyle w:val="Subsection"/>
      </w:pPr>
      <w:r>
        <w:tab/>
        <w:t>(4)</w:t>
      </w:r>
      <w:r>
        <w:tab/>
        <w:t xml:space="preserve">A gambling operator who publishes, or causes to be published, an advertisement that conveys, or is likely to be understood as conveying, the existence in this State or elsewhere of the gambling operator must include in the advertisement — </w:t>
      </w:r>
    </w:p>
    <w:p>
      <w:pPr>
        <w:pStyle w:val="Indenta"/>
      </w:pPr>
      <w:r>
        <w:tab/>
        <w:t>(a)</w:t>
      </w:r>
      <w:r>
        <w:tab/>
        <w:t>the telephone number of the national problem gambling helpline; and</w:t>
      </w:r>
    </w:p>
    <w:p>
      <w:pPr>
        <w:pStyle w:val="Indenta"/>
      </w:pPr>
      <w:r>
        <w:tab/>
        <w:t>(b)</w:t>
      </w:r>
      <w:r>
        <w:tab/>
        <w:t>details of the national problem on</w:t>
      </w:r>
      <w:r>
        <w:noBreakHyphen/>
        <w:t>line counselling website.</w:t>
      </w:r>
    </w:p>
    <w:p>
      <w:pPr>
        <w:pStyle w:val="Penstart"/>
      </w:pPr>
      <w:r>
        <w:tab/>
        <w:t>Penalty: a fine of $1 000.</w:t>
      </w:r>
    </w:p>
    <w:p>
      <w:pPr>
        <w:pStyle w:val="Footnotesection"/>
      </w:pPr>
      <w:r>
        <w:tab/>
        <w:t>[Regulation 43 inserted in Gazette 8 Jan 2010 p. 17</w:t>
      </w:r>
      <w:r>
        <w:noBreakHyphen/>
        <w:t>19.]</w:t>
      </w:r>
    </w:p>
    <w:p>
      <w:pPr>
        <w:pStyle w:val="Heading5"/>
      </w:pPr>
      <w:bookmarkStart w:id="260" w:name="_Toc407629219"/>
      <w:bookmarkStart w:id="261" w:name="_Toc460853187"/>
      <w:r>
        <w:rPr>
          <w:rStyle w:val="CharSectno"/>
        </w:rPr>
        <w:t>44</w:t>
      </w:r>
      <w:r>
        <w:t>.</w:t>
      </w:r>
      <w:r>
        <w:tab/>
        <w:t>Prescribed interval (Act s. 110B(4)(b))</w:t>
      </w:r>
      <w:bookmarkEnd w:id="260"/>
      <w:bookmarkEnd w:id="261"/>
    </w:p>
    <w:p>
      <w:pPr>
        <w:pStyle w:val="Subsection"/>
      </w:pPr>
      <w:r>
        <w:tab/>
      </w:r>
      <w:r>
        <w:tab/>
        <w:t>For the purposes of section 110B(4)(b) of the Act, the prescribed interval is one month.</w:t>
      </w:r>
    </w:p>
    <w:p>
      <w:pPr>
        <w:pStyle w:val="Footnotesection"/>
      </w:pPr>
      <w:r>
        <w:tab/>
        <w:t>[Regulation 44 inserted in Gazette 8 Jan 2010 p. 19.]</w:t>
      </w:r>
    </w:p>
    <w:p>
      <w:pPr>
        <w:sectPr>
          <w:headerReference w:type="even" r:id="rId22"/>
          <w:headerReference w:type="default" r:id="rId23"/>
          <w:footerReference w:type="even"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262" w:name="_Toc403656893"/>
      <w:bookmarkStart w:id="263" w:name="_Toc403720639"/>
      <w:bookmarkStart w:id="264" w:name="_Toc407629220"/>
      <w:bookmarkStart w:id="265" w:name="_Toc418677890"/>
      <w:bookmarkStart w:id="266" w:name="_Toc418677999"/>
      <w:bookmarkStart w:id="267" w:name="_Toc436646325"/>
      <w:bookmarkStart w:id="268" w:name="_Toc438113760"/>
      <w:bookmarkStart w:id="269" w:name="_Toc439166303"/>
      <w:bookmarkStart w:id="270" w:name="_Toc460853188"/>
      <w:r>
        <w:rPr>
          <w:rStyle w:val="CharSchNo"/>
        </w:rPr>
        <w:t>Schedule 1</w:t>
      </w:r>
      <w:r>
        <w:t> — </w:t>
      </w:r>
      <w:r>
        <w:rPr>
          <w:rStyle w:val="CharSchText"/>
        </w:rPr>
        <w:t>Prescribed fees</w:t>
      </w:r>
      <w:bookmarkEnd w:id="262"/>
      <w:bookmarkEnd w:id="263"/>
      <w:bookmarkEnd w:id="264"/>
      <w:bookmarkEnd w:id="265"/>
      <w:bookmarkEnd w:id="266"/>
      <w:bookmarkEnd w:id="267"/>
      <w:bookmarkEnd w:id="268"/>
      <w:bookmarkEnd w:id="269"/>
      <w:bookmarkEnd w:id="270"/>
    </w:p>
    <w:p>
      <w:pPr>
        <w:pStyle w:val="yShoulderClause"/>
      </w:pPr>
      <w:r>
        <w:t>[r. 4]</w:t>
      </w:r>
    </w:p>
    <w:p>
      <w:pPr>
        <w:pStyle w:val="yFootnoteheading"/>
        <w:spacing w:after="120"/>
      </w:pPr>
      <w:r>
        <w:tab/>
        <w:t>[Heading inserted in Gazette 30 Oct 2009 p. 4317.]</w:t>
      </w:r>
    </w:p>
    <w:tbl>
      <w:tblPr>
        <w:tblW w:w="7088"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851"/>
        <w:gridCol w:w="5245"/>
        <w:gridCol w:w="992"/>
      </w:tblGrid>
      <w:tr>
        <w:trPr>
          <w:tblHeader/>
        </w:trPr>
        <w:tc>
          <w:tcPr>
            <w:tcW w:w="851" w:type="dxa"/>
            <w:tcBorders>
              <w:bottom w:val="single" w:sz="4" w:space="0" w:color="auto"/>
            </w:tcBorders>
          </w:tcPr>
          <w:p>
            <w:pPr>
              <w:pStyle w:val="yTableNAm"/>
              <w:rPr>
                <w:b/>
                <w:bCs/>
              </w:rPr>
            </w:pPr>
            <w:r>
              <w:rPr>
                <w:b/>
                <w:bCs/>
              </w:rPr>
              <w:t>Item</w:t>
            </w:r>
          </w:p>
        </w:tc>
        <w:tc>
          <w:tcPr>
            <w:tcW w:w="5245" w:type="dxa"/>
            <w:tcBorders>
              <w:bottom w:val="single" w:sz="4" w:space="0" w:color="auto"/>
            </w:tcBorders>
          </w:tcPr>
          <w:p>
            <w:pPr>
              <w:pStyle w:val="yTableNAm"/>
              <w:jc w:val="center"/>
              <w:rPr>
                <w:b/>
                <w:bCs/>
              </w:rPr>
            </w:pPr>
            <w:r>
              <w:rPr>
                <w:b/>
                <w:bCs/>
              </w:rPr>
              <w:t>Description</w:t>
            </w:r>
          </w:p>
        </w:tc>
        <w:tc>
          <w:tcPr>
            <w:tcW w:w="992" w:type="dxa"/>
            <w:tcBorders>
              <w:bottom w:val="single" w:sz="4" w:space="0" w:color="auto"/>
            </w:tcBorders>
          </w:tcPr>
          <w:p>
            <w:pPr>
              <w:pStyle w:val="yTableNAm"/>
              <w:jc w:val="center"/>
              <w:rPr>
                <w:b/>
                <w:bCs/>
              </w:rPr>
            </w:pPr>
            <w:r>
              <w:rPr>
                <w:b/>
                <w:bCs/>
              </w:rPr>
              <w:t>Fee</w:t>
            </w:r>
            <w:r>
              <w:rPr>
                <w:b/>
                <w:bCs/>
              </w:rPr>
              <w:br/>
              <w:t>$</w:t>
            </w:r>
          </w:p>
        </w:tc>
      </w:tr>
      <w:tr>
        <w:tc>
          <w:tcPr>
            <w:tcW w:w="851" w:type="dxa"/>
            <w:tcBorders>
              <w:top w:val="single" w:sz="4" w:space="0" w:color="auto"/>
              <w:bottom w:val="single" w:sz="4" w:space="0" w:color="auto"/>
            </w:tcBorders>
          </w:tcPr>
          <w:p>
            <w:pPr>
              <w:pStyle w:val="yTableNAm"/>
            </w:pPr>
            <w:r>
              <w:t>1.</w:t>
            </w:r>
          </w:p>
        </w:tc>
        <w:tc>
          <w:tcPr>
            <w:tcW w:w="5245" w:type="dxa"/>
            <w:tcBorders>
              <w:top w:val="single" w:sz="4" w:space="0" w:color="auto"/>
              <w:bottom w:val="single" w:sz="4" w:space="0" w:color="auto"/>
            </w:tcBorders>
          </w:tcPr>
          <w:p>
            <w:pPr>
              <w:pStyle w:val="yTableNAm"/>
              <w:tabs>
                <w:tab w:val="left" w:leader="dot" w:pos="567"/>
                <w:tab w:val="right" w:leader="dot" w:pos="4963"/>
                <w:tab w:val="left" w:leader="dot" w:pos="5103"/>
                <w:tab w:val="left" w:leader="dot" w:pos="5443"/>
              </w:tabs>
            </w:pPr>
            <w:r>
              <w:t xml:space="preserve">Search of the register for an identified entry </w:t>
            </w:r>
            <w:r>
              <w:tab/>
            </w:r>
          </w:p>
        </w:tc>
        <w:tc>
          <w:tcPr>
            <w:tcW w:w="992" w:type="dxa"/>
            <w:tcBorders>
              <w:top w:val="single" w:sz="4" w:space="0" w:color="auto"/>
              <w:bottom w:val="single" w:sz="4" w:space="0" w:color="auto"/>
            </w:tcBorders>
          </w:tcPr>
          <w:p>
            <w:pPr>
              <w:pStyle w:val="yTableNAm"/>
              <w:jc w:val="center"/>
            </w:pPr>
            <w:r>
              <w:t>8</w:t>
            </w:r>
          </w:p>
        </w:tc>
      </w:tr>
      <w:tr>
        <w:tc>
          <w:tcPr>
            <w:tcW w:w="851" w:type="dxa"/>
            <w:tcBorders>
              <w:top w:val="single" w:sz="4" w:space="0" w:color="auto"/>
            </w:tcBorders>
          </w:tcPr>
          <w:p>
            <w:pPr>
              <w:pStyle w:val="yTableNAm"/>
            </w:pPr>
            <w:r>
              <w:t>2.</w:t>
            </w:r>
          </w:p>
        </w:tc>
        <w:tc>
          <w:tcPr>
            <w:tcW w:w="5245" w:type="dxa"/>
            <w:tcBorders>
              <w:top w:val="single" w:sz="4" w:space="0" w:color="auto"/>
            </w:tcBorders>
          </w:tcPr>
          <w:p>
            <w:pPr>
              <w:pStyle w:val="yTableNAm"/>
              <w:tabs>
                <w:tab w:val="right" w:leader="dot" w:pos="4963"/>
                <w:tab w:val="left" w:leader="dot" w:pos="5443"/>
              </w:tabs>
            </w:pPr>
            <w:r>
              <w:t xml:space="preserve">Copy of extract from register </w:t>
            </w:r>
            <w:r>
              <w:tab/>
            </w:r>
          </w:p>
        </w:tc>
        <w:tc>
          <w:tcPr>
            <w:tcW w:w="992" w:type="dxa"/>
            <w:tcBorders>
              <w:top w:val="single" w:sz="4" w:space="0" w:color="auto"/>
            </w:tcBorders>
          </w:tcPr>
          <w:p>
            <w:pPr>
              <w:pStyle w:val="yTableNAm"/>
              <w:jc w:val="center"/>
            </w:pPr>
            <w:r>
              <w:t>14</w:t>
            </w:r>
          </w:p>
        </w:tc>
      </w:tr>
      <w:tr>
        <w:tc>
          <w:tcPr>
            <w:tcW w:w="851" w:type="dxa"/>
          </w:tcPr>
          <w:p>
            <w:pPr>
              <w:pStyle w:val="yTableNAm"/>
            </w:pPr>
            <w:r>
              <w:t>3.</w:t>
            </w:r>
          </w:p>
        </w:tc>
        <w:tc>
          <w:tcPr>
            <w:tcW w:w="5245" w:type="dxa"/>
          </w:tcPr>
          <w:p>
            <w:pPr>
              <w:pStyle w:val="yTableNAm"/>
              <w:tabs>
                <w:tab w:val="right" w:leader="dot" w:pos="4963"/>
                <w:tab w:val="left" w:leader="dot" w:pos="5443"/>
              </w:tabs>
            </w:pPr>
            <w:r>
              <w:t>Application for a function permit for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443"/>
              </w:tabs>
              <w:ind w:left="579" w:hanging="579"/>
            </w:pPr>
            <w:r>
              <w:t>(a)</w:t>
            </w:r>
            <w:r>
              <w:tab/>
              <w:t xml:space="preserve">an item of gaming equipment (r. 18B(2)(a))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443"/>
              </w:tabs>
              <w:ind w:left="579" w:hanging="579"/>
            </w:pPr>
            <w:r>
              <w:t>(b)</w:t>
            </w:r>
            <w:r>
              <w:tab/>
              <w:t xml:space="preserve">a class of gaming equipment (r. 18B(2)(b)) </w:t>
            </w:r>
            <w:r>
              <w:tab/>
            </w:r>
          </w:p>
        </w:tc>
        <w:tc>
          <w:tcPr>
            <w:tcW w:w="992" w:type="dxa"/>
          </w:tcPr>
          <w:p>
            <w:pPr>
              <w:pStyle w:val="yTableNAm"/>
              <w:jc w:val="center"/>
            </w:pPr>
            <w:r>
              <w:rPr>
                <w:szCs w:val="22"/>
              </w:rPr>
              <w:t>59</w:t>
            </w:r>
          </w:p>
        </w:tc>
      </w:tr>
      <w:tr>
        <w:tc>
          <w:tcPr>
            <w:tcW w:w="851" w:type="dxa"/>
          </w:tcPr>
          <w:p>
            <w:pPr>
              <w:pStyle w:val="yTableNAm"/>
            </w:pPr>
            <w:r>
              <w:t>4.</w:t>
            </w:r>
          </w:p>
        </w:tc>
        <w:tc>
          <w:tcPr>
            <w:tcW w:w="5245" w:type="dxa"/>
          </w:tcPr>
          <w:p>
            <w:pPr>
              <w:pStyle w:val="yTableNAm"/>
              <w:tabs>
                <w:tab w:val="right" w:leader="dot" w:pos="4963"/>
                <w:tab w:val="left" w:leader="dot" w:pos="5443"/>
              </w:tabs>
            </w:pPr>
            <w:r>
              <w:t>Application for a permit of a continuing nature for —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(a)</w:t>
            </w:r>
            <w:r>
              <w:tab/>
              <w:t xml:space="preserve">a video lottery terminal (r. 18AA(7))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 xml:space="preserve">an item of gaming equipment (r. 18B(2)(a)) </w:t>
            </w:r>
            <w:r>
              <w:tab/>
            </w:r>
          </w:p>
        </w:tc>
        <w:tc>
          <w:tcPr>
            <w:tcW w:w="992" w:type="dxa"/>
          </w:tcPr>
          <w:p>
            <w:pPr>
              <w:pStyle w:val="yTableNAm"/>
              <w:jc w:val="center"/>
              <w:rPr>
                <w:i/>
              </w:rPr>
            </w:pPr>
            <w:r>
              <w:rPr>
                <w:szCs w:val="22"/>
              </w:rPr>
              <w:t>64</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a class of gaming equipment (r. 18B(2)(b)) </w:t>
            </w:r>
            <w:r>
              <w:tab/>
            </w:r>
          </w:p>
        </w:tc>
        <w:tc>
          <w:tcPr>
            <w:tcW w:w="992" w:type="dxa"/>
          </w:tcPr>
          <w:p>
            <w:pPr>
              <w:pStyle w:val="yTableNAm"/>
              <w:jc w:val="center"/>
              <w:rPr>
                <w:i/>
              </w:rPr>
            </w:pPr>
            <w:r>
              <w:rPr>
                <w:szCs w:val="22"/>
              </w:rPr>
              <w:t>113</w:t>
            </w:r>
          </w:p>
        </w:tc>
      </w:tr>
      <w:tr>
        <w:tc>
          <w:tcPr>
            <w:tcW w:w="851" w:type="dxa"/>
          </w:tcPr>
          <w:p>
            <w:pPr>
              <w:pStyle w:val="yTableNAm"/>
            </w:pPr>
            <w:r>
              <w:t>5.</w:t>
            </w:r>
          </w:p>
        </w:tc>
        <w:tc>
          <w:tcPr>
            <w:tcW w:w="5245" w:type="dxa"/>
          </w:tcPr>
          <w:p>
            <w:pPr>
              <w:pStyle w:val="yTableNAm"/>
              <w:tabs>
                <w:tab w:val="right" w:pos="4299"/>
                <w:tab w:val="right" w:leader="dot" w:pos="4963"/>
                <w:tab w:val="left" w:leader="dot" w:pos="5443"/>
              </w:tabs>
            </w:pPr>
            <w:r>
              <w:t>Application for a function permit for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(a)</w:t>
            </w:r>
            <w:r>
              <w:tab/>
              <w:t xml:space="preserve">bingo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(b)</w:t>
            </w:r>
            <w:r>
              <w:tab/>
              <w:t xml:space="preserve">multiple bingo, for each premises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(c)</w:t>
            </w:r>
            <w:r>
              <w:tab/>
              <w:t>simultaneous bingo, for each premises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(d)</w:t>
            </w:r>
            <w:r>
              <w:tab/>
              <w:t>a standard lottery —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where the total retail value of prizes or prize money does not exceed $5 000 </w:t>
            </w:r>
            <w:r>
              <w:tab/>
            </w:r>
          </w:p>
        </w:tc>
        <w:tc>
          <w:tcPr>
            <w:tcW w:w="992" w:type="dxa"/>
          </w:tcPr>
          <w:p>
            <w:pPr>
              <w:pStyle w:val="yTableNAm"/>
              <w:jc w:val="center"/>
            </w:pPr>
            <w:r>
              <w:br/>
              <w:t>30</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otherwise </w:t>
            </w:r>
            <w:r>
              <w:tab/>
            </w:r>
          </w:p>
        </w:tc>
        <w:tc>
          <w:tcPr>
            <w:tcW w:w="992" w:type="dxa"/>
          </w:tcPr>
          <w:p>
            <w:pPr>
              <w:pStyle w:val="yTableNAm"/>
              <w:jc w:val="center"/>
            </w:pPr>
            <w:r>
              <w:rPr>
                <w:szCs w:val="22"/>
              </w:rPr>
              <w:t>74</w:t>
            </w:r>
          </w:p>
        </w:tc>
      </w:tr>
      <w:tr>
        <w:tc>
          <w:tcPr>
            <w:tcW w:w="851" w:type="dxa"/>
          </w:tcPr>
          <w:p>
            <w:pPr>
              <w:pStyle w:val="yTableNAm"/>
            </w:pPr>
          </w:p>
        </w:tc>
        <w:tc>
          <w:tcPr>
            <w:tcW w:w="5245" w:type="dxa"/>
          </w:tcPr>
          <w:p>
            <w:pPr>
              <w:pStyle w:val="yTableNAm"/>
              <w:tabs>
                <w:tab w:val="right" w:leader="dot" w:pos="4963"/>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992" w:type="dxa"/>
          </w:tcPr>
          <w:p>
            <w:pPr>
              <w:pStyle w:val="yTableNAm"/>
              <w:jc w:val="center"/>
              <w:rPr>
                <w:i/>
              </w:rPr>
            </w:pPr>
            <w:r>
              <w:br/>
            </w:r>
            <w:r>
              <w:rPr>
                <w:szCs w:val="22"/>
              </w:rPr>
              <w:t>74</w:t>
            </w:r>
          </w:p>
        </w:tc>
      </w:tr>
      <w:tr>
        <w:tblPrEx>
          <w:tblCellMar>
            <w:left w:w="108" w:type="dxa"/>
            <w:right w:w="108" w:type="dxa"/>
          </w:tblCellMar>
        </w:tblPrEx>
        <w:trPr>
          <w:cantSplit/>
        </w:trPr>
        <w:tc>
          <w:tcPr>
            <w:tcW w:w="851" w:type="dxa"/>
          </w:tcPr>
          <w:p>
            <w:pPr>
              <w:pStyle w:val="yTableNAm"/>
            </w:pPr>
          </w:p>
        </w:tc>
        <w:tc>
          <w:tcPr>
            <w:tcW w:w="5245" w:type="dxa"/>
          </w:tcPr>
          <w:p>
            <w:pPr>
              <w:pStyle w:val="yTableNAm"/>
              <w:tabs>
                <w:tab w:val="right" w:leader="dot" w:pos="4963"/>
                <w:tab w:val="left" w:leader="dot" w:pos="5443"/>
              </w:tabs>
              <w:ind w:left="579" w:hanging="579"/>
            </w:pPr>
            <w:r>
              <w:t>(e)</w:t>
            </w:r>
            <w:r>
              <w:tab/>
              <w:t xml:space="preserve">a continuing lottery </w:t>
            </w:r>
            <w:r>
              <w:tab/>
            </w:r>
          </w:p>
        </w:tc>
        <w:tc>
          <w:tcPr>
            <w:tcW w:w="992" w:type="dxa"/>
          </w:tcPr>
          <w:p>
            <w:pPr>
              <w:pStyle w:val="yTableNAm"/>
              <w:jc w:val="center"/>
            </w:pPr>
            <w:r>
              <w:t>15</w:t>
            </w:r>
          </w:p>
        </w:tc>
      </w:tr>
      <w:tr>
        <w:tc>
          <w:tcPr>
            <w:tcW w:w="851" w:type="dxa"/>
          </w:tcPr>
          <w:p>
            <w:pPr>
              <w:pStyle w:val="yTableNAm"/>
              <w:keepNext/>
            </w:pPr>
          </w:p>
        </w:tc>
        <w:tc>
          <w:tcPr>
            <w:tcW w:w="5245" w:type="dxa"/>
          </w:tcPr>
          <w:p>
            <w:pPr>
              <w:pStyle w:val="yTableNAm"/>
              <w:keepNext/>
              <w:tabs>
                <w:tab w:val="right" w:leader="dot" w:pos="4963"/>
                <w:tab w:val="left" w:leader="dot" w:pos="5443"/>
              </w:tabs>
              <w:ind w:left="579" w:hanging="579"/>
            </w:pPr>
            <w:r>
              <w:t>(f)</w:t>
            </w:r>
            <w:r>
              <w:tab/>
              <w:t>gaming (per day authorised) — </w:t>
            </w:r>
          </w:p>
        </w:tc>
        <w:tc>
          <w:tcPr>
            <w:tcW w:w="992" w:type="dxa"/>
          </w:tcPr>
          <w:p>
            <w:pPr>
              <w:pStyle w:val="yTableNAm"/>
              <w:keepNext/>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1</w:t>
            </w:r>
            <w:r>
              <w:noBreakHyphen/>
              <w:t xml:space="preserve">5 tables </w:t>
            </w:r>
            <w:r>
              <w:tab/>
            </w:r>
          </w:p>
        </w:tc>
        <w:tc>
          <w:tcPr>
            <w:tcW w:w="992" w:type="dxa"/>
          </w:tcPr>
          <w:p>
            <w:pPr>
              <w:pStyle w:val="yTableNAm"/>
              <w:jc w:val="center"/>
            </w:pPr>
            <w:r>
              <w:rPr>
                <w:szCs w:val="22"/>
              </w:rPr>
              <w:t>224</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6</w:t>
            </w:r>
            <w:r>
              <w:noBreakHyphen/>
              <w:t xml:space="preserve">10 tables </w:t>
            </w:r>
            <w:r>
              <w:tab/>
            </w:r>
          </w:p>
        </w:tc>
        <w:tc>
          <w:tcPr>
            <w:tcW w:w="992" w:type="dxa"/>
          </w:tcPr>
          <w:p>
            <w:pPr>
              <w:pStyle w:val="yTableNAm"/>
              <w:jc w:val="center"/>
            </w:pPr>
            <w:r>
              <w:rPr>
                <w:szCs w:val="22"/>
              </w:rPr>
              <w:t>374</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(iii)</w:t>
            </w:r>
            <w:r>
              <w:tab/>
              <w:t xml:space="preserve">over 10 tables </w:t>
            </w:r>
            <w:r>
              <w:tab/>
            </w:r>
          </w:p>
        </w:tc>
        <w:tc>
          <w:tcPr>
            <w:tcW w:w="992" w:type="dxa"/>
          </w:tcPr>
          <w:p>
            <w:pPr>
              <w:pStyle w:val="yTableNAm"/>
              <w:jc w:val="center"/>
            </w:pPr>
            <w:r>
              <w:rPr>
                <w:szCs w:val="22"/>
              </w:rPr>
              <w:t>418</w:t>
            </w:r>
          </w:p>
        </w:tc>
      </w:tr>
      <w:tr>
        <w:tc>
          <w:tcPr>
            <w:tcW w:w="851" w:type="dxa"/>
          </w:tcPr>
          <w:p>
            <w:pPr>
              <w:pStyle w:val="yTableNAm"/>
            </w:pPr>
          </w:p>
        </w:tc>
        <w:tc>
          <w:tcPr>
            <w:tcW w:w="5245" w:type="dxa"/>
          </w:tcPr>
          <w:p>
            <w:pPr>
              <w:pStyle w:val="yTableNAm"/>
              <w:tabs>
                <w:tab w:val="right" w:pos="4299"/>
                <w:tab w:val="right" w:leader="dot" w:pos="4963"/>
                <w:tab w:val="left" w:leader="dot" w:pos="5443"/>
              </w:tabs>
            </w:pPr>
            <w:r>
              <w:t>(g)</w:t>
            </w:r>
            <w:r>
              <w:tab/>
              <w:t>two</w:t>
            </w:r>
            <w:r>
              <w:noBreakHyphen/>
              <w:t>up </w:t>
            </w:r>
            <w:r>
              <w:rPr>
                <w:snapToGrid w:val="0"/>
              </w:rPr>
              <w:t>—</w:t>
            </w:r>
            <w:r>
              <w:t>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by a country race club </w:t>
            </w:r>
            <w:r>
              <w:tab/>
            </w:r>
          </w:p>
        </w:tc>
        <w:tc>
          <w:tcPr>
            <w:tcW w:w="992" w:type="dxa"/>
          </w:tcPr>
          <w:p>
            <w:pPr>
              <w:pStyle w:val="yTableNAm"/>
              <w:jc w:val="center"/>
            </w:pPr>
            <w:r>
              <w:rPr>
                <w:szCs w:val="22"/>
              </w:rPr>
              <w:t>151</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otherwise </w:t>
            </w:r>
            <w:r>
              <w:tab/>
            </w:r>
          </w:p>
        </w:tc>
        <w:tc>
          <w:tcPr>
            <w:tcW w:w="992" w:type="dxa"/>
          </w:tcPr>
          <w:p>
            <w:pPr>
              <w:pStyle w:val="yTableNAm"/>
              <w:jc w:val="center"/>
            </w:pPr>
            <w:r>
              <w:rPr>
                <w:szCs w:val="22"/>
              </w:rPr>
              <w:t>224</w:t>
            </w:r>
          </w:p>
        </w:tc>
      </w:tr>
      <w:tr>
        <w:tc>
          <w:tcPr>
            <w:tcW w:w="851" w:type="dxa"/>
          </w:tcPr>
          <w:p>
            <w:pPr>
              <w:pStyle w:val="yTableNAm"/>
            </w:pPr>
            <w:r>
              <w:t>6.</w:t>
            </w:r>
          </w:p>
        </w:tc>
        <w:tc>
          <w:tcPr>
            <w:tcW w:w="5245" w:type="dxa"/>
          </w:tcPr>
          <w:p>
            <w:pPr>
              <w:pStyle w:val="yTableNAm"/>
              <w:tabs>
                <w:tab w:val="right" w:pos="4299"/>
                <w:tab w:val="right" w:leader="dot" w:pos="4963"/>
                <w:tab w:val="left" w:leader="dot" w:pos="5443"/>
              </w:tabs>
            </w:pPr>
            <w:r>
              <w:t>Application for a permit of a continuing nature for —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(a)</w:t>
            </w:r>
            <w:r>
              <w:tab/>
              <w:t xml:space="preserve">bingo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 xml:space="preserve">multiple bingo, for each premises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simultaneous bingo, for each premises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pos="4299"/>
                <w:tab w:val="right" w:leader="dot" w:pos="4963"/>
                <w:tab w:val="left" w:leader="dot" w:pos="5443"/>
              </w:tabs>
              <w:ind w:left="579" w:hanging="579"/>
            </w:pPr>
            <w:r>
              <w:t>(d)</w:t>
            </w:r>
            <w:r>
              <w:tab/>
              <w:t>a standard lottery, where the total retail value of prizes or prize money is —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not more than $5 000 </w:t>
            </w:r>
            <w:r>
              <w:tab/>
            </w:r>
          </w:p>
        </w:tc>
        <w:tc>
          <w:tcPr>
            <w:tcW w:w="992" w:type="dxa"/>
          </w:tcPr>
          <w:p>
            <w:pPr>
              <w:pStyle w:val="yTableNAm"/>
              <w:jc w:val="center"/>
            </w:pPr>
            <w:r>
              <w:rPr>
                <w:szCs w:val="22"/>
              </w:rPr>
              <w:t>48</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more than $5 000 but not more than $50 000 </w:t>
            </w:r>
            <w:r>
              <w:tab/>
            </w:r>
          </w:p>
        </w:tc>
        <w:tc>
          <w:tcPr>
            <w:tcW w:w="992" w:type="dxa"/>
          </w:tcPr>
          <w:p>
            <w:pPr>
              <w:pStyle w:val="yTableNAm"/>
              <w:jc w:val="center"/>
              <w:rPr>
                <w:i/>
              </w:rPr>
            </w:pPr>
            <w:r>
              <w:rPr>
                <w:u w:val="single"/>
              </w:rPr>
              <w:br/>
            </w:r>
            <w:r>
              <w:rPr>
                <w:szCs w:val="22"/>
              </w:rPr>
              <w:t>113</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(iii)</w:t>
            </w:r>
            <w:r>
              <w:tab/>
              <w:t xml:space="preserve">more than $50 000 but not more than $100 000 </w:t>
            </w:r>
            <w:r>
              <w:tab/>
            </w:r>
          </w:p>
        </w:tc>
        <w:tc>
          <w:tcPr>
            <w:tcW w:w="992" w:type="dxa"/>
          </w:tcPr>
          <w:p>
            <w:pPr>
              <w:pStyle w:val="yTableNAm"/>
              <w:jc w:val="center"/>
              <w:rPr>
                <w:i/>
              </w:rPr>
            </w:pPr>
            <w:r>
              <w:rPr>
                <w:u w:val="single"/>
              </w:rPr>
              <w:br/>
            </w:r>
            <w:r>
              <w:rPr>
                <w:szCs w:val="22"/>
              </w:rPr>
              <w:t>219</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(iv)</w:t>
            </w:r>
            <w:r>
              <w:tab/>
              <w:t xml:space="preserve">more than $100 000 but not more than $200 000 </w:t>
            </w:r>
            <w:r>
              <w:tab/>
            </w:r>
          </w:p>
        </w:tc>
        <w:tc>
          <w:tcPr>
            <w:tcW w:w="992" w:type="dxa"/>
          </w:tcPr>
          <w:p>
            <w:pPr>
              <w:pStyle w:val="yTableNAm"/>
              <w:jc w:val="center"/>
              <w:rPr>
                <w:i/>
              </w:rPr>
            </w:pPr>
            <w:r>
              <w:rPr>
                <w:u w:val="single"/>
              </w:rPr>
              <w:br/>
            </w:r>
            <w:r>
              <w:rPr>
                <w:szCs w:val="22"/>
              </w:rPr>
              <w:t>451</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(v)</w:t>
            </w:r>
            <w:r>
              <w:tab/>
              <w:t xml:space="preserve">more than $200 000 </w:t>
            </w:r>
            <w:r>
              <w:tab/>
            </w:r>
          </w:p>
        </w:tc>
        <w:tc>
          <w:tcPr>
            <w:tcW w:w="992" w:type="dxa"/>
          </w:tcPr>
          <w:p>
            <w:pPr>
              <w:pStyle w:val="yTableNAm"/>
              <w:jc w:val="center"/>
            </w:pPr>
            <w:r>
              <w:rPr>
                <w:szCs w:val="22"/>
              </w:rPr>
              <w:t>690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992" w:type="dxa"/>
          </w:tcPr>
          <w:p>
            <w:pPr>
              <w:pStyle w:val="yTableNAm"/>
              <w:jc w:val="center"/>
              <w:rPr>
                <w:i/>
              </w:rPr>
            </w:pPr>
            <w:r>
              <w:br/>
              <w:t>151</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(e)</w:t>
            </w:r>
            <w:r>
              <w:tab/>
              <w:t xml:space="preserve">a continuing lottery </w:t>
            </w:r>
            <w:r>
              <w:tab/>
            </w:r>
          </w:p>
        </w:tc>
        <w:tc>
          <w:tcPr>
            <w:tcW w:w="992" w:type="dxa"/>
          </w:tcPr>
          <w:p>
            <w:pPr>
              <w:pStyle w:val="yTableNAm"/>
              <w:jc w:val="center"/>
            </w:pPr>
            <w:r>
              <w:t>25</w:t>
            </w:r>
          </w:p>
        </w:tc>
      </w:tr>
      <w:tr>
        <w:tc>
          <w:tcPr>
            <w:tcW w:w="851" w:type="dxa"/>
          </w:tcPr>
          <w:p>
            <w:pPr>
              <w:pStyle w:val="yTableNAm"/>
              <w:keepNext/>
            </w:pPr>
          </w:p>
        </w:tc>
        <w:tc>
          <w:tcPr>
            <w:tcW w:w="5245" w:type="dxa"/>
          </w:tcPr>
          <w:p>
            <w:pPr>
              <w:pStyle w:val="yTableNAm"/>
              <w:tabs>
                <w:tab w:val="right" w:leader="dot" w:pos="4963"/>
                <w:tab w:val="left" w:leader="dot" w:pos="5103"/>
                <w:tab w:val="left" w:leader="dot" w:pos="5443"/>
              </w:tabs>
              <w:ind w:left="579" w:hanging="579"/>
            </w:pPr>
            <w:r>
              <w:t>(f)</w:t>
            </w:r>
            <w:r>
              <w:tab/>
              <w:t>gaming (per day authorised) —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1</w:t>
            </w:r>
            <w:r>
              <w:noBreakHyphen/>
              <w:t xml:space="preserve">5 tables </w:t>
            </w:r>
            <w:r>
              <w:tab/>
            </w:r>
          </w:p>
        </w:tc>
        <w:tc>
          <w:tcPr>
            <w:tcW w:w="992" w:type="dxa"/>
          </w:tcPr>
          <w:p>
            <w:pPr>
              <w:pStyle w:val="yTableNAm"/>
              <w:jc w:val="center"/>
            </w:pPr>
            <w:r>
              <w:rPr>
                <w:szCs w:val="22"/>
              </w:rPr>
              <w:t>180</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6</w:t>
            </w:r>
            <w:r>
              <w:noBreakHyphen/>
              <w:t xml:space="preserve">10 tables </w:t>
            </w:r>
            <w:r>
              <w:tab/>
            </w:r>
          </w:p>
        </w:tc>
        <w:tc>
          <w:tcPr>
            <w:tcW w:w="992" w:type="dxa"/>
          </w:tcPr>
          <w:p>
            <w:pPr>
              <w:pStyle w:val="yTableNAm"/>
              <w:jc w:val="center"/>
            </w:pPr>
            <w:r>
              <w:rPr>
                <w:szCs w:val="22"/>
              </w:rPr>
              <w:t>330</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(iii)</w:t>
            </w:r>
            <w:r>
              <w:tab/>
              <w:t xml:space="preserve">over 10 tables </w:t>
            </w:r>
            <w:r>
              <w:tab/>
            </w:r>
          </w:p>
        </w:tc>
        <w:tc>
          <w:tcPr>
            <w:tcW w:w="992" w:type="dxa"/>
          </w:tcPr>
          <w:p>
            <w:pPr>
              <w:pStyle w:val="yTableNAm"/>
              <w:jc w:val="center"/>
            </w:pPr>
            <w:r>
              <w:rPr>
                <w:szCs w:val="22"/>
              </w:rPr>
              <w:t>412</w:t>
            </w:r>
          </w:p>
        </w:tc>
      </w:tr>
      <w:tr>
        <w:tc>
          <w:tcPr>
            <w:tcW w:w="851" w:type="dxa"/>
          </w:tcPr>
          <w:p>
            <w:pPr>
              <w:pStyle w:val="yTableNAm"/>
              <w:keepNext/>
            </w:pPr>
          </w:p>
        </w:tc>
        <w:tc>
          <w:tcPr>
            <w:tcW w:w="5245" w:type="dxa"/>
          </w:tcPr>
          <w:p>
            <w:pPr>
              <w:pStyle w:val="yTableNAm"/>
              <w:keepNext/>
              <w:tabs>
                <w:tab w:val="right" w:leader="dot" w:pos="4963"/>
                <w:tab w:val="left" w:leader="dot" w:pos="5103"/>
                <w:tab w:val="left" w:leader="dot" w:pos="5443"/>
              </w:tabs>
              <w:ind w:left="579" w:hanging="579"/>
            </w:pPr>
            <w:r>
              <w:t>(g)</w:t>
            </w:r>
            <w:r>
              <w:tab/>
              <w:t>two</w:t>
            </w:r>
            <w:r>
              <w:noBreakHyphen/>
              <w:t>up </w:t>
            </w:r>
            <w:r>
              <w:rPr>
                <w:snapToGrid w:val="0"/>
              </w:rPr>
              <w:t>—</w:t>
            </w:r>
            <w:r>
              <w:t> </w:t>
            </w:r>
          </w:p>
        </w:tc>
        <w:tc>
          <w:tcPr>
            <w:tcW w:w="992" w:type="dxa"/>
          </w:tcPr>
          <w:p>
            <w:pPr>
              <w:pStyle w:val="yTableNAm"/>
              <w:keepNext/>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by a country race club, per day authorised </w:t>
            </w:r>
            <w:r>
              <w:tab/>
            </w:r>
          </w:p>
        </w:tc>
        <w:tc>
          <w:tcPr>
            <w:tcW w:w="992" w:type="dxa"/>
          </w:tcPr>
          <w:p>
            <w:pPr>
              <w:pStyle w:val="yTableNAm"/>
              <w:jc w:val="center"/>
              <w:rPr>
                <w:i/>
              </w:rPr>
            </w:pPr>
            <w:r>
              <w:rPr>
                <w:szCs w:val="22"/>
              </w:rPr>
              <w:t>119</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otherwise, per day authorised </w:t>
            </w:r>
            <w:r>
              <w:tab/>
            </w:r>
          </w:p>
        </w:tc>
        <w:tc>
          <w:tcPr>
            <w:tcW w:w="992" w:type="dxa"/>
          </w:tcPr>
          <w:p>
            <w:pPr>
              <w:pStyle w:val="yTableNAm"/>
              <w:jc w:val="center"/>
            </w:pPr>
            <w:r>
              <w:rPr>
                <w:szCs w:val="22"/>
              </w:rPr>
              <w:t>180</w:t>
            </w:r>
          </w:p>
        </w:tc>
      </w:tr>
      <w:tr>
        <w:tc>
          <w:tcPr>
            <w:tcW w:w="851" w:type="dxa"/>
          </w:tcPr>
          <w:p>
            <w:pPr>
              <w:pStyle w:val="yTableNAm"/>
            </w:pPr>
            <w:r>
              <w:t>7.</w:t>
            </w:r>
          </w:p>
        </w:tc>
        <w:tc>
          <w:tcPr>
            <w:tcW w:w="5245" w:type="dxa"/>
          </w:tcPr>
          <w:p>
            <w:pPr>
              <w:pStyle w:val="yTableNAm"/>
              <w:tabs>
                <w:tab w:val="right" w:pos="4299"/>
                <w:tab w:val="right" w:leader="dot" w:pos="4963"/>
                <w:tab w:val="left" w:leader="dot" w:pos="5443"/>
              </w:tabs>
            </w:pPr>
            <w:r>
              <w:t>Application for approval of premises for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(a)</w:t>
            </w:r>
            <w:r>
              <w:tab/>
              <w:t xml:space="preserve">a specific function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 xml:space="preserve">functions from time to time </w:t>
            </w:r>
            <w:r>
              <w:tab/>
            </w:r>
          </w:p>
        </w:tc>
        <w:tc>
          <w:tcPr>
            <w:tcW w:w="992" w:type="dxa"/>
          </w:tcPr>
          <w:p>
            <w:pPr>
              <w:pStyle w:val="yTableNAm"/>
              <w:jc w:val="center"/>
            </w:pPr>
            <w:r>
              <w:rPr>
                <w:szCs w:val="22"/>
              </w:rPr>
              <w:t>74</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permit of a continuing nature </w:t>
            </w:r>
            <w:r>
              <w:tab/>
            </w:r>
          </w:p>
        </w:tc>
        <w:tc>
          <w:tcPr>
            <w:tcW w:w="992" w:type="dxa"/>
          </w:tcPr>
          <w:p>
            <w:pPr>
              <w:pStyle w:val="yTableNAm"/>
              <w:jc w:val="center"/>
            </w:pPr>
            <w:r>
              <w:rPr>
                <w:szCs w:val="22"/>
              </w:rPr>
              <w:t>74</w:t>
            </w:r>
          </w:p>
        </w:tc>
      </w:tr>
      <w:tr>
        <w:tc>
          <w:tcPr>
            <w:tcW w:w="851" w:type="dxa"/>
          </w:tcPr>
          <w:p>
            <w:pPr>
              <w:pStyle w:val="yTableNAm"/>
            </w:pPr>
            <w:r>
              <w:t>8.</w:t>
            </w:r>
          </w:p>
        </w:tc>
        <w:tc>
          <w:tcPr>
            <w:tcW w:w="5245" w:type="dxa"/>
          </w:tcPr>
          <w:p>
            <w:pPr>
              <w:pStyle w:val="yTableNAm"/>
              <w:tabs>
                <w:tab w:val="right" w:pos="4299"/>
                <w:tab w:val="right" w:leader="dot" w:pos="4963"/>
                <w:tab w:val="left" w:leader="dot" w:pos="5443"/>
              </w:tabs>
            </w:pPr>
            <w:r>
              <w:t>Issue of a certificate under section 92 relating to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(a)</w:t>
            </w:r>
            <w:r>
              <w:tab/>
              <w:t xml:space="preserve">multiple bingo </w:t>
            </w:r>
            <w:r>
              <w:tab/>
            </w:r>
          </w:p>
        </w:tc>
        <w:tc>
          <w:tcPr>
            <w:tcW w:w="992" w:type="dxa"/>
          </w:tcPr>
          <w:p>
            <w:pPr>
              <w:pStyle w:val="yTableNAm"/>
              <w:jc w:val="center"/>
            </w:pPr>
            <w:r>
              <w:rPr>
                <w:szCs w:val="22"/>
              </w:rPr>
              <w:t>151</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simultaneous bingo</w:t>
            </w:r>
            <w:r>
              <w:tab/>
            </w:r>
          </w:p>
        </w:tc>
        <w:tc>
          <w:tcPr>
            <w:tcW w:w="992" w:type="dxa"/>
          </w:tcPr>
          <w:p>
            <w:pPr>
              <w:pStyle w:val="yTableNAm"/>
              <w:jc w:val="center"/>
            </w:pPr>
            <w:r>
              <w:rPr>
                <w:szCs w:val="22"/>
              </w:rPr>
              <w:t>151</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assisting in the conduct of bingo, for hire or reward </w:t>
            </w:r>
            <w:r>
              <w:tab/>
            </w:r>
          </w:p>
        </w:tc>
        <w:tc>
          <w:tcPr>
            <w:tcW w:w="992" w:type="dxa"/>
          </w:tcPr>
          <w:p>
            <w:pPr>
              <w:pStyle w:val="yTableNAm"/>
              <w:jc w:val="center"/>
              <w:rPr>
                <w:i/>
              </w:rPr>
            </w:pPr>
            <w:r>
              <w:br/>
            </w:r>
            <w:r>
              <w:rPr>
                <w:szCs w:val="22"/>
              </w:rPr>
              <w:t>151</w:t>
            </w:r>
          </w:p>
        </w:tc>
      </w:tr>
      <w:tr>
        <w:tc>
          <w:tcPr>
            <w:tcW w:w="851" w:type="dxa"/>
          </w:tcPr>
          <w:p>
            <w:pPr>
              <w:pStyle w:val="yTableNAm"/>
            </w:pPr>
            <w:r>
              <w:t>9.</w:t>
            </w:r>
          </w:p>
        </w:tc>
        <w:tc>
          <w:tcPr>
            <w:tcW w:w="5245" w:type="dxa"/>
          </w:tcPr>
          <w:p>
            <w:pPr>
              <w:pStyle w:val="yTableNAm"/>
              <w:tabs>
                <w:tab w:val="right" w:leader="dot" w:pos="4963"/>
                <w:tab w:val="left" w:leader="dot" w:pos="5103"/>
                <w:tab w:val="left" w:leader="dot" w:pos="5443"/>
              </w:tabs>
              <w:ind w:left="579" w:hanging="579"/>
            </w:pPr>
            <w:r>
              <w:t xml:space="preserve">Issue of an approved operator’s certificate </w:t>
            </w:r>
            <w:r>
              <w:tab/>
            </w:r>
          </w:p>
        </w:tc>
        <w:tc>
          <w:tcPr>
            <w:tcW w:w="992" w:type="dxa"/>
          </w:tcPr>
          <w:p>
            <w:pPr>
              <w:pStyle w:val="yTableNAm"/>
              <w:jc w:val="center"/>
            </w:pPr>
            <w:r>
              <w:rPr>
                <w:szCs w:val="22"/>
              </w:rPr>
              <w:t>247</w:t>
            </w:r>
          </w:p>
        </w:tc>
      </w:tr>
      <w:tr>
        <w:tc>
          <w:tcPr>
            <w:tcW w:w="851" w:type="dxa"/>
          </w:tcPr>
          <w:p>
            <w:pPr>
              <w:pStyle w:val="yTableNAm"/>
            </w:pPr>
            <w:r>
              <w:t>10.</w:t>
            </w:r>
          </w:p>
        </w:tc>
        <w:tc>
          <w:tcPr>
            <w:tcW w:w="5245" w:type="dxa"/>
          </w:tcPr>
          <w:p>
            <w:pPr>
              <w:pStyle w:val="yTableNAm"/>
              <w:tabs>
                <w:tab w:val="right" w:leader="dot" w:pos="4963"/>
                <w:tab w:val="left" w:leader="dot" w:pos="5103"/>
                <w:tab w:val="left" w:leader="dot" w:pos="5443"/>
              </w:tabs>
              <w:ind w:left="579" w:hanging="579"/>
            </w:pPr>
            <w:r>
              <w:t xml:space="preserve">Issue of a certificate under section 88(5) </w:t>
            </w:r>
            <w:r>
              <w:tab/>
            </w:r>
          </w:p>
        </w:tc>
        <w:tc>
          <w:tcPr>
            <w:tcW w:w="992" w:type="dxa"/>
          </w:tcPr>
          <w:p>
            <w:pPr>
              <w:pStyle w:val="yTableNAm"/>
              <w:jc w:val="center"/>
            </w:pPr>
            <w:r>
              <w:rPr>
                <w:szCs w:val="22"/>
              </w:rPr>
              <w:t>324</w:t>
            </w:r>
          </w:p>
        </w:tc>
      </w:tr>
      <w:tr>
        <w:tc>
          <w:tcPr>
            <w:tcW w:w="851" w:type="dxa"/>
          </w:tcPr>
          <w:p>
            <w:pPr>
              <w:pStyle w:val="yTableNAm"/>
            </w:pPr>
            <w:r>
              <w:t>11.</w:t>
            </w:r>
          </w:p>
        </w:tc>
        <w:tc>
          <w:tcPr>
            <w:tcW w:w="5245" w:type="dxa"/>
          </w:tcPr>
          <w:p>
            <w:pPr>
              <w:pStyle w:val="yTableNAm"/>
              <w:tabs>
                <w:tab w:val="right" w:leader="dot" w:pos="4963"/>
                <w:tab w:val="left" w:leader="dot" w:pos="5103"/>
                <w:tab w:val="left" w:leader="dot" w:pos="5443"/>
              </w:tabs>
              <w:ind w:left="579" w:hanging="579"/>
            </w:pPr>
            <w:r>
              <w:t xml:space="preserve">Application to be a licensed supplier </w:t>
            </w:r>
            <w:r>
              <w:tab/>
            </w:r>
          </w:p>
        </w:tc>
        <w:tc>
          <w:tcPr>
            <w:tcW w:w="992" w:type="dxa"/>
          </w:tcPr>
          <w:p>
            <w:pPr>
              <w:pStyle w:val="yTableNAm"/>
              <w:jc w:val="center"/>
            </w:pPr>
            <w:r>
              <w:rPr>
                <w:szCs w:val="22"/>
              </w:rPr>
              <w:t>301</w:t>
            </w:r>
          </w:p>
        </w:tc>
      </w:tr>
      <w:tr>
        <w:tc>
          <w:tcPr>
            <w:tcW w:w="851" w:type="dxa"/>
          </w:tcPr>
          <w:p>
            <w:pPr>
              <w:pStyle w:val="yTableNAm"/>
            </w:pPr>
            <w:r>
              <w:t>12.</w:t>
            </w:r>
          </w:p>
        </w:tc>
        <w:tc>
          <w:tcPr>
            <w:tcW w:w="5245" w:type="dxa"/>
          </w:tcPr>
          <w:p>
            <w:pPr>
              <w:pStyle w:val="yTableNAm"/>
              <w:tabs>
                <w:tab w:val="clear" w:pos="567"/>
                <w:tab w:val="left" w:pos="0"/>
                <w:tab w:val="right" w:leader="dot" w:pos="4963"/>
                <w:tab w:val="left" w:leader="dot" w:pos="5103"/>
                <w:tab w:val="left" w:leader="dot" w:pos="5443"/>
              </w:tabs>
            </w:pPr>
            <w:r>
              <w:t xml:space="preserve">Approval to operate, or remove money from, gaming equipment </w:t>
            </w:r>
            <w:r>
              <w:tab/>
            </w:r>
          </w:p>
        </w:tc>
        <w:tc>
          <w:tcPr>
            <w:tcW w:w="992" w:type="dxa"/>
          </w:tcPr>
          <w:p>
            <w:pPr>
              <w:pStyle w:val="yTableNAm"/>
              <w:jc w:val="center"/>
            </w:pPr>
            <w:r>
              <w:br/>
              <w:t>25</w:t>
            </w:r>
          </w:p>
        </w:tc>
      </w:tr>
    </w:tbl>
    <w:p>
      <w:pPr>
        <w:pStyle w:val="yFootnotesection"/>
      </w:pPr>
      <w:r>
        <w:tab/>
        <w:t>[Schedule 1 inserted in Gazette 30 Oct 2009 p. 4317</w:t>
      </w:r>
      <w:r>
        <w:noBreakHyphen/>
        <w:t>19; amended in Gazette 19 Nov 2010 p. 5748 (correction in Gazette 20 May 2011 p. 1840); 4 Nov 2011 p. 4645</w:t>
      </w:r>
      <w:r>
        <w:noBreakHyphen/>
        <w:t>6; 16 Nov 2012 p. 5650</w:t>
      </w:r>
      <w:r>
        <w:noBreakHyphen/>
        <w:t xml:space="preserve">1; </w:t>
      </w:r>
      <w:r>
        <w:rPr>
          <w:szCs w:val="22"/>
        </w:rPr>
        <w:t>8 Nov 2013 p</w:t>
      </w:r>
      <w:r>
        <w:t>. 4976</w:t>
      </w:r>
      <w:r>
        <w:noBreakHyphen/>
        <w:t>7; 14 Nov 2014 p. 4282</w:t>
      </w:r>
      <w:r>
        <w:noBreakHyphen/>
        <w:t>4; 6 Nov 2015 p. 4583-4.]</w:t>
      </w:r>
    </w:p>
    <w:p>
      <w:pPr>
        <w:pStyle w:val="yScheduleHeading"/>
      </w:pPr>
      <w:bookmarkStart w:id="271" w:name="_Toc403656894"/>
      <w:bookmarkStart w:id="272" w:name="_Toc403720640"/>
      <w:bookmarkStart w:id="273" w:name="_Toc407629221"/>
      <w:bookmarkStart w:id="274" w:name="_Toc418677891"/>
      <w:bookmarkStart w:id="275" w:name="_Toc418678000"/>
      <w:bookmarkStart w:id="276" w:name="_Toc436646326"/>
      <w:bookmarkStart w:id="277" w:name="_Toc438113761"/>
      <w:bookmarkStart w:id="278" w:name="_Toc439166304"/>
      <w:bookmarkStart w:id="279" w:name="_Toc460853189"/>
      <w:r>
        <w:rPr>
          <w:rStyle w:val="CharSchNo"/>
        </w:rPr>
        <w:t>Schedule 2</w:t>
      </w:r>
      <w:r>
        <w:t> — </w:t>
      </w:r>
      <w:r>
        <w:rPr>
          <w:rStyle w:val="CharSchText"/>
        </w:rPr>
        <w:t>Prescribed penalties under section 36(1)</w:t>
      </w:r>
      <w:bookmarkEnd w:id="271"/>
      <w:bookmarkEnd w:id="272"/>
      <w:bookmarkEnd w:id="273"/>
      <w:bookmarkEnd w:id="274"/>
      <w:bookmarkEnd w:id="275"/>
      <w:bookmarkEnd w:id="276"/>
      <w:bookmarkEnd w:id="277"/>
      <w:bookmarkEnd w:id="278"/>
      <w:bookmarkEnd w:id="279"/>
    </w:p>
    <w:p>
      <w:pPr>
        <w:pStyle w:val="yFootnoteheading"/>
        <w:spacing w:before="80" w:after="80"/>
      </w:pPr>
      <w:r>
        <w:tab/>
        <w:t>[Heading inserted in Gazette 10 Jun 2008 p. 2495.]</w:t>
      </w:r>
    </w:p>
    <w:tbl>
      <w:tblPr>
        <w:tblW w:w="0" w:type="auto"/>
        <w:tblInd w:w="85" w:type="dxa"/>
        <w:tblLayout w:type="fixed"/>
        <w:tblCellMar>
          <w:left w:w="85" w:type="dxa"/>
          <w:right w:w="141" w:type="dxa"/>
        </w:tblCellMar>
        <w:tblLook w:val="0000" w:firstRow="0" w:lastRow="0" w:firstColumn="0" w:lastColumn="0" w:noHBand="0" w:noVBand="0"/>
      </w:tblPr>
      <w:tblGrid>
        <w:gridCol w:w="1190"/>
        <w:gridCol w:w="4801"/>
        <w:gridCol w:w="19"/>
        <w:gridCol w:w="1078"/>
      </w:tblGrid>
      <w:tr>
        <w:tc>
          <w:tcPr>
            <w:tcW w:w="1190" w:type="dxa"/>
            <w:tcBorders>
              <w:top w:val="single" w:sz="4" w:space="0" w:color="auto"/>
            </w:tcBorders>
          </w:tcPr>
          <w:p>
            <w:pPr>
              <w:pStyle w:val="yTable"/>
            </w:pPr>
            <w:r>
              <w:rPr>
                <w:b/>
                <w:bCs/>
                <w:sz w:val="20"/>
              </w:rPr>
              <w:t>Section</w:t>
            </w:r>
          </w:p>
        </w:tc>
        <w:tc>
          <w:tcPr>
            <w:tcW w:w="4820" w:type="dxa"/>
            <w:gridSpan w:val="2"/>
            <w:tcBorders>
              <w:top w:val="single" w:sz="4" w:space="0" w:color="auto"/>
            </w:tcBorders>
          </w:tcPr>
          <w:p>
            <w:pPr>
              <w:pStyle w:val="yTable"/>
              <w:jc w:val="center"/>
            </w:pPr>
            <w:r>
              <w:rPr>
                <w:b/>
                <w:bCs/>
                <w:sz w:val="20"/>
              </w:rPr>
              <w:t>Description of offence</w:t>
            </w:r>
          </w:p>
        </w:tc>
        <w:tc>
          <w:tcPr>
            <w:tcW w:w="1078" w:type="dxa"/>
            <w:tcBorders>
              <w:top w:val="single" w:sz="4" w:space="0" w:color="auto"/>
            </w:tcBorders>
          </w:tcPr>
          <w:p>
            <w:pPr>
              <w:pStyle w:val="yTable"/>
              <w:jc w:val="center"/>
            </w:pPr>
            <w:r>
              <w:rPr>
                <w:b/>
                <w:bCs/>
                <w:sz w:val="20"/>
              </w:rPr>
              <w:t>Modified penalty</w:t>
            </w:r>
          </w:p>
        </w:tc>
      </w:tr>
      <w:tr>
        <w:tc>
          <w:tcPr>
            <w:tcW w:w="1190" w:type="dxa"/>
            <w:tcBorders>
              <w:bottom w:val="single" w:sz="4" w:space="0" w:color="auto"/>
            </w:tcBorders>
          </w:tcPr>
          <w:p>
            <w:pPr>
              <w:pStyle w:val="zytable"/>
              <w:spacing w:before="0"/>
              <w:ind w:left="0" w:right="0"/>
              <w:jc w:val="center"/>
              <w:rPr>
                <w:b/>
                <w:bCs/>
                <w:sz w:val="20"/>
              </w:rPr>
            </w:pPr>
          </w:p>
        </w:tc>
        <w:tc>
          <w:tcPr>
            <w:tcW w:w="4820" w:type="dxa"/>
            <w:gridSpan w:val="2"/>
            <w:tcBorders>
              <w:bottom w:val="single" w:sz="4" w:space="0" w:color="auto"/>
            </w:tcBorders>
          </w:tcPr>
          <w:p>
            <w:pPr>
              <w:pStyle w:val="zytable"/>
              <w:spacing w:before="0"/>
              <w:ind w:left="0" w:right="-141"/>
              <w:jc w:val="center"/>
              <w:rPr>
                <w:b/>
                <w:bCs/>
                <w:sz w:val="20"/>
              </w:rPr>
            </w:pPr>
          </w:p>
        </w:tc>
        <w:tc>
          <w:tcPr>
            <w:tcW w:w="1078" w:type="dxa"/>
            <w:tcBorders>
              <w:bottom w:val="single" w:sz="4" w:space="0" w:color="auto"/>
            </w:tcBorders>
          </w:tcPr>
          <w:p>
            <w:pPr>
              <w:pStyle w:val="yTable"/>
              <w:jc w:val="center"/>
            </w:pPr>
            <w:r>
              <w:rPr>
                <w:b/>
                <w:bCs/>
                <w:sz w:val="20"/>
              </w:rPr>
              <w:t>$</w:t>
            </w:r>
          </w:p>
        </w:tc>
      </w:tr>
      <w:tr>
        <w:tc>
          <w:tcPr>
            <w:tcW w:w="1190" w:type="dxa"/>
          </w:tcPr>
          <w:p>
            <w:pPr>
              <w:pStyle w:val="yTable"/>
            </w:pPr>
            <w:r>
              <w:rPr>
                <w:sz w:val="20"/>
              </w:rPr>
              <w:t>41(3)</w:t>
            </w:r>
          </w:p>
        </w:tc>
        <w:tc>
          <w:tcPr>
            <w:tcW w:w="4820" w:type="dxa"/>
            <w:gridSpan w:val="2"/>
          </w:tcPr>
          <w:p>
            <w:pPr>
              <w:pStyle w:val="yTable"/>
              <w:tabs>
                <w:tab w:val="left" w:leader="dot" w:pos="4594"/>
              </w:tabs>
            </w:pPr>
            <w:r>
              <w:rPr>
                <w:sz w:val="20"/>
              </w:rPr>
              <w:t>Being concerned in the conduct of gambling at a common gaming house</w:t>
            </w:r>
            <w:r>
              <w:rPr>
                <w:sz w:val="20"/>
              </w:rPr>
              <w:tab/>
            </w:r>
          </w:p>
        </w:tc>
        <w:tc>
          <w:tcPr>
            <w:tcW w:w="1078" w:type="dxa"/>
          </w:tcPr>
          <w:p>
            <w:pPr>
              <w:pStyle w:val="yTable"/>
              <w:jc w:val="center"/>
            </w:pPr>
            <w:r>
              <w:rPr>
                <w:sz w:val="20"/>
              </w:rPr>
              <w:br/>
              <w:t>250</w:t>
            </w:r>
          </w:p>
        </w:tc>
      </w:tr>
      <w:tr>
        <w:tc>
          <w:tcPr>
            <w:tcW w:w="1190" w:type="dxa"/>
          </w:tcPr>
          <w:p>
            <w:pPr>
              <w:pStyle w:val="yTable"/>
            </w:pPr>
            <w:r>
              <w:rPr>
                <w:sz w:val="20"/>
              </w:rPr>
              <w:t>41(6)</w:t>
            </w:r>
          </w:p>
        </w:tc>
        <w:tc>
          <w:tcPr>
            <w:tcW w:w="4820" w:type="dxa"/>
            <w:gridSpan w:val="2"/>
          </w:tcPr>
          <w:p>
            <w:pPr>
              <w:pStyle w:val="yTable"/>
              <w:tabs>
                <w:tab w:val="left" w:leader="dot" w:pos="4594"/>
              </w:tabs>
            </w:pPr>
            <w:r>
              <w:rPr>
                <w:sz w:val="20"/>
              </w:rPr>
              <w:t>Being present at a common gaming house for the purpose of taking part in gambling</w:t>
            </w:r>
            <w:r>
              <w:rPr>
                <w:sz w:val="20"/>
              </w:rPr>
              <w:tab/>
            </w:r>
          </w:p>
        </w:tc>
        <w:tc>
          <w:tcPr>
            <w:tcW w:w="1078" w:type="dxa"/>
          </w:tcPr>
          <w:p>
            <w:pPr>
              <w:pStyle w:val="yTable"/>
              <w:jc w:val="center"/>
            </w:pPr>
            <w:r>
              <w:rPr>
                <w:sz w:val="20"/>
              </w:rPr>
              <w:br/>
              <w:t>50</w:t>
            </w:r>
          </w:p>
        </w:tc>
      </w:tr>
      <w:tr>
        <w:tc>
          <w:tcPr>
            <w:tcW w:w="1190" w:type="dxa"/>
          </w:tcPr>
          <w:p>
            <w:pPr>
              <w:pStyle w:val="yTable"/>
            </w:pPr>
            <w:r>
              <w:rPr>
                <w:sz w:val="20"/>
              </w:rPr>
              <w:t>42(4)</w:t>
            </w:r>
          </w:p>
        </w:tc>
        <w:tc>
          <w:tcPr>
            <w:tcW w:w="4820" w:type="dxa"/>
            <w:gridSpan w:val="2"/>
          </w:tcPr>
          <w:p>
            <w:pPr>
              <w:pStyle w:val="yTable"/>
              <w:tabs>
                <w:tab w:val="left" w:leader="dot" w:pos="4594"/>
              </w:tabs>
            </w:pPr>
            <w:r>
              <w:rPr>
                <w:sz w:val="20"/>
              </w:rPr>
              <w:t>Being knowingly concerned in the conduct of an unlawful game</w:t>
            </w:r>
            <w:r>
              <w:rPr>
                <w:sz w:val="20"/>
              </w:rPr>
              <w:tab/>
            </w:r>
          </w:p>
        </w:tc>
        <w:tc>
          <w:tcPr>
            <w:tcW w:w="1078" w:type="dxa"/>
          </w:tcPr>
          <w:p>
            <w:pPr>
              <w:pStyle w:val="yTable"/>
              <w:jc w:val="center"/>
            </w:pPr>
            <w:r>
              <w:rPr>
                <w:sz w:val="20"/>
              </w:rPr>
              <w:br/>
              <w:t>200</w:t>
            </w:r>
          </w:p>
        </w:tc>
      </w:tr>
      <w:tr>
        <w:tc>
          <w:tcPr>
            <w:tcW w:w="1190" w:type="dxa"/>
          </w:tcPr>
          <w:p>
            <w:pPr>
              <w:pStyle w:val="yTable"/>
            </w:pPr>
            <w:r>
              <w:rPr>
                <w:sz w:val="20"/>
              </w:rPr>
              <w:t>42(5)</w:t>
            </w:r>
          </w:p>
        </w:tc>
        <w:tc>
          <w:tcPr>
            <w:tcW w:w="4820" w:type="dxa"/>
            <w:gridSpan w:val="2"/>
          </w:tcPr>
          <w:p>
            <w:pPr>
              <w:pStyle w:val="yTable"/>
              <w:tabs>
                <w:tab w:val="left" w:leader="dot" w:pos="4594"/>
              </w:tabs>
            </w:pPr>
            <w:r>
              <w:rPr>
                <w:sz w:val="20"/>
              </w:rPr>
              <w:t>Playing or wagering on an unlawful game</w:t>
            </w:r>
            <w:r>
              <w:rPr>
                <w:sz w:val="20"/>
              </w:rPr>
              <w:tab/>
            </w:r>
          </w:p>
        </w:tc>
        <w:tc>
          <w:tcPr>
            <w:tcW w:w="1078" w:type="dxa"/>
          </w:tcPr>
          <w:p>
            <w:pPr>
              <w:pStyle w:val="yTable"/>
              <w:jc w:val="center"/>
            </w:pPr>
            <w:r>
              <w:rPr>
                <w:sz w:val="20"/>
              </w:rPr>
              <w:t>50</w:t>
            </w:r>
          </w:p>
        </w:tc>
      </w:tr>
      <w:tr>
        <w:tc>
          <w:tcPr>
            <w:tcW w:w="1190" w:type="dxa"/>
          </w:tcPr>
          <w:p>
            <w:pPr>
              <w:pStyle w:val="yTable"/>
            </w:pPr>
            <w:r>
              <w:rPr>
                <w:sz w:val="20"/>
              </w:rPr>
              <w:t>43A(2)</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 prohibited advertisement</w:t>
            </w:r>
            <w:r>
              <w:rPr>
                <w:sz w:val="20"/>
              </w:rPr>
              <w:tab/>
            </w:r>
          </w:p>
        </w:tc>
        <w:tc>
          <w:tcPr>
            <w:tcW w:w="1078" w:type="dxa"/>
          </w:tcPr>
          <w:p>
            <w:pPr>
              <w:pStyle w:val="yTable"/>
              <w:jc w:val="center"/>
            </w:pPr>
            <w:r>
              <w:rPr>
                <w:sz w:val="20"/>
              </w:rPr>
              <w:br/>
            </w:r>
            <w:r>
              <w:rPr>
                <w:sz w:val="20"/>
              </w:rPr>
              <w:br/>
              <w:t>250</w:t>
            </w:r>
          </w:p>
        </w:tc>
      </w:tr>
      <w:tr>
        <w:tc>
          <w:tcPr>
            <w:tcW w:w="1190" w:type="dxa"/>
          </w:tcPr>
          <w:p>
            <w:pPr>
              <w:pStyle w:val="yTable"/>
            </w:pPr>
            <w:r>
              <w:rPr>
                <w:sz w:val="20"/>
              </w:rPr>
              <w:t>43A(3)</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an advertisement that conveys the existence of a person who will engage in or conduct gaming, wagering or a lottery</w:t>
            </w:r>
            <w:r>
              <w:rPr>
                <w:sz w:val="20"/>
              </w:rPr>
              <w:tab/>
            </w:r>
          </w:p>
        </w:tc>
        <w:tc>
          <w:tcPr>
            <w:tcW w:w="1078" w:type="dxa"/>
          </w:tcPr>
          <w:p>
            <w:pPr>
              <w:pStyle w:val="yTable"/>
              <w:jc w:val="center"/>
            </w:pPr>
            <w:r>
              <w:rPr>
                <w:sz w:val="20"/>
              </w:rPr>
              <w:br/>
            </w:r>
            <w:r>
              <w:rPr>
                <w:sz w:val="20"/>
              </w:rPr>
              <w:br/>
            </w:r>
            <w:r>
              <w:rPr>
                <w:sz w:val="20"/>
              </w:rPr>
              <w:br/>
            </w:r>
            <w:r>
              <w:rPr>
                <w:sz w:val="20"/>
              </w:rPr>
              <w:br/>
              <w:t>200</w:t>
            </w:r>
          </w:p>
        </w:tc>
      </w:tr>
      <w:tr>
        <w:tc>
          <w:tcPr>
            <w:tcW w:w="1190" w:type="dxa"/>
          </w:tcPr>
          <w:p>
            <w:pPr>
              <w:pStyle w:val="yTable"/>
            </w:pPr>
            <w:r>
              <w:rPr>
                <w:sz w:val="20"/>
              </w:rPr>
              <w:t>44(1)</w:t>
            </w:r>
          </w:p>
        </w:tc>
        <w:tc>
          <w:tcPr>
            <w:tcW w:w="4820" w:type="dxa"/>
            <w:gridSpan w:val="2"/>
          </w:tcPr>
          <w:p>
            <w:pPr>
              <w:pStyle w:val="yTable"/>
              <w:tabs>
                <w:tab w:val="left" w:leader="dot" w:pos="4594"/>
              </w:tabs>
            </w:pPr>
            <w:r>
              <w:rPr>
                <w:sz w:val="20"/>
              </w:rPr>
              <w:t>Cheating by deceit or any fraudulent means</w:t>
            </w:r>
            <w:r>
              <w:rPr>
                <w:sz w:val="20"/>
              </w:rPr>
              <w:tab/>
            </w:r>
          </w:p>
        </w:tc>
        <w:tc>
          <w:tcPr>
            <w:tcW w:w="1078" w:type="dxa"/>
          </w:tcPr>
          <w:p>
            <w:pPr>
              <w:pStyle w:val="yTable"/>
              <w:jc w:val="center"/>
            </w:pPr>
            <w:r>
              <w:rPr>
                <w:sz w:val="20"/>
              </w:rPr>
              <w:t>250</w:t>
            </w:r>
          </w:p>
        </w:tc>
      </w:tr>
      <w:tr>
        <w:tc>
          <w:tcPr>
            <w:tcW w:w="1190" w:type="dxa"/>
          </w:tcPr>
          <w:p>
            <w:pPr>
              <w:pStyle w:val="yTable"/>
            </w:pPr>
            <w:r>
              <w:rPr>
                <w:sz w:val="20"/>
              </w:rPr>
              <w:t>45(1)</w:t>
            </w:r>
          </w:p>
        </w:tc>
        <w:tc>
          <w:tcPr>
            <w:tcW w:w="4820" w:type="dxa"/>
            <w:gridSpan w:val="2"/>
          </w:tcPr>
          <w:p>
            <w:pPr>
              <w:pStyle w:val="yTable"/>
              <w:tabs>
                <w:tab w:val="left" w:leader="dot" w:pos="4594"/>
              </w:tabs>
            </w:pPr>
            <w:r>
              <w:rPr>
                <w:sz w:val="20"/>
              </w:rPr>
              <w:t>Fraudulent falsification of gaming records</w:t>
            </w:r>
            <w:r>
              <w:rPr>
                <w:sz w:val="20"/>
              </w:rPr>
              <w:tab/>
            </w:r>
          </w:p>
        </w:tc>
        <w:tc>
          <w:tcPr>
            <w:tcW w:w="1078" w:type="dxa"/>
          </w:tcPr>
          <w:p>
            <w:pPr>
              <w:pStyle w:val="yTable"/>
              <w:jc w:val="center"/>
            </w:pPr>
            <w:r>
              <w:rPr>
                <w:sz w:val="20"/>
              </w:rPr>
              <w:t>200</w:t>
            </w:r>
          </w:p>
        </w:tc>
      </w:tr>
      <w:tr>
        <w:tc>
          <w:tcPr>
            <w:tcW w:w="1190" w:type="dxa"/>
          </w:tcPr>
          <w:p>
            <w:pPr>
              <w:pStyle w:val="yTable"/>
            </w:pPr>
            <w:r>
              <w:rPr>
                <w:sz w:val="20"/>
              </w:rPr>
              <w:t>45(2)</w:t>
            </w:r>
          </w:p>
        </w:tc>
        <w:tc>
          <w:tcPr>
            <w:tcW w:w="4820" w:type="dxa"/>
            <w:gridSpan w:val="2"/>
          </w:tcPr>
          <w:p>
            <w:pPr>
              <w:pStyle w:val="yTable"/>
              <w:tabs>
                <w:tab w:val="left" w:leader="dot" w:pos="4594"/>
              </w:tabs>
            </w:pPr>
            <w:r>
              <w:rPr>
                <w:sz w:val="20"/>
              </w:rPr>
              <w:t>Fraudulent conduct of permitted gaming</w:t>
            </w:r>
            <w:r>
              <w:rPr>
                <w:sz w:val="20"/>
              </w:rPr>
              <w:tab/>
            </w:r>
          </w:p>
        </w:tc>
        <w:tc>
          <w:tcPr>
            <w:tcW w:w="1078" w:type="dxa"/>
          </w:tcPr>
          <w:p>
            <w:pPr>
              <w:pStyle w:val="yTable"/>
              <w:jc w:val="center"/>
            </w:pPr>
            <w:r>
              <w:rPr>
                <w:sz w:val="20"/>
              </w:rPr>
              <w:t>200</w:t>
            </w:r>
          </w:p>
        </w:tc>
      </w:tr>
      <w:tr>
        <w:tc>
          <w:tcPr>
            <w:tcW w:w="1190" w:type="dxa"/>
          </w:tcPr>
          <w:p>
            <w:pPr>
              <w:pStyle w:val="yTable"/>
            </w:pPr>
            <w:r>
              <w:rPr>
                <w:sz w:val="20"/>
              </w:rPr>
              <w:t>45(3)</w:t>
            </w:r>
          </w:p>
        </w:tc>
        <w:tc>
          <w:tcPr>
            <w:tcW w:w="4820" w:type="dxa"/>
            <w:gridSpan w:val="2"/>
          </w:tcPr>
          <w:p>
            <w:pPr>
              <w:pStyle w:val="yTable"/>
              <w:tabs>
                <w:tab w:val="left" w:leader="dot" w:pos="4594"/>
              </w:tabs>
            </w:pPr>
            <w:r>
              <w:rPr>
                <w:sz w:val="20"/>
              </w:rPr>
              <w:t>Unauthorised diversion of funds raised</w:t>
            </w:r>
            <w:r>
              <w:rPr>
                <w:sz w:val="20"/>
              </w:rPr>
              <w:tab/>
            </w:r>
          </w:p>
        </w:tc>
        <w:tc>
          <w:tcPr>
            <w:tcW w:w="1078" w:type="dxa"/>
          </w:tcPr>
          <w:p>
            <w:pPr>
              <w:pStyle w:val="yTable"/>
              <w:jc w:val="center"/>
            </w:pPr>
            <w:r>
              <w:rPr>
                <w:sz w:val="20"/>
              </w:rPr>
              <w:t>100</w:t>
            </w:r>
          </w:p>
        </w:tc>
      </w:tr>
      <w:tr>
        <w:tc>
          <w:tcPr>
            <w:tcW w:w="1190" w:type="dxa"/>
          </w:tcPr>
          <w:p>
            <w:pPr>
              <w:pStyle w:val="yTable"/>
            </w:pPr>
            <w:r>
              <w:rPr>
                <w:sz w:val="20"/>
              </w:rPr>
              <w:t>45(4)</w:t>
            </w:r>
          </w:p>
        </w:tc>
        <w:tc>
          <w:tcPr>
            <w:tcW w:w="4820" w:type="dxa"/>
            <w:gridSpan w:val="2"/>
          </w:tcPr>
          <w:p>
            <w:pPr>
              <w:pStyle w:val="yTable"/>
              <w:tabs>
                <w:tab w:val="left" w:leader="dot" w:pos="4594"/>
              </w:tabs>
            </w:pPr>
            <w:r>
              <w:rPr>
                <w:sz w:val="20"/>
              </w:rPr>
              <w:t>Conduct of permitted gaming in an unauthorised manner</w:t>
            </w:r>
            <w:r>
              <w:rPr>
                <w:sz w:val="20"/>
              </w:rPr>
              <w:tab/>
            </w:r>
          </w:p>
        </w:tc>
        <w:tc>
          <w:tcPr>
            <w:tcW w:w="1078" w:type="dxa"/>
          </w:tcPr>
          <w:p>
            <w:pPr>
              <w:pStyle w:val="yTable"/>
              <w:jc w:val="center"/>
            </w:pPr>
            <w:r>
              <w:rPr>
                <w:sz w:val="20"/>
              </w:rPr>
              <w:t>100</w:t>
            </w:r>
          </w:p>
        </w:tc>
      </w:tr>
      <w:tr>
        <w:tc>
          <w:tcPr>
            <w:tcW w:w="1190" w:type="dxa"/>
          </w:tcPr>
          <w:p>
            <w:pPr>
              <w:pStyle w:val="yTable"/>
            </w:pPr>
            <w:r>
              <w:rPr>
                <w:sz w:val="20"/>
              </w:rPr>
              <w:t>86</w:t>
            </w:r>
          </w:p>
        </w:tc>
        <w:tc>
          <w:tcPr>
            <w:tcW w:w="4820" w:type="dxa"/>
            <w:gridSpan w:val="2"/>
          </w:tcPr>
          <w:p>
            <w:pPr>
              <w:pStyle w:val="yTable"/>
              <w:tabs>
                <w:tab w:val="left" w:leader="dot" w:pos="4594"/>
              </w:tabs>
            </w:pPr>
            <w:r>
              <w:rPr>
                <w:sz w:val="20"/>
              </w:rPr>
              <w:t>Inserting in a gaming machine anything other than money or an authorised token</w:t>
            </w:r>
            <w:r>
              <w:rPr>
                <w:sz w:val="20"/>
              </w:rPr>
              <w:tab/>
            </w:r>
          </w:p>
        </w:tc>
        <w:tc>
          <w:tcPr>
            <w:tcW w:w="1078" w:type="dxa"/>
          </w:tcPr>
          <w:p>
            <w:pPr>
              <w:pStyle w:val="yTable"/>
              <w:jc w:val="center"/>
            </w:pPr>
            <w:r>
              <w:rPr>
                <w:sz w:val="20"/>
              </w:rPr>
              <w:br/>
              <w:t>20</w:t>
            </w:r>
          </w:p>
        </w:tc>
      </w:tr>
      <w:tr>
        <w:tc>
          <w:tcPr>
            <w:tcW w:w="1190" w:type="dxa"/>
          </w:tcPr>
          <w:p>
            <w:pPr>
              <w:pStyle w:val="yTable"/>
            </w:pPr>
            <w:r>
              <w:rPr>
                <w:sz w:val="20"/>
              </w:rPr>
              <w:t>95(4)</w:t>
            </w:r>
          </w:p>
        </w:tc>
        <w:tc>
          <w:tcPr>
            <w:tcW w:w="4820" w:type="dxa"/>
            <w:gridSpan w:val="2"/>
          </w:tcPr>
          <w:p>
            <w:pPr>
              <w:pStyle w:val="yTable"/>
              <w:tabs>
                <w:tab w:val="left" w:leader="dot" w:pos="4594"/>
              </w:tabs>
            </w:pPr>
            <w:r>
              <w:rPr>
                <w:sz w:val="20"/>
              </w:rPr>
              <w:t>Participating in bingo when not on the premises, or on behalf of another person not present on the premises</w:t>
            </w:r>
            <w:r>
              <w:rPr>
                <w:sz w:val="20"/>
              </w:rPr>
              <w:tab/>
            </w:r>
          </w:p>
        </w:tc>
        <w:tc>
          <w:tcPr>
            <w:tcW w:w="1078" w:type="dxa"/>
          </w:tcPr>
          <w:p>
            <w:pPr>
              <w:pStyle w:val="yTable"/>
              <w:jc w:val="center"/>
            </w:pPr>
            <w:r>
              <w:rPr>
                <w:sz w:val="20"/>
              </w:rPr>
              <w:br/>
              <w:t>20</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bottom w:val="nil"/>
            </w:tcBorders>
            <w:tcMar>
              <w:bottom w:w="0" w:type="dxa"/>
            </w:tcMar>
          </w:tcPr>
          <w:p>
            <w:pPr>
              <w:pStyle w:val="zyTableNAm"/>
              <w:spacing w:before="60"/>
              <w:rPr>
                <w:b/>
                <w:bCs/>
                <w:sz w:val="20"/>
              </w:rPr>
            </w:pPr>
            <w:r>
              <w:rPr>
                <w:b/>
                <w:bCs/>
                <w:sz w:val="20"/>
              </w:rPr>
              <w:t>Regulation</w:t>
            </w:r>
          </w:p>
        </w:tc>
        <w:tc>
          <w:tcPr>
            <w:tcW w:w="4801" w:type="dxa"/>
            <w:tcBorders>
              <w:bottom w:val="nil"/>
            </w:tcBorders>
            <w:tcMar>
              <w:bottom w:w="0" w:type="dxa"/>
            </w:tcMar>
          </w:tcPr>
          <w:p>
            <w:pPr>
              <w:pStyle w:val="zyTableNAm"/>
              <w:spacing w:before="60"/>
              <w:jc w:val="center"/>
              <w:rPr>
                <w:b/>
                <w:bCs/>
                <w:sz w:val="20"/>
              </w:rPr>
            </w:pPr>
            <w:r>
              <w:rPr>
                <w:b/>
                <w:bCs/>
                <w:sz w:val="20"/>
              </w:rPr>
              <w:t>Description of offence</w:t>
            </w:r>
          </w:p>
        </w:tc>
        <w:tc>
          <w:tcPr>
            <w:tcW w:w="1097" w:type="dxa"/>
            <w:gridSpan w:val="2"/>
            <w:tcBorders>
              <w:bottom w:val="nil"/>
            </w:tcBorders>
            <w:tcMar>
              <w:bottom w:w="0" w:type="dxa"/>
            </w:tcMar>
          </w:tcPr>
          <w:p>
            <w:pPr>
              <w:pStyle w:val="zyTableNAm"/>
              <w:spacing w:before="60"/>
              <w:jc w:val="center"/>
              <w:rPr>
                <w:b/>
                <w:bCs/>
                <w:sz w:val="20"/>
              </w:rPr>
            </w:pPr>
            <w:r>
              <w:rPr>
                <w:b/>
                <w:bCs/>
                <w:sz w:val="20"/>
              </w:rPr>
              <w:t>Modified penalty</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top w:val="nil"/>
            </w:tcBorders>
            <w:tcMar>
              <w:bottom w:w="0" w:type="dxa"/>
            </w:tcMar>
          </w:tcPr>
          <w:p>
            <w:pPr>
              <w:pStyle w:val="zyTableNAm"/>
              <w:spacing w:before="60"/>
              <w:jc w:val="center"/>
              <w:rPr>
                <w:b/>
                <w:bCs/>
                <w:sz w:val="20"/>
              </w:rPr>
            </w:pPr>
          </w:p>
        </w:tc>
        <w:tc>
          <w:tcPr>
            <w:tcW w:w="4801" w:type="dxa"/>
            <w:tcBorders>
              <w:top w:val="nil"/>
            </w:tcBorders>
            <w:tcMar>
              <w:bottom w:w="0" w:type="dxa"/>
            </w:tcMar>
          </w:tcPr>
          <w:p>
            <w:pPr>
              <w:pStyle w:val="zyTableNAm"/>
              <w:spacing w:before="60"/>
              <w:jc w:val="center"/>
              <w:rPr>
                <w:b/>
                <w:bCs/>
                <w:sz w:val="20"/>
              </w:rPr>
            </w:pPr>
          </w:p>
        </w:tc>
        <w:tc>
          <w:tcPr>
            <w:tcW w:w="1097" w:type="dxa"/>
            <w:gridSpan w:val="2"/>
            <w:tcBorders>
              <w:top w:val="nil"/>
            </w:tcBorders>
            <w:tcMar>
              <w:bottom w:w="0" w:type="dxa"/>
            </w:tcMar>
          </w:tcPr>
          <w:p>
            <w:pPr>
              <w:pStyle w:val="zyTableNAm"/>
              <w:spacing w:before="60"/>
              <w:jc w:val="center"/>
              <w:rPr>
                <w:b/>
                <w:bCs/>
                <w:sz w:val="20"/>
              </w:rPr>
            </w:pPr>
            <w:r>
              <w:rPr>
                <w:b/>
                <w:bCs/>
                <w:sz w:val="20"/>
              </w:rPr>
              <w:t>$</w:t>
            </w:r>
          </w:p>
        </w:tc>
      </w:tr>
      <w:tr>
        <w:tc>
          <w:tcPr>
            <w:tcW w:w="1190" w:type="dxa"/>
          </w:tcPr>
          <w:p>
            <w:pPr>
              <w:pStyle w:val="yTable"/>
            </w:pPr>
            <w:r>
              <w:rPr>
                <w:sz w:val="20"/>
              </w:rPr>
              <w:t>38A(1)</w:t>
            </w:r>
          </w:p>
        </w:tc>
        <w:tc>
          <w:tcPr>
            <w:tcW w:w="4820" w:type="dxa"/>
            <w:gridSpan w:val="2"/>
          </w:tcPr>
          <w:p>
            <w:pPr>
              <w:pStyle w:val="yTable"/>
              <w:tabs>
                <w:tab w:val="left" w:leader="dot" w:pos="4594"/>
              </w:tabs>
            </w:pPr>
            <w:r>
              <w:rPr>
                <w:sz w:val="20"/>
              </w:rPr>
              <w:t>Conducting a permitted lottery otherwise than in accordance with a permit</w:t>
            </w:r>
            <w:r>
              <w:rPr>
                <w:sz w:val="20"/>
              </w:rPr>
              <w:tab/>
            </w:r>
          </w:p>
        </w:tc>
        <w:tc>
          <w:tcPr>
            <w:tcW w:w="1078" w:type="dxa"/>
          </w:tcPr>
          <w:p>
            <w:pPr>
              <w:pStyle w:val="yTable"/>
              <w:jc w:val="center"/>
            </w:pPr>
            <w:r>
              <w:rPr>
                <w:sz w:val="20"/>
              </w:rPr>
              <w:br/>
              <w:t>100</w:t>
            </w:r>
          </w:p>
        </w:tc>
      </w:tr>
      <w:tr>
        <w:tc>
          <w:tcPr>
            <w:tcW w:w="1190" w:type="dxa"/>
            <w:tcBorders>
              <w:bottom w:val="single" w:sz="4" w:space="0" w:color="auto"/>
            </w:tcBorders>
          </w:tcPr>
          <w:p>
            <w:pPr>
              <w:pStyle w:val="yTable"/>
            </w:pPr>
            <w:r>
              <w:rPr>
                <w:sz w:val="20"/>
              </w:rPr>
              <w:t>38A(2)</w:t>
            </w:r>
          </w:p>
        </w:tc>
        <w:tc>
          <w:tcPr>
            <w:tcW w:w="4820" w:type="dxa"/>
            <w:gridSpan w:val="2"/>
            <w:tcBorders>
              <w:bottom w:val="single" w:sz="4" w:space="0" w:color="auto"/>
            </w:tcBorders>
          </w:tcPr>
          <w:p>
            <w:pPr>
              <w:pStyle w:val="yTable"/>
              <w:tabs>
                <w:tab w:val="left" w:leader="dot" w:pos="4594"/>
              </w:tabs>
            </w:pPr>
            <w:r>
              <w:rPr>
                <w:sz w:val="20"/>
              </w:rPr>
              <w:t>Conducting a standard or continuing lottery otherwise than in accordance with the regulations</w:t>
            </w:r>
            <w:r>
              <w:rPr>
                <w:sz w:val="20"/>
              </w:rPr>
              <w:tab/>
            </w:r>
          </w:p>
        </w:tc>
        <w:tc>
          <w:tcPr>
            <w:tcW w:w="1078" w:type="dxa"/>
            <w:tcBorders>
              <w:bottom w:val="single" w:sz="4" w:space="0" w:color="auto"/>
            </w:tcBorders>
          </w:tcPr>
          <w:p>
            <w:pPr>
              <w:pStyle w:val="yTable"/>
              <w:jc w:val="center"/>
            </w:pPr>
            <w:r>
              <w:rPr>
                <w:sz w:val="20"/>
              </w:rPr>
              <w:br/>
              <w:t>100</w:t>
            </w:r>
          </w:p>
        </w:tc>
      </w:tr>
    </w:tbl>
    <w:p>
      <w:pPr>
        <w:pStyle w:val="yFootnotesection"/>
        <w:spacing w:before="80"/>
      </w:pPr>
      <w:r>
        <w:tab/>
        <w:t>[Schedule 2 inserted in Gazette 10 Jun 2008 p. 2495</w:t>
      </w:r>
      <w:r>
        <w:noBreakHyphen/>
        <w:t>6; amended in Gazette 12 Aug 2011 p 3250.]</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281" w:name="_Toc403656895"/>
      <w:bookmarkStart w:id="282" w:name="_Toc403720641"/>
      <w:bookmarkStart w:id="283" w:name="_Toc407629222"/>
      <w:bookmarkStart w:id="284" w:name="_Toc418677892"/>
      <w:bookmarkStart w:id="285" w:name="_Toc418678001"/>
      <w:bookmarkStart w:id="286" w:name="_Toc436646327"/>
      <w:bookmarkStart w:id="287" w:name="_Toc438113762"/>
      <w:bookmarkStart w:id="288" w:name="_Toc439166305"/>
      <w:bookmarkStart w:id="289" w:name="_Toc460853190"/>
      <w:r>
        <w:rPr>
          <w:rStyle w:val="CharSchNo"/>
        </w:rPr>
        <w:t>Schedule 3</w:t>
      </w:r>
      <w:bookmarkEnd w:id="281"/>
      <w:bookmarkEnd w:id="282"/>
      <w:bookmarkEnd w:id="283"/>
      <w:bookmarkEnd w:id="284"/>
      <w:bookmarkEnd w:id="285"/>
      <w:bookmarkEnd w:id="286"/>
      <w:bookmarkEnd w:id="287"/>
      <w:bookmarkEnd w:id="288"/>
      <w:bookmarkEnd w:id="289"/>
    </w:p>
    <w:p>
      <w:pPr>
        <w:pStyle w:val="yHeading2"/>
        <w:outlineLvl w:val="9"/>
      </w:pPr>
      <w:bookmarkStart w:id="290" w:name="_Toc403656896"/>
      <w:bookmarkStart w:id="291" w:name="_Toc403720642"/>
      <w:bookmarkStart w:id="292" w:name="_Toc407629223"/>
      <w:bookmarkStart w:id="293" w:name="_Toc418677893"/>
      <w:bookmarkStart w:id="294" w:name="_Toc418678002"/>
      <w:bookmarkStart w:id="295" w:name="_Toc436646328"/>
      <w:bookmarkStart w:id="296" w:name="_Toc438113763"/>
      <w:bookmarkStart w:id="297" w:name="_Toc439166306"/>
      <w:bookmarkStart w:id="298" w:name="_Toc460853191"/>
      <w:r>
        <w:rPr>
          <w:rStyle w:val="CharSchText"/>
        </w:rPr>
        <w:t>Forms</w:t>
      </w:r>
      <w:bookmarkEnd w:id="290"/>
      <w:bookmarkEnd w:id="291"/>
      <w:bookmarkEnd w:id="292"/>
      <w:bookmarkEnd w:id="293"/>
      <w:bookmarkEnd w:id="294"/>
      <w:bookmarkEnd w:id="295"/>
      <w:bookmarkEnd w:id="296"/>
      <w:bookmarkEnd w:id="297"/>
      <w:bookmarkEnd w:id="298"/>
    </w:p>
    <w:p>
      <w:pPr>
        <w:pStyle w:val="MiscellaneousHeading"/>
        <w:rPr>
          <w:b/>
        </w:rPr>
      </w:pPr>
      <w:r>
        <w:rPr>
          <w:rStyle w:val="CharSClsNo"/>
          <w:b/>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t xml:space="preserve"> 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in Gazette 30 Jan 2004 p. 416.]</w:t>
      </w:r>
    </w:p>
    <w:p>
      <w:pPr>
        <w:pStyle w:val="MiscellaneousHeading"/>
        <w:pageBreakBefore/>
        <w:spacing w:before="0"/>
        <w:rPr>
          <w:b/>
          <w:snapToGrid w:val="0"/>
        </w:rPr>
      </w:pPr>
      <w:r>
        <w:rPr>
          <w:rStyle w:val="CharSClsNo"/>
          <w:b/>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Table"/>
        <w:tabs>
          <w:tab w:val="right" w:leader="dot" w:pos="7088"/>
        </w:tabs>
        <w:rPr>
          <w:snapToGrid w:val="0"/>
        </w:rPr>
      </w:pPr>
    </w:p>
    <w:p>
      <w:pPr>
        <w:pStyle w:val="yFootnotesection"/>
      </w:pPr>
      <w:r>
        <w:tab/>
        <w:t>[Form 2 amended in Gazette 30 Jan 2004 p. 416.]</w:t>
      </w:r>
    </w:p>
    <w:p>
      <w:pPr>
        <w:pStyle w:val="MiscellaneousHeading"/>
        <w:pageBreakBefore/>
        <w:spacing w:before="0"/>
        <w:rPr>
          <w:b/>
          <w:snapToGrid w:val="0"/>
        </w:rPr>
      </w:pPr>
      <w:r>
        <w:rPr>
          <w:rStyle w:val="CharSClsNo"/>
          <w:b/>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2</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in Gazette 30 Jan 2004 p. 416.]</w:t>
      </w:r>
    </w:p>
    <w:p>
      <w:pPr>
        <w:pStyle w:val="MiscellaneousHeading"/>
        <w:pageBreakBefore/>
        <w:spacing w:before="0"/>
        <w:rPr>
          <w:b/>
          <w:snapToGrid w:val="0"/>
        </w:rPr>
      </w:pPr>
      <w:r>
        <w:rPr>
          <w:rStyle w:val="CharSClsNo"/>
          <w:b/>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 or</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in Gazette 7 Oct 1988 p. 4106; amended in Gazette 30 Jan 2004 p. 416.]</w:t>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yScheduleHeading"/>
      </w:pPr>
      <w:bookmarkStart w:id="299" w:name="_Toc403656897"/>
      <w:bookmarkStart w:id="300" w:name="_Toc403720643"/>
      <w:bookmarkStart w:id="301" w:name="_Toc407629224"/>
      <w:bookmarkStart w:id="302" w:name="_Toc418677894"/>
      <w:bookmarkStart w:id="303" w:name="_Toc418678003"/>
      <w:bookmarkStart w:id="304" w:name="_Toc436646329"/>
      <w:bookmarkStart w:id="305" w:name="_Toc438113764"/>
      <w:bookmarkStart w:id="306" w:name="_Toc439166307"/>
      <w:bookmarkStart w:id="307" w:name="_Toc460853192"/>
      <w:r>
        <w:rPr>
          <w:rStyle w:val="CharSchNo"/>
        </w:rPr>
        <w:t>Schedule 4</w:t>
      </w:r>
      <w:bookmarkEnd w:id="299"/>
      <w:bookmarkEnd w:id="300"/>
      <w:bookmarkEnd w:id="301"/>
      <w:bookmarkEnd w:id="302"/>
      <w:bookmarkEnd w:id="303"/>
      <w:bookmarkEnd w:id="304"/>
      <w:bookmarkEnd w:id="305"/>
      <w:bookmarkEnd w:id="306"/>
      <w:bookmarkEnd w:id="307"/>
    </w:p>
    <w:p>
      <w:pPr>
        <w:pStyle w:val="yHeading2"/>
        <w:keepNext w:val="0"/>
        <w:outlineLvl w:val="9"/>
      </w:pPr>
      <w:bookmarkStart w:id="308" w:name="_Toc403656898"/>
      <w:bookmarkStart w:id="309" w:name="_Toc403720644"/>
      <w:bookmarkStart w:id="310" w:name="_Toc407629225"/>
      <w:bookmarkStart w:id="311" w:name="_Toc418677895"/>
      <w:bookmarkStart w:id="312" w:name="_Toc418678004"/>
      <w:bookmarkStart w:id="313" w:name="_Toc436646330"/>
      <w:bookmarkStart w:id="314" w:name="_Toc438113765"/>
      <w:bookmarkStart w:id="315" w:name="_Toc439166308"/>
      <w:bookmarkStart w:id="316" w:name="_Toc460853193"/>
      <w:r>
        <w:rPr>
          <w:rStyle w:val="CharSchText"/>
        </w:rPr>
        <w:t>Rules for the conduct of permitted games</w:t>
      </w:r>
      <w:bookmarkEnd w:id="308"/>
      <w:bookmarkEnd w:id="309"/>
      <w:bookmarkEnd w:id="310"/>
      <w:bookmarkEnd w:id="311"/>
      <w:bookmarkEnd w:id="312"/>
      <w:bookmarkEnd w:id="313"/>
      <w:bookmarkEnd w:id="314"/>
      <w:bookmarkEnd w:id="315"/>
      <w:bookmarkEnd w:id="316"/>
    </w:p>
    <w:p>
      <w:pPr>
        <w:pStyle w:val="yHeading3"/>
      </w:pPr>
      <w:bookmarkStart w:id="317" w:name="_Toc403656899"/>
      <w:bookmarkStart w:id="318" w:name="_Toc403720645"/>
      <w:bookmarkStart w:id="319" w:name="_Toc407629226"/>
      <w:bookmarkStart w:id="320" w:name="_Toc418677896"/>
      <w:bookmarkStart w:id="321" w:name="_Toc418678005"/>
      <w:bookmarkStart w:id="322" w:name="_Toc436646331"/>
      <w:bookmarkStart w:id="323" w:name="_Toc438113766"/>
      <w:bookmarkStart w:id="324" w:name="_Toc439166309"/>
      <w:bookmarkStart w:id="325" w:name="_Toc460853194"/>
      <w:r>
        <w:rPr>
          <w:rStyle w:val="CharSDivNo"/>
        </w:rPr>
        <w:t>Part 1</w:t>
      </w:r>
      <w:r>
        <w:t> — </w:t>
      </w:r>
      <w:r>
        <w:rPr>
          <w:rStyle w:val="CharSDivText"/>
        </w:rPr>
        <w:t>Permitted bingo</w:t>
      </w:r>
      <w:bookmarkEnd w:id="317"/>
      <w:bookmarkEnd w:id="318"/>
      <w:bookmarkEnd w:id="319"/>
      <w:bookmarkEnd w:id="320"/>
      <w:bookmarkEnd w:id="321"/>
      <w:bookmarkEnd w:id="322"/>
      <w:bookmarkEnd w:id="323"/>
      <w:bookmarkEnd w:id="324"/>
      <w:bookmarkEnd w:id="325"/>
    </w:p>
    <w:p>
      <w:pPr>
        <w:pStyle w:val="yMiscellaneousBody"/>
        <w:jc w:val="center"/>
        <w:rPr>
          <w:b/>
          <w:snapToGrid w:val="0"/>
        </w:rPr>
      </w:pPr>
      <w:r>
        <w:rPr>
          <w:b/>
          <w:snapToGrid w:val="0"/>
        </w:rPr>
        <w:t>Rules for the conduct of bingo</w:t>
      </w:r>
    </w:p>
    <w:p>
      <w:pPr>
        <w:pStyle w:val="yHeading5"/>
        <w:rPr>
          <w:snapToGrid w:val="0"/>
        </w:rPr>
      </w:pPr>
      <w:bookmarkStart w:id="326" w:name="_Toc407629227"/>
      <w:bookmarkStart w:id="327" w:name="_Toc460853195"/>
      <w:r>
        <w:rPr>
          <w:rStyle w:val="CharSClsNo"/>
        </w:rPr>
        <w:t>1</w:t>
      </w:r>
      <w:r>
        <w:rPr>
          <w:snapToGrid w:val="0"/>
        </w:rPr>
        <w:t>.</w:t>
      </w:r>
      <w:r>
        <w:rPr>
          <w:snapToGrid w:val="0"/>
        </w:rPr>
        <w:tab/>
        <w:t>Children cannot play</w:t>
      </w:r>
      <w:bookmarkEnd w:id="326"/>
      <w:bookmarkEnd w:id="327"/>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328" w:name="_Toc407629228"/>
      <w:bookmarkStart w:id="329" w:name="_Toc460853196"/>
      <w:r>
        <w:rPr>
          <w:rStyle w:val="CharSClsNo"/>
        </w:rPr>
        <w:t>2</w:t>
      </w:r>
      <w:r>
        <w:rPr>
          <w:snapToGrid w:val="0"/>
        </w:rPr>
        <w:t>.</w:t>
      </w:r>
      <w:r>
        <w:rPr>
          <w:snapToGrid w:val="0"/>
        </w:rPr>
        <w:tab/>
        <w:t>Spotters cannot play</w:t>
      </w:r>
      <w:bookmarkEnd w:id="328"/>
      <w:bookmarkEnd w:id="329"/>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330" w:name="_Toc407629229"/>
      <w:bookmarkStart w:id="331" w:name="_Toc460853197"/>
      <w:r>
        <w:rPr>
          <w:rStyle w:val="CharSClsNo"/>
        </w:rPr>
        <w:t>3</w:t>
      </w:r>
      <w:r>
        <w:rPr>
          <w:snapToGrid w:val="0"/>
        </w:rPr>
        <w:t>.</w:t>
      </w:r>
      <w:r>
        <w:rPr>
          <w:snapToGrid w:val="0"/>
        </w:rPr>
        <w:tab/>
        <w:t>Call backs, who can take part in</w:t>
      </w:r>
      <w:bookmarkEnd w:id="330"/>
      <w:bookmarkEnd w:id="331"/>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332" w:name="_Toc407629230"/>
      <w:bookmarkStart w:id="333" w:name="_Toc460853198"/>
      <w:r>
        <w:rPr>
          <w:rStyle w:val="CharSClsNo"/>
        </w:rPr>
        <w:t>4</w:t>
      </w:r>
      <w:r>
        <w:rPr>
          <w:snapToGrid w:val="0"/>
        </w:rPr>
        <w:t>.</w:t>
      </w:r>
      <w:r>
        <w:rPr>
          <w:snapToGrid w:val="0"/>
        </w:rPr>
        <w:tab/>
        <w:t>Bingo cards</w:t>
      </w:r>
      <w:bookmarkEnd w:id="332"/>
      <w:bookmarkEnd w:id="333"/>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334" w:name="_Toc407629231"/>
      <w:bookmarkStart w:id="335" w:name="_Toc460853199"/>
      <w:r>
        <w:rPr>
          <w:rStyle w:val="CharSClsNo"/>
        </w:rPr>
        <w:t>5</w:t>
      </w:r>
      <w:r>
        <w:rPr>
          <w:snapToGrid w:val="0"/>
        </w:rPr>
        <w:t>.</w:t>
      </w:r>
      <w:r>
        <w:rPr>
          <w:snapToGrid w:val="0"/>
        </w:rPr>
        <w:tab/>
        <w:t>Split games</w:t>
      </w:r>
      <w:bookmarkEnd w:id="334"/>
      <w:bookmarkEnd w:id="335"/>
      <w:r>
        <w:rPr>
          <w:snapToGrid w:val="0"/>
        </w:rPr>
        <w:t xml:space="preserve"> </w:t>
      </w:r>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r>
        <w:tab/>
        <w:t>[Clause 5 inserted in Gazette 15 Feb 1994 p. 553.]</w:t>
      </w:r>
    </w:p>
    <w:p>
      <w:pPr>
        <w:pStyle w:val="yHeading5"/>
        <w:rPr>
          <w:snapToGrid w:val="0"/>
        </w:rPr>
      </w:pPr>
      <w:bookmarkStart w:id="336" w:name="_Toc407629232"/>
      <w:bookmarkStart w:id="337" w:name="_Toc460853200"/>
      <w:r>
        <w:rPr>
          <w:rStyle w:val="CharSClsNo"/>
        </w:rPr>
        <w:t>5A</w:t>
      </w:r>
      <w:r>
        <w:rPr>
          <w:snapToGrid w:val="0"/>
        </w:rPr>
        <w:t>.</w:t>
      </w:r>
      <w:r>
        <w:rPr>
          <w:snapToGrid w:val="0"/>
        </w:rPr>
        <w:tab/>
        <w:t>Prizes, who is eligible for</w:t>
      </w:r>
      <w:bookmarkEnd w:id="336"/>
      <w:bookmarkEnd w:id="337"/>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r>
        <w:tab/>
        <w:t>[Clause 5A inserted in Gazette 15 Feb 1994 p. 553.]</w:t>
      </w:r>
    </w:p>
    <w:p>
      <w:pPr>
        <w:pStyle w:val="yHeading5"/>
        <w:rPr>
          <w:snapToGrid w:val="0"/>
        </w:rPr>
      </w:pPr>
      <w:bookmarkStart w:id="338" w:name="_Toc407629233"/>
      <w:bookmarkStart w:id="339" w:name="_Toc460853201"/>
      <w:r>
        <w:rPr>
          <w:rStyle w:val="CharSClsNo"/>
        </w:rPr>
        <w:t>5B</w:t>
      </w:r>
      <w:r>
        <w:rPr>
          <w:snapToGrid w:val="0"/>
        </w:rPr>
        <w:t>.</w:t>
      </w:r>
      <w:r>
        <w:rPr>
          <w:snapToGrid w:val="0"/>
        </w:rPr>
        <w:tab/>
        <w:t>When games conclude</w:t>
      </w:r>
      <w:bookmarkEnd w:id="338"/>
      <w:bookmarkEnd w:id="339"/>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r>
        <w:tab/>
        <w:t>[Clause 5B inserted in Gazette 15 Feb 1994 p. 553.]</w:t>
      </w:r>
    </w:p>
    <w:p>
      <w:pPr>
        <w:pStyle w:val="yHeading5"/>
        <w:rPr>
          <w:snapToGrid w:val="0"/>
        </w:rPr>
      </w:pPr>
      <w:bookmarkStart w:id="340" w:name="_Toc407629234"/>
      <w:bookmarkStart w:id="341" w:name="_Toc460853202"/>
      <w:r>
        <w:rPr>
          <w:rStyle w:val="CharSClsNo"/>
        </w:rPr>
        <w:t>6</w:t>
      </w:r>
      <w:r>
        <w:rPr>
          <w:snapToGrid w:val="0"/>
        </w:rPr>
        <w:t>.</w:t>
      </w:r>
      <w:r>
        <w:rPr>
          <w:snapToGrid w:val="0"/>
        </w:rPr>
        <w:tab/>
        <w:t>Miscellaneous rules</w:t>
      </w:r>
      <w:bookmarkEnd w:id="340"/>
      <w:bookmarkEnd w:id="341"/>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there shall be no more than 2 games using “flyer” cards per session; and</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[Clause 6 inserted in Gazette 6 Apr 1990 p. 1769; amended in Gazette 16 May 1997 p. 2394; 22 Aug 2006 p. 3468.]</w:t>
      </w:r>
    </w:p>
    <w:p>
      <w:pPr>
        <w:pStyle w:val="yHeading5"/>
        <w:rPr>
          <w:snapToGrid w:val="0"/>
        </w:rPr>
      </w:pPr>
      <w:bookmarkStart w:id="342" w:name="_Toc407629235"/>
      <w:bookmarkStart w:id="343" w:name="_Toc460853203"/>
      <w:r>
        <w:rPr>
          <w:rStyle w:val="CharSClsNo"/>
        </w:rPr>
        <w:t>7</w:t>
      </w:r>
      <w:r>
        <w:rPr>
          <w:snapToGrid w:val="0"/>
        </w:rPr>
        <w:t>.</w:t>
      </w:r>
      <w:r>
        <w:rPr>
          <w:snapToGrid w:val="0"/>
        </w:rPr>
        <w:tab/>
        <w:t>Prizes, announcement of etc.</w:t>
      </w:r>
      <w:bookmarkEnd w:id="342"/>
      <w:bookmarkEnd w:id="343"/>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r>
        <w:tab/>
        <w:t>[Clause 7 amended in Gazette 16 May 1997 p. 2394.]</w:t>
      </w:r>
    </w:p>
    <w:p>
      <w:pPr>
        <w:pStyle w:val="yHeading5"/>
        <w:rPr>
          <w:snapToGrid w:val="0"/>
        </w:rPr>
      </w:pPr>
      <w:bookmarkStart w:id="344" w:name="_Toc407629236"/>
      <w:bookmarkStart w:id="345" w:name="_Toc460853204"/>
      <w:r>
        <w:rPr>
          <w:rStyle w:val="CharSClsNo"/>
        </w:rPr>
        <w:t>8</w:t>
      </w:r>
      <w:r>
        <w:rPr>
          <w:snapToGrid w:val="0"/>
        </w:rPr>
        <w:t>.</w:t>
      </w:r>
      <w:r>
        <w:rPr>
          <w:snapToGrid w:val="0"/>
        </w:rPr>
        <w:tab/>
        <w:t>Prize shared if more than one winner</w:t>
      </w:r>
      <w:bookmarkEnd w:id="344"/>
      <w:bookmarkEnd w:id="345"/>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r>
        <w:tab/>
        <w:t>[Clause 8 amended in Gazette 16 May 1997 p. 2394.]</w:t>
      </w:r>
    </w:p>
    <w:p>
      <w:pPr>
        <w:pStyle w:val="yHeading5"/>
        <w:rPr>
          <w:snapToGrid w:val="0"/>
        </w:rPr>
      </w:pPr>
      <w:bookmarkStart w:id="346" w:name="_Toc407629237"/>
      <w:bookmarkStart w:id="347" w:name="_Toc460853205"/>
      <w:r>
        <w:rPr>
          <w:rStyle w:val="CharSClsNo"/>
        </w:rPr>
        <w:t>9</w:t>
      </w:r>
      <w:r>
        <w:rPr>
          <w:snapToGrid w:val="0"/>
        </w:rPr>
        <w:t>.</w:t>
      </w:r>
      <w:r>
        <w:rPr>
          <w:snapToGrid w:val="0"/>
        </w:rPr>
        <w:tab/>
        <w:t>Prizes paid as soon as practicable</w:t>
      </w:r>
      <w:bookmarkEnd w:id="346"/>
      <w:bookmarkEnd w:id="347"/>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348" w:name="_Toc407629238"/>
      <w:bookmarkStart w:id="349" w:name="_Toc460853206"/>
      <w:r>
        <w:rPr>
          <w:rStyle w:val="CharSClsNo"/>
        </w:rPr>
        <w:t>10</w:t>
      </w:r>
      <w:r>
        <w:rPr>
          <w:snapToGrid w:val="0"/>
        </w:rPr>
        <w:t>.</w:t>
      </w:r>
      <w:r>
        <w:rPr>
          <w:snapToGrid w:val="0"/>
        </w:rPr>
        <w:tab/>
        <w:t>Player who makes incorrect call allowed to continue play</w:t>
      </w:r>
      <w:bookmarkEnd w:id="348"/>
      <w:bookmarkEnd w:id="349"/>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r>
        <w:tab/>
        <w:t>[Clause 10 inserted in Gazette 15 Feb 1994 p. 554.]</w:t>
      </w:r>
    </w:p>
    <w:p>
      <w:pPr>
        <w:pStyle w:val="yHeading5"/>
        <w:rPr>
          <w:snapToGrid w:val="0"/>
        </w:rPr>
      </w:pPr>
      <w:bookmarkStart w:id="350" w:name="_Toc407629239"/>
      <w:bookmarkStart w:id="351" w:name="_Toc460853207"/>
      <w:r>
        <w:rPr>
          <w:rStyle w:val="CharSClsNo"/>
        </w:rPr>
        <w:t>11</w:t>
      </w:r>
      <w:r>
        <w:rPr>
          <w:snapToGrid w:val="0"/>
        </w:rPr>
        <w:t>.</w:t>
      </w:r>
      <w:r>
        <w:rPr>
          <w:snapToGrid w:val="0"/>
        </w:rPr>
        <w:tab/>
        <w:t>Late calls by players</w:t>
      </w:r>
      <w:bookmarkEnd w:id="350"/>
      <w:bookmarkEnd w:id="351"/>
      <w:r>
        <w:rPr>
          <w:snapToGrid w:val="0"/>
        </w:rPr>
        <w:t xml:space="preserve"> </w:t>
      </w:r>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r>
        <w:tab/>
        <w:t>[Clause 11 inserted in Gazette 15 Feb 1994 p. 554.]</w:t>
      </w:r>
    </w:p>
    <w:p>
      <w:pPr>
        <w:pStyle w:val="yHeading5"/>
        <w:rPr>
          <w:snapToGrid w:val="0"/>
        </w:rPr>
      </w:pPr>
      <w:bookmarkStart w:id="352" w:name="_Toc407629240"/>
      <w:bookmarkStart w:id="353" w:name="_Toc460853208"/>
      <w:r>
        <w:rPr>
          <w:rStyle w:val="CharSClsNo"/>
        </w:rPr>
        <w:t>12</w:t>
      </w:r>
      <w:r>
        <w:rPr>
          <w:snapToGrid w:val="0"/>
        </w:rPr>
        <w:t>.</w:t>
      </w:r>
      <w:r>
        <w:rPr>
          <w:snapToGrid w:val="0"/>
        </w:rPr>
        <w:tab/>
        <w:t>Calls must be acknowledged</w:t>
      </w:r>
      <w:bookmarkEnd w:id="352"/>
      <w:bookmarkEnd w:id="353"/>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r>
        <w:tab/>
        <w:t>[Clause 12 inserted in Gazette 15 Feb 1994 p. 554.]</w:t>
      </w:r>
    </w:p>
    <w:p>
      <w:pPr>
        <w:pStyle w:val="yHeading3"/>
      </w:pPr>
      <w:bookmarkStart w:id="354" w:name="_Toc403656914"/>
      <w:bookmarkStart w:id="355" w:name="_Toc403720660"/>
      <w:bookmarkStart w:id="356" w:name="_Toc407629241"/>
      <w:bookmarkStart w:id="357" w:name="_Toc418677911"/>
      <w:bookmarkStart w:id="358" w:name="_Toc418678020"/>
      <w:bookmarkStart w:id="359" w:name="_Toc436646346"/>
      <w:bookmarkStart w:id="360" w:name="_Toc438113781"/>
      <w:bookmarkStart w:id="361" w:name="_Toc439166324"/>
      <w:bookmarkStart w:id="362" w:name="_Toc460853209"/>
      <w:r>
        <w:rPr>
          <w:rStyle w:val="CharSDivNo"/>
        </w:rPr>
        <w:t>Part 2</w:t>
      </w:r>
      <w:r>
        <w:t> — </w:t>
      </w:r>
      <w:r>
        <w:rPr>
          <w:rStyle w:val="CharSDivText"/>
        </w:rPr>
        <w:t>Permitted lotteries</w:t>
      </w:r>
      <w:bookmarkEnd w:id="354"/>
      <w:bookmarkEnd w:id="355"/>
      <w:bookmarkEnd w:id="356"/>
      <w:bookmarkEnd w:id="357"/>
      <w:bookmarkEnd w:id="358"/>
      <w:bookmarkEnd w:id="359"/>
      <w:bookmarkEnd w:id="360"/>
      <w:bookmarkEnd w:id="361"/>
      <w:bookmarkEnd w:id="362"/>
    </w:p>
    <w:p>
      <w:pPr>
        <w:pStyle w:val="yHeading4"/>
        <w:rPr>
          <w:snapToGrid w:val="0"/>
        </w:rPr>
      </w:pPr>
      <w:bookmarkStart w:id="363" w:name="_Toc403656915"/>
      <w:bookmarkStart w:id="364" w:name="_Toc403720661"/>
      <w:bookmarkStart w:id="365" w:name="_Toc407629242"/>
      <w:bookmarkStart w:id="366" w:name="_Toc418677912"/>
      <w:bookmarkStart w:id="367" w:name="_Toc418678021"/>
      <w:bookmarkStart w:id="368" w:name="_Toc436646347"/>
      <w:bookmarkStart w:id="369" w:name="_Toc438113782"/>
      <w:bookmarkStart w:id="370" w:name="_Toc439166325"/>
      <w:bookmarkStart w:id="371" w:name="_Toc460853210"/>
      <w:r>
        <w:rPr>
          <w:snapToGrid w:val="0"/>
        </w:rPr>
        <w:t>Division 1 — Rules for the conduct of a standard lottery</w:t>
      </w:r>
      <w:bookmarkEnd w:id="363"/>
      <w:bookmarkEnd w:id="364"/>
      <w:bookmarkEnd w:id="365"/>
      <w:bookmarkEnd w:id="366"/>
      <w:bookmarkEnd w:id="367"/>
      <w:bookmarkEnd w:id="368"/>
      <w:bookmarkEnd w:id="369"/>
      <w:bookmarkEnd w:id="370"/>
      <w:bookmarkEnd w:id="371"/>
    </w:p>
    <w:p>
      <w:pPr>
        <w:pStyle w:val="yHeading5"/>
        <w:rPr>
          <w:snapToGrid w:val="0"/>
        </w:rPr>
      </w:pPr>
      <w:bookmarkStart w:id="372" w:name="_Toc407629243"/>
      <w:bookmarkStart w:id="373" w:name="_Toc460853211"/>
      <w:r>
        <w:rPr>
          <w:rStyle w:val="CharSClsNo"/>
        </w:rPr>
        <w:t>1</w:t>
      </w:r>
      <w:r>
        <w:rPr>
          <w:snapToGrid w:val="0"/>
        </w:rPr>
        <w:t>.</w:t>
      </w:r>
      <w:r>
        <w:rPr>
          <w:snapToGrid w:val="0"/>
        </w:rPr>
        <w:tab/>
        <w:t>Chances, number of etc.</w:t>
      </w:r>
      <w:bookmarkEnd w:id="372"/>
      <w:bookmarkEnd w:id="373"/>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r>
        <w:tab/>
        <w:t>[Clause 1 inserted in Gazette 11 May 1993 p. 2399.]</w:t>
      </w:r>
    </w:p>
    <w:p>
      <w:pPr>
        <w:pStyle w:val="yHeading5"/>
        <w:rPr>
          <w:snapToGrid w:val="0"/>
        </w:rPr>
      </w:pPr>
      <w:bookmarkStart w:id="374" w:name="_Toc407629244"/>
      <w:bookmarkStart w:id="375" w:name="_Toc460853212"/>
      <w:r>
        <w:rPr>
          <w:rStyle w:val="CharSClsNo"/>
        </w:rPr>
        <w:t>2</w:t>
      </w:r>
      <w:r>
        <w:rPr>
          <w:snapToGrid w:val="0"/>
        </w:rPr>
        <w:t>.</w:t>
      </w:r>
      <w:r>
        <w:rPr>
          <w:snapToGrid w:val="0"/>
        </w:rPr>
        <w:tab/>
        <w:t>Chances, information on</w:t>
      </w:r>
      <w:bookmarkEnd w:id="374"/>
      <w:bookmarkEnd w:id="375"/>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 and</w:t>
      </w:r>
    </w:p>
    <w:p>
      <w:pPr>
        <w:pStyle w:val="yIndenta"/>
        <w:spacing w:before="100"/>
        <w:rPr>
          <w:snapToGrid w:val="0"/>
        </w:rPr>
      </w:pPr>
      <w:r>
        <w:rPr>
          <w:snapToGrid w:val="0"/>
        </w:rPr>
        <w:tab/>
        <w:t>(b)</w:t>
      </w:r>
      <w:r>
        <w:rPr>
          <w:snapToGrid w:val="0"/>
        </w:rPr>
        <w:tab/>
        <w:t>the price; and</w:t>
      </w:r>
    </w:p>
    <w:p>
      <w:pPr>
        <w:pStyle w:val="yIndenta"/>
        <w:spacing w:before="100"/>
        <w:rPr>
          <w:snapToGrid w:val="0"/>
        </w:rPr>
      </w:pPr>
      <w:r>
        <w:rPr>
          <w:snapToGrid w:val="0"/>
        </w:rPr>
        <w:tab/>
        <w:t>(c)</w:t>
      </w:r>
      <w:r>
        <w:rPr>
          <w:snapToGrid w:val="0"/>
        </w:rPr>
        <w:tab/>
        <w:t>the name and address of the permit holder; and</w:t>
      </w:r>
    </w:p>
    <w:p>
      <w:pPr>
        <w:pStyle w:val="yIndenta"/>
        <w:spacing w:before="100"/>
        <w:rPr>
          <w:snapToGrid w:val="0"/>
        </w:rPr>
      </w:pPr>
      <w:r>
        <w:rPr>
          <w:snapToGrid w:val="0"/>
        </w:rPr>
        <w:tab/>
        <w:t>(d)</w:t>
      </w:r>
      <w:r>
        <w:rPr>
          <w:snapToGrid w:val="0"/>
        </w:rPr>
        <w:tab/>
        <w:t>the name of the body on behalf of which, or the purposes for which, the lottery is conducted; and</w:t>
      </w:r>
    </w:p>
    <w:p>
      <w:pPr>
        <w:pStyle w:val="yIndenta"/>
        <w:spacing w:before="100"/>
        <w:rPr>
          <w:snapToGrid w:val="0"/>
        </w:rPr>
      </w:pPr>
      <w:r>
        <w:rPr>
          <w:snapToGrid w:val="0"/>
        </w:rPr>
        <w:tab/>
        <w:t>(e)</w:t>
      </w:r>
      <w:r>
        <w:rPr>
          <w:snapToGrid w:val="0"/>
        </w:rPr>
        <w:tab/>
        <w:t>the number of the permit; and</w:t>
      </w:r>
    </w:p>
    <w:p>
      <w:pPr>
        <w:pStyle w:val="yIndenta"/>
        <w:spacing w:before="100"/>
        <w:rPr>
          <w:snapToGrid w:val="0"/>
        </w:rPr>
      </w:pPr>
      <w:r>
        <w:rPr>
          <w:snapToGrid w:val="0"/>
        </w:rPr>
        <w:tab/>
        <w:t>(f)</w:t>
      </w:r>
      <w:r>
        <w:rPr>
          <w:snapToGrid w:val="0"/>
        </w:rPr>
        <w:tab/>
        <w:t>the amount, or the nature and retail value, of each prize; and</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r>
        <w:tab/>
        <w:t>[Clause 2 amended in Gazette 11 May 1993 p. 2399; 23 Feb 1996 p. 675; 28 Jun 1996 p. 3100; 27 Oct 2000 p. 6030.]</w:t>
      </w:r>
    </w:p>
    <w:p>
      <w:pPr>
        <w:pStyle w:val="yHeading5"/>
        <w:outlineLvl w:val="9"/>
        <w:rPr>
          <w:snapToGrid w:val="0"/>
        </w:rPr>
      </w:pPr>
      <w:bookmarkStart w:id="376" w:name="_Toc407629245"/>
      <w:bookmarkStart w:id="377" w:name="_Toc460853213"/>
      <w:r>
        <w:rPr>
          <w:rStyle w:val="CharSClsNo"/>
        </w:rPr>
        <w:t>2A</w:t>
      </w:r>
      <w:r>
        <w:rPr>
          <w:snapToGrid w:val="0"/>
        </w:rPr>
        <w:t>.</w:t>
      </w:r>
      <w:r>
        <w:rPr>
          <w:snapToGrid w:val="0"/>
        </w:rPr>
        <w:tab/>
        <w:t>Chance holders, identification of</w:t>
      </w:r>
      <w:bookmarkEnd w:id="376"/>
      <w:bookmarkEnd w:id="377"/>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r>
        <w:tab/>
        <w:t>[Clause 2A inserted in Gazette 11 May 1993 p. 2399.]</w:t>
      </w:r>
    </w:p>
    <w:p>
      <w:pPr>
        <w:pStyle w:val="yHeading5"/>
        <w:rPr>
          <w:snapToGrid w:val="0"/>
        </w:rPr>
      </w:pPr>
      <w:bookmarkStart w:id="378" w:name="_Toc407629246"/>
      <w:bookmarkStart w:id="379" w:name="_Toc460853214"/>
      <w:r>
        <w:rPr>
          <w:rStyle w:val="CharSClsNo"/>
        </w:rPr>
        <w:t>3</w:t>
      </w:r>
      <w:r>
        <w:rPr>
          <w:snapToGrid w:val="0"/>
        </w:rPr>
        <w:t>.</w:t>
      </w:r>
      <w:r>
        <w:rPr>
          <w:snapToGrid w:val="0"/>
        </w:rPr>
        <w:tab/>
        <w:t>Results of draw</w:t>
      </w:r>
      <w:bookmarkEnd w:id="378"/>
      <w:bookmarkEnd w:id="379"/>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 and</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r>
        <w:tab/>
        <w:t>[Clause 3 inserted in Gazette 28 Jun 1996 p. 3100.]</w:t>
      </w:r>
    </w:p>
    <w:p>
      <w:pPr>
        <w:pStyle w:val="yHeading5"/>
        <w:rPr>
          <w:snapToGrid w:val="0"/>
        </w:rPr>
      </w:pPr>
      <w:bookmarkStart w:id="380" w:name="_Toc407629247"/>
      <w:bookmarkStart w:id="381" w:name="_Toc460853215"/>
      <w:r>
        <w:rPr>
          <w:rStyle w:val="CharSClsNo"/>
        </w:rPr>
        <w:t>4</w:t>
      </w:r>
      <w:r>
        <w:rPr>
          <w:snapToGrid w:val="0"/>
        </w:rPr>
        <w:t>.</w:t>
      </w:r>
      <w:r>
        <w:rPr>
          <w:snapToGrid w:val="0"/>
        </w:rPr>
        <w:tab/>
        <w:t>Order in which prizes are to be drawn</w:t>
      </w:r>
      <w:bookmarkEnd w:id="380"/>
      <w:bookmarkEnd w:id="381"/>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 and</w:t>
      </w:r>
    </w:p>
    <w:p>
      <w:pPr>
        <w:pStyle w:val="yIndenta"/>
        <w:rPr>
          <w:snapToGrid w:val="0"/>
        </w:rPr>
      </w:pPr>
      <w:r>
        <w:rPr>
          <w:snapToGrid w:val="0"/>
        </w:rPr>
        <w:tab/>
        <w:t>(b)</w:t>
      </w:r>
      <w:r>
        <w:rPr>
          <w:snapToGrid w:val="0"/>
        </w:rPr>
        <w:tab/>
        <w:t>the second chance drawn shall win the second prize; and</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r>
        <w:tab/>
        <w:t>[Clause 4 inserted in Gazette 11 May 1993 p. 2399.]</w:t>
      </w:r>
    </w:p>
    <w:p>
      <w:pPr>
        <w:pStyle w:val="yHeading4"/>
        <w:rPr>
          <w:snapToGrid w:val="0"/>
        </w:rPr>
      </w:pPr>
      <w:bookmarkStart w:id="382" w:name="_Toc403656921"/>
      <w:bookmarkStart w:id="383" w:name="_Toc403720667"/>
      <w:bookmarkStart w:id="384" w:name="_Toc407629248"/>
      <w:bookmarkStart w:id="385" w:name="_Toc418677918"/>
      <w:bookmarkStart w:id="386" w:name="_Toc418678027"/>
      <w:bookmarkStart w:id="387" w:name="_Toc436646353"/>
      <w:bookmarkStart w:id="388" w:name="_Toc438113788"/>
      <w:bookmarkStart w:id="389" w:name="_Toc439166331"/>
      <w:bookmarkStart w:id="390" w:name="_Toc460853216"/>
      <w:r>
        <w:rPr>
          <w:snapToGrid w:val="0"/>
        </w:rPr>
        <w:t>Division 2 — Rules for the conduct of a continuing lottery</w:t>
      </w:r>
      <w:bookmarkEnd w:id="382"/>
      <w:bookmarkEnd w:id="383"/>
      <w:bookmarkEnd w:id="384"/>
      <w:bookmarkEnd w:id="385"/>
      <w:bookmarkEnd w:id="386"/>
      <w:bookmarkEnd w:id="387"/>
      <w:bookmarkEnd w:id="388"/>
      <w:bookmarkEnd w:id="389"/>
      <w:bookmarkEnd w:id="390"/>
    </w:p>
    <w:p>
      <w:pPr>
        <w:pStyle w:val="yHeading5"/>
        <w:rPr>
          <w:snapToGrid w:val="0"/>
        </w:rPr>
      </w:pPr>
      <w:bookmarkStart w:id="391" w:name="_Toc407629249"/>
      <w:bookmarkStart w:id="392" w:name="_Toc460853217"/>
      <w:r>
        <w:rPr>
          <w:rStyle w:val="CharSClsNo"/>
        </w:rPr>
        <w:t>1</w:t>
      </w:r>
      <w:r>
        <w:rPr>
          <w:snapToGrid w:val="0"/>
        </w:rPr>
        <w:t>.</w:t>
      </w:r>
      <w:r>
        <w:rPr>
          <w:snapToGrid w:val="0"/>
        </w:rPr>
        <w:tab/>
        <w:t>Information on each ticket</w:t>
      </w:r>
      <w:bookmarkEnd w:id="391"/>
      <w:bookmarkEnd w:id="392"/>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 and</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393" w:name="_Toc407629250"/>
      <w:bookmarkStart w:id="394" w:name="_Toc460853218"/>
      <w:r>
        <w:rPr>
          <w:rStyle w:val="CharSClsNo"/>
        </w:rPr>
        <w:t>2</w:t>
      </w:r>
      <w:r>
        <w:rPr>
          <w:snapToGrid w:val="0"/>
        </w:rPr>
        <w:t>.</w:t>
      </w:r>
      <w:r>
        <w:rPr>
          <w:snapToGrid w:val="0"/>
        </w:rPr>
        <w:tab/>
        <w:t>Where tickets may be sold</w:t>
      </w:r>
      <w:bookmarkEnd w:id="393"/>
      <w:bookmarkEnd w:id="394"/>
    </w:p>
    <w:p>
      <w:pPr>
        <w:pStyle w:val="ySubsection"/>
        <w:rPr>
          <w:snapToGrid w:val="0"/>
        </w:rPr>
      </w:pPr>
      <w:r>
        <w:rPr>
          <w:snapToGrid w:val="0"/>
        </w:rPr>
        <w:tab/>
      </w:r>
      <w:r>
        <w:rPr>
          <w:snapToGrid w:val="0"/>
        </w:rPr>
        <w:tab/>
        <w:t>Tickets shall be sold only at premises or locations specified in the permit.</w:t>
      </w:r>
    </w:p>
    <w:p>
      <w:pPr>
        <w:pStyle w:val="yEdnotedivision"/>
        <w:outlineLvl w:val="9"/>
      </w:pPr>
      <w:r>
        <w:t>[Part 3 deleted in Gazette 4 Aug 1992 p. 3831.]</w:t>
      </w:r>
    </w:p>
    <w:p>
      <w:pPr>
        <w:sectPr>
          <w:headerReference w:type="even" r:id="rId31"/>
          <w:headerReference w:type="default" r:id="rId32"/>
          <w:headerReference w:type="first" r:id="rId33"/>
          <w:pgSz w:w="11907" w:h="16840" w:code="9"/>
          <w:pgMar w:top="2376" w:right="2404" w:bottom="3544" w:left="2404" w:header="709" w:footer="3379" w:gutter="0"/>
          <w:cols w:space="720"/>
          <w:noEndnote/>
          <w:docGrid w:linePitch="326"/>
        </w:sectPr>
      </w:pPr>
    </w:p>
    <w:p>
      <w:pPr>
        <w:pStyle w:val="yScheduleHeading"/>
      </w:pPr>
      <w:bookmarkStart w:id="395" w:name="_Toc460853219"/>
      <w:r>
        <w:rPr>
          <w:rStyle w:val="CharSchNo"/>
        </w:rPr>
        <w:t>Schedule 5</w:t>
      </w:r>
      <w:r>
        <w:rPr>
          <w:rStyle w:val="CharSDivNo"/>
        </w:rPr>
        <w:t> </w:t>
      </w:r>
      <w:r>
        <w:t>—</w:t>
      </w:r>
      <w:r>
        <w:rPr>
          <w:rStyle w:val="CharSDivText"/>
        </w:rPr>
        <w:t> </w:t>
      </w:r>
      <w:r>
        <w:rPr>
          <w:rStyle w:val="CharSchText"/>
        </w:rPr>
        <w:t>Conditions for trade promotion lottery</w:t>
      </w:r>
      <w:bookmarkEnd w:id="395"/>
    </w:p>
    <w:p>
      <w:pPr>
        <w:pStyle w:val="yShoulderClause"/>
      </w:pPr>
      <w:r>
        <w:t>[r. 36A]</w:t>
      </w:r>
    </w:p>
    <w:p>
      <w:pPr>
        <w:pStyle w:val="yFootnoteheading"/>
      </w:pPr>
      <w:r>
        <w:tab/>
        <w:t>[Heading inserted in Gazette 6 Sep 2016 p. 3832.]</w:t>
      </w:r>
    </w:p>
    <w:p>
      <w:pPr>
        <w:pStyle w:val="yNumberedItem"/>
      </w:pPr>
      <w:r>
        <w:t>1.</w:t>
      </w:r>
      <w:r>
        <w:tab/>
        <w:t>There must be no cost to enter the lottery.</w:t>
      </w:r>
    </w:p>
    <w:p>
      <w:pPr>
        <w:pStyle w:val="yNumberedItem"/>
      </w:pPr>
      <w:r>
        <w:t>2.</w:t>
      </w:r>
      <w:r>
        <w:tab/>
        <w:t>If entry to the lottery is made using a telephone or other electronic medium, the cost of using the telephone or other medium to make the entry must not exceed 55 cents.</w:t>
      </w:r>
    </w:p>
    <w:p>
      <w:pPr>
        <w:pStyle w:val="yNumberedItem"/>
      </w:pPr>
      <w:r>
        <w:t>3.</w:t>
      </w:r>
      <w:r>
        <w:tab/>
        <w:t>If entry to the lottery is made using the Internet, there must be no cost to the participant to register the participant’s name other than the cost paid by the participant to access the website via the internet service provider.</w:t>
      </w:r>
    </w:p>
    <w:p>
      <w:pPr>
        <w:pStyle w:val="yNumberedItem"/>
      </w:pPr>
      <w:r>
        <w:t>4.</w:t>
      </w:r>
      <w:r>
        <w:tab/>
        <w:t>A prize in the lottery must not consist of or include cosmetic surgical or medical procedures.</w:t>
      </w:r>
    </w:p>
    <w:p>
      <w:pPr>
        <w:pStyle w:val="yNumberedItem"/>
      </w:pPr>
      <w:r>
        <w:t>5.</w:t>
      </w:r>
      <w:r>
        <w:tab/>
        <w:t>The lottery must not be conducted for more than 12 months.</w:t>
      </w:r>
    </w:p>
    <w:p>
      <w:pPr>
        <w:pStyle w:val="yNumberedItem"/>
      </w:pPr>
      <w:r>
        <w:t>6.</w:t>
      </w:r>
      <w:r>
        <w:tab/>
        <w:t>The draw must be conducted within one month after closure of the lottery.</w:t>
      </w:r>
    </w:p>
    <w:p>
      <w:pPr>
        <w:pStyle w:val="yNumberedItem"/>
      </w:pPr>
      <w:r>
        <w:t>7.</w:t>
      </w:r>
      <w:r>
        <w:tab/>
        <w:t xml:space="preserve">If entry to the lottery is by an entry form or coupon — </w:t>
      </w:r>
    </w:p>
    <w:p>
      <w:pPr>
        <w:pStyle w:val="yNumberedItemPara"/>
      </w:pPr>
      <w:r>
        <w:tab/>
        <w:t>(a)</w:t>
      </w:r>
      <w:r>
        <w:tab/>
        <w:t>a description of the prize or prizes must be printed on the entry form or coupon; and</w:t>
      </w:r>
    </w:p>
    <w:p>
      <w:pPr>
        <w:pStyle w:val="yNumberedItemPara"/>
      </w:pPr>
      <w:r>
        <w:tab/>
        <w:t>(b)</w:t>
      </w:r>
      <w:r>
        <w:tab/>
        <w:t xml:space="preserve">the lottery terms and conditions must be — </w:t>
      </w:r>
    </w:p>
    <w:p>
      <w:pPr>
        <w:pStyle w:val="yNumberedItemSubPara"/>
      </w:pPr>
      <w:r>
        <w:tab/>
        <w:t>(i)</w:t>
      </w:r>
      <w:r>
        <w:tab/>
        <w:t>printed on the entry form or coupon; or</w:t>
      </w:r>
    </w:p>
    <w:p>
      <w:pPr>
        <w:pStyle w:val="yNumberedItemSubPara"/>
      </w:pPr>
      <w:r>
        <w:tab/>
        <w:t>(ii)</w:t>
      </w:r>
      <w:r>
        <w:tab/>
        <w:t>published in a newspaper published nationally (if the lottery originates outside the State) or in a newspaper published throughout the State (if the lottery originates in the State); or</w:t>
      </w:r>
    </w:p>
    <w:p>
      <w:pPr>
        <w:pStyle w:val="yNumberedItemSubPara"/>
      </w:pPr>
      <w:r>
        <w:tab/>
        <w:t>(iii)</w:t>
      </w:r>
      <w:r>
        <w:tab/>
        <w:t>published on the Internet;</w:t>
      </w:r>
    </w:p>
    <w:p>
      <w:pPr>
        <w:pStyle w:val="yNumberedItemPara"/>
      </w:pPr>
      <w:r>
        <w:tab/>
      </w:r>
      <w:r>
        <w:tab/>
        <w:t>and</w:t>
      </w:r>
    </w:p>
    <w:p>
      <w:pPr>
        <w:pStyle w:val="yNumberedItemPara"/>
      </w:pPr>
      <w:r>
        <w:tab/>
        <w:t>(c)</w:t>
      </w:r>
      <w:r>
        <w:tab/>
        <w:t>if the lottery terms and conditions are published in a newspaper or on the Internet, a reference to that publication must be printed on the entry form or coupon.</w:t>
      </w:r>
    </w:p>
    <w:p>
      <w:pPr>
        <w:pStyle w:val="yNumberedItem"/>
      </w:pPr>
      <w:r>
        <w:t>8.</w:t>
      </w:r>
      <w:r>
        <w:tab/>
        <w:t xml:space="preserve">If the lottery is conducted by audio or visual media — </w:t>
      </w:r>
    </w:p>
    <w:p>
      <w:pPr>
        <w:pStyle w:val="yNumberedItemPara"/>
      </w:pPr>
      <w:r>
        <w:tab/>
        <w:t>(a)</w:t>
      </w:r>
      <w:r>
        <w:tab/>
        <w:t>a description of the prize or prizes must be included in the broadcast; and</w:t>
      </w:r>
    </w:p>
    <w:p>
      <w:pPr>
        <w:pStyle w:val="yNumberedItemPara"/>
      </w:pPr>
      <w:r>
        <w:tab/>
        <w:t>(b)</w:t>
      </w:r>
      <w:r>
        <w:tab/>
        <w:t>the lottery terms and conditions must be included in the broadcast or the broadcast must direct participants to where those terms and conditions can be found.</w:t>
      </w:r>
    </w:p>
    <w:p>
      <w:pPr>
        <w:pStyle w:val="yNumberedItem"/>
      </w:pPr>
      <w:r>
        <w:t>9.</w:t>
      </w:r>
      <w:r>
        <w:tab/>
        <w:t>If the lottery is conducted by electronic media (other than audio or visual), all advertising of the lottery must include a description of the prize or prizes and direct participants to where the lottery terms and conditions can be found.</w:t>
      </w:r>
    </w:p>
    <w:p>
      <w:pPr>
        <w:pStyle w:val="yNumberedItem"/>
      </w:pPr>
      <w:r>
        <w:t>10.</w:t>
      </w:r>
      <w:r>
        <w:tab/>
        <w:t>If the lottery is conducted in any other way, all advertising of the lottery must include a description of the prize or prizes and the lottery terms and conditions.</w:t>
      </w:r>
    </w:p>
    <w:p>
      <w:pPr>
        <w:pStyle w:val="yNumberedItem"/>
      </w:pPr>
      <w:r>
        <w:t>11.</w:t>
      </w:r>
      <w:r>
        <w:tab/>
        <w:t>The method for determining the winner of the lottery must be clearly stated in the lottery terms and conditions.</w:t>
      </w:r>
    </w:p>
    <w:p>
      <w:pPr>
        <w:pStyle w:val="yNumberedItem"/>
      </w:pPr>
      <w:r>
        <w:t>12.</w:t>
      </w:r>
      <w:r>
        <w:tab/>
        <w:t>If the lottery is to be conducted by audio, visual or other electronic media, a copy of the lottery terms and conditions must be lodged with the Commission before commencement of the lottery.</w:t>
      </w:r>
    </w:p>
    <w:p>
      <w:pPr>
        <w:pStyle w:val="yNumberedItem"/>
      </w:pPr>
      <w:r>
        <w:t>13.</w:t>
      </w:r>
      <w:r>
        <w:tab/>
        <w:t>If the lottery has commenced, the lottery terms and conditions cannot be amended without the prior written approval of the Commission.</w:t>
      </w:r>
    </w:p>
    <w:p>
      <w:pPr>
        <w:pStyle w:val="yNumberedItem"/>
      </w:pPr>
      <w:r>
        <w:t>14.</w:t>
      </w:r>
      <w:r>
        <w:tab/>
        <w:t>If the lottery has commenced, it cannot be cancelled or withdrawn without the prior written approval of the Commission.</w:t>
      </w:r>
    </w:p>
    <w:p>
      <w:pPr>
        <w:pStyle w:val="yNumberedItem"/>
      </w:pPr>
      <w:r>
        <w:t>15.</w:t>
      </w:r>
      <w:r>
        <w:tab/>
        <w:t>Records relating to the lottery must be kept for 12 months and must be made available to an authorised officer or member of the Police Force on request.</w:t>
      </w:r>
    </w:p>
    <w:p>
      <w:pPr>
        <w:pStyle w:val="yNumberedItem"/>
      </w:pPr>
      <w:r>
        <w:t>16.</w:t>
      </w:r>
      <w:r>
        <w:tab/>
        <w:t>If practicable, members of the public must be given the opportunity to witness the prize draw. If that is not practicable, audit records confirming the prize draw must be made available to an authorised officer or member of the Police Force on request.</w:t>
      </w:r>
    </w:p>
    <w:p>
      <w:pPr>
        <w:pStyle w:val="yFootnotesection"/>
      </w:pPr>
      <w:r>
        <w:tab/>
        <w:t>[Schedule 5 inserted in Gazette 6 Sep 2016 p. 3832-3.]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5"/>
          <w:headerReference w:type="default" r:id="rId36"/>
          <w:pgSz w:w="11907" w:h="16840" w:code="9"/>
          <w:pgMar w:top="2376" w:right="2404" w:bottom="3544" w:left="2404" w:header="709" w:footer="3379" w:gutter="0"/>
          <w:cols w:space="720"/>
          <w:noEndnote/>
          <w:docGrid w:linePitch="326"/>
        </w:sectPr>
      </w:pPr>
    </w:p>
    <w:p>
      <w:pPr>
        <w:pStyle w:val="nHeading2"/>
      </w:pPr>
      <w:bookmarkStart w:id="396" w:name="_Toc403656924"/>
      <w:bookmarkStart w:id="397" w:name="_Toc403720670"/>
      <w:bookmarkStart w:id="398" w:name="_Toc407629251"/>
      <w:bookmarkStart w:id="399" w:name="_Toc418677921"/>
      <w:bookmarkStart w:id="400" w:name="_Toc418678030"/>
      <w:bookmarkStart w:id="401" w:name="_Toc436646356"/>
      <w:bookmarkStart w:id="402" w:name="_Toc438113791"/>
      <w:bookmarkStart w:id="403" w:name="_Toc439166334"/>
      <w:bookmarkStart w:id="404" w:name="_Toc460853220"/>
      <w:r>
        <w:t>Notes</w:t>
      </w:r>
      <w:bookmarkEnd w:id="396"/>
      <w:bookmarkEnd w:id="397"/>
      <w:bookmarkEnd w:id="398"/>
      <w:bookmarkEnd w:id="399"/>
      <w:bookmarkEnd w:id="400"/>
      <w:bookmarkEnd w:id="401"/>
      <w:bookmarkEnd w:id="402"/>
      <w:bookmarkEnd w:id="403"/>
      <w:bookmarkEnd w:id="404"/>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Regulations 1988</w:t>
      </w:r>
      <w:r>
        <w:rPr>
          <w:snapToGrid w:val="0"/>
        </w:rPr>
        <w:t xml:space="preserve"> and includes the amendments made by the other written laws referred to in the following table</w:t>
      </w:r>
      <w:r>
        <w:rPr>
          <w:snapToGrid w:val="0"/>
          <w:vertAlign w:val="superscript"/>
        </w:rPr>
        <w:t xml:space="preserve"> 5</w:t>
      </w:r>
      <w:r>
        <w:rPr>
          <w:snapToGrid w:val="0"/>
        </w:rPr>
        <w:t>.  The table also contains information about any reprint.</w:t>
      </w:r>
    </w:p>
    <w:p>
      <w:pPr>
        <w:pStyle w:val="nHeading3"/>
        <w:rPr>
          <w:snapToGrid w:val="0"/>
        </w:rPr>
      </w:pPr>
      <w:bookmarkStart w:id="405" w:name="_Toc407629252"/>
      <w:bookmarkStart w:id="406" w:name="_Toc460853221"/>
      <w:r>
        <w:rPr>
          <w:snapToGrid w:val="0"/>
        </w:rPr>
        <w:t>Compilation table</w:t>
      </w:r>
      <w:bookmarkEnd w:id="405"/>
      <w:bookmarkEnd w:id="406"/>
    </w:p>
    <w:tbl>
      <w:tblPr>
        <w:tblW w:w="0" w:type="auto"/>
        <w:tblInd w:w="36" w:type="dxa"/>
        <w:tblLayout w:type="fixed"/>
        <w:tblCellMar>
          <w:left w:w="56" w:type="dxa"/>
          <w:right w:w="56" w:type="dxa"/>
        </w:tblCellMar>
        <w:tblLook w:val="0000" w:firstRow="0" w:lastRow="0" w:firstColumn="0" w:lastColumn="0" w:noHBand="0" w:noVBand="0"/>
      </w:tblPr>
      <w:tblGrid>
        <w:gridCol w:w="20"/>
        <w:gridCol w:w="3099"/>
        <w:gridCol w:w="19"/>
        <w:gridCol w:w="1257"/>
        <w:gridCol w:w="19"/>
        <w:gridCol w:w="2694"/>
      </w:tblGrid>
      <w:tr>
        <w:trPr>
          <w:gridBefore w:val="1"/>
          <w:wBefore w:w="20" w:type="dxa"/>
          <w:cantSplit/>
          <w:tblHeader/>
        </w:trPr>
        <w:tc>
          <w:tcPr>
            <w:tcW w:w="3118" w:type="dxa"/>
            <w:gridSpan w:val="2"/>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0" w:type="dxa"/>
          <w:cantSplit/>
        </w:trPr>
        <w:tc>
          <w:tcPr>
            <w:tcW w:w="3118" w:type="dxa"/>
            <w:gridSpan w:val="2"/>
          </w:tcPr>
          <w:p>
            <w:pPr>
              <w:pStyle w:val="nTable"/>
              <w:spacing w:after="40"/>
              <w:ind w:right="113"/>
              <w:rPr>
                <w:vertAlign w:val="superscript"/>
              </w:rPr>
            </w:pPr>
            <w:r>
              <w:rPr>
                <w:i/>
              </w:rPr>
              <w:t>Gaming Commission Regulations 1988</w:t>
            </w:r>
            <w:r>
              <w:rPr>
                <w:snapToGrid w:val="0"/>
                <w:vertAlign w:val="superscript"/>
              </w:rPr>
              <w:t> 6</w:t>
            </w:r>
          </w:p>
        </w:tc>
        <w:tc>
          <w:tcPr>
            <w:tcW w:w="1276" w:type="dxa"/>
            <w:gridSpan w:val="2"/>
          </w:tcPr>
          <w:p>
            <w:pPr>
              <w:pStyle w:val="nTable"/>
              <w:spacing w:after="40"/>
            </w:pPr>
            <w:r>
              <w:t>29 Apr 1988 p. 1295</w:t>
            </w:r>
            <w:r>
              <w:noBreakHyphen/>
              <w:t>304</w:t>
            </w:r>
          </w:p>
        </w:tc>
        <w:tc>
          <w:tcPr>
            <w:tcW w:w="2694" w:type="dxa"/>
          </w:tcPr>
          <w:p>
            <w:pPr>
              <w:pStyle w:val="nTable"/>
              <w:spacing w:after="40"/>
            </w:pPr>
            <w:r>
              <w:t>2 May 1988 (see r. 2)</w:t>
            </w:r>
          </w:p>
        </w:tc>
      </w:tr>
      <w:tr>
        <w:trPr>
          <w:gridBefore w:val="1"/>
          <w:wBefore w:w="20" w:type="dxa"/>
          <w:cantSplit/>
        </w:trPr>
        <w:tc>
          <w:tcPr>
            <w:tcW w:w="3118" w:type="dxa"/>
            <w:gridSpan w:val="2"/>
          </w:tcPr>
          <w:p>
            <w:pPr>
              <w:pStyle w:val="nTable"/>
              <w:spacing w:after="40"/>
              <w:ind w:right="113"/>
            </w:pPr>
            <w:r>
              <w:rPr>
                <w:i/>
              </w:rPr>
              <w:t>Gaming Commission Amendment Regulations 1988</w:t>
            </w:r>
          </w:p>
        </w:tc>
        <w:tc>
          <w:tcPr>
            <w:tcW w:w="1276" w:type="dxa"/>
            <w:gridSpan w:val="2"/>
          </w:tcPr>
          <w:p>
            <w:pPr>
              <w:pStyle w:val="nTable"/>
              <w:spacing w:after="40"/>
            </w:pPr>
            <w:r>
              <w:t>7 Oct 1988 p. 4106</w:t>
            </w:r>
          </w:p>
        </w:tc>
        <w:tc>
          <w:tcPr>
            <w:tcW w:w="2694" w:type="dxa"/>
          </w:tcPr>
          <w:p>
            <w:pPr>
              <w:pStyle w:val="nTable"/>
              <w:spacing w:after="40"/>
            </w:pPr>
            <w:r>
              <w:t>7 Oct 1988</w:t>
            </w:r>
          </w:p>
        </w:tc>
      </w:tr>
      <w:tr>
        <w:trPr>
          <w:gridBefore w:val="1"/>
          <w:wBefore w:w="20" w:type="dxa"/>
          <w:cantSplit/>
        </w:trPr>
        <w:tc>
          <w:tcPr>
            <w:tcW w:w="3118" w:type="dxa"/>
            <w:gridSpan w:val="2"/>
          </w:tcPr>
          <w:p>
            <w:pPr>
              <w:pStyle w:val="nTable"/>
              <w:spacing w:after="40"/>
              <w:ind w:right="113"/>
            </w:pPr>
            <w:r>
              <w:rPr>
                <w:i/>
              </w:rPr>
              <w:t>Gaming Commission Amendment Regulations (No. 2) 1988</w:t>
            </w:r>
          </w:p>
        </w:tc>
        <w:tc>
          <w:tcPr>
            <w:tcW w:w="1276" w:type="dxa"/>
            <w:gridSpan w:val="2"/>
          </w:tcPr>
          <w:p>
            <w:pPr>
              <w:pStyle w:val="nTable"/>
              <w:spacing w:after="40"/>
            </w:pPr>
            <w:r>
              <w:t>18 Nov 1988 p. 4527</w:t>
            </w:r>
            <w:r>
              <w:noBreakHyphen/>
              <w:t>9</w:t>
            </w:r>
          </w:p>
        </w:tc>
        <w:tc>
          <w:tcPr>
            <w:tcW w:w="2694" w:type="dxa"/>
          </w:tcPr>
          <w:p>
            <w:pPr>
              <w:pStyle w:val="nTable"/>
              <w:spacing w:after="40"/>
            </w:pPr>
            <w:r>
              <w:t>18 Nov 1988</w:t>
            </w:r>
          </w:p>
        </w:tc>
      </w:tr>
      <w:tr>
        <w:trPr>
          <w:gridBefore w:val="1"/>
          <w:wBefore w:w="20" w:type="dxa"/>
          <w:cantSplit/>
        </w:trPr>
        <w:tc>
          <w:tcPr>
            <w:tcW w:w="3118" w:type="dxa"/>
            <w:gridSpan w:val="2"/>
          </w:tcPr>
          <w:p>
            <w:pPr>
              <w:pStyle w:val="nTable"/>
              <w:spacing w:after="40"/>
              <w:ind w:right="113"/>
            </w:pPr>
            <w:r>
              <w:rPr>
                <w:i/>
              </w:rPr>
              <w:t>Gaming Commission Amendment Regulations 1989</w:t>
            </w:r>
          </w:p>
        </w:tc>
        <w:tc>
          <w:tcPr>
            <w:tcW w:w="1276" w:type="dxa"/>
            <w:gridSpan w:val="2"/>
          </w:tcPr>
          <w:p>
            <w:pPr>
              <w:pStyle w:val="nTable"/>
              <w:spacing w:after="40"/>
            </w:pPr>
            <w:r>
              <w:t>26 May 1989 p. 1548</w:t>
            </w:r>
          </w:p>
        </w:tc>
        <w:tc>
          <w:tcPr>
            <w:tcW w:w="2694" w:type="dxa"/>
          </w:tcPr>
          <w:p>
            <w:pPr>
              <w:pStyle w:val="nTable"/>
              <w:spacing w:after="40"/>
            </w:pPr>
            <w:r>
              <w:t>26 May 1989</w:t>
            </w:r>
          </w:p>
        </w:tc>
      </w:tr>
      <w:tr>
        <w:trPr>
          <w:gridBefore w:val="1"/>
          <w:wBefore w:w="20" w:type="dxa"/>
          <w:cantSplit/>
        </w:trPr>
        <w:tc>
          <w:tcPr>
            <w:tcW w:w="3118" w:type="dxa"/>
            <w:gridSpan w:val="2"/>
          </w:tcPr>
          <w:p>
            <w:pPr>
              <w:pStyle w:val="nTable"/>
              <w:spacing w:after="40"/>
              <w:ind w:right="113"/>
            </w:pPr>
            <w:r>
              <w:rPr>
                <w:i/>
              </w:rPr>
              <w:t>Gaming Commission Amendment Regulations (No. 2) 1989</w:t>
            </w:r>
          </w:p>
        </w:tc>
        <w:tc>
          <w:tcPr>
            <w:tcW w:w="1276" w:type="dxa"/>
            <w:gridSpan w:val="2"/>
          </w:tcPr>
          <w:p>
            <w:pPr>
              <w:pStyle w:val="nTable"/>
              <w:spacing w:after="40"/>
            </w:pPr>
            <w:r>
              <w:t>4 Aug 1989 p. 2497</w:t>
            </w:r>
            <w:r>
              <w:noBreakHyphen/>
              <w:t>500</w:t>
            </w:r>
          </w:p>
        </w:tc>
        <w:tc>
          <w:tcPr>
            <w:tcW w:w="2694" w:type="dxa"/>
          </w:tcPr>
          <w:p>
            <w:pPr>
              <w:pStyle w:val="nTable"/>
              <w:spacing w:after="40"/>
            </w:pPr>
            <w:r>
              <w:t>4 Aug 1989</w:t>
            </w:r>
          </w:p>
        </w:tc>
      </w:tr>
      <w:tr>
        <w:trPr>
          <w:gridBefore w:val="1"/>
          <w:wBefore w:w="20" w:type="dxa"/>
          <w:cantSplit/>
        </w:trPr>
        <w:tc>
          <w:tcPr>
            <w:tcW w:w="3118" w:type="dxa"/>
            <w:gridSpan w:val="2"/>
          </w:tcPr>
          <w:p>
            <w:pPr>
              <w:pStyle w:val="nTable"/>
              <w:spacing w:after="40"/>
              <w:ind w:right="113"/>
            </w:pPr>
            <w:r>
              <w:rPr>
                <w:i/>
              </w:rPr>
              <w:t>Gaming Commission Amendment Regulations (No. 3) 1989</w:t>
            </w:r>
          </w:p>
        </w:tc>
        <w:tc>
          <w:tcPr>
            <w:tcW w:w="1276" w:type="dxa"/>
            <w:gridSpan w:val="2"/>
          </w:tcPr>
          <w:p>
            <w:pPr>
              <w:pStyle w:val="nTable"/>
              <w:spacing w:after="40"/>
            </w:pPr>
            <w:r>
              <w:t>25 Aug 1989 p. 2835</w:t>
            </w:r>
          </w:p>
        </w:tc>
        <w:tc>
          <w:tcPr>
            <w:tcW w:w="2694" w:type="dxa"/>
          </w:tcPr>
          <w:p>
            <w:pPr>
              <w:pStyle w:val="nTable"/>
              <w:spacing w:after="40"/>
            </w:pPr>
            <w:r>
              <w:t>25 Aug 1989</w:t>
            </w:r>
          </w:p>
        </w:tc>
      </w:tr>
      <w:tr>
        <w:trPr>
          <w:gridBefore w:val="1"/>
          <w:wBefore w:w="20" w:type="dxa"/>
          <w:cantSplit/>
        </w:trPr>
        <w:tc>
          <w:tcPr>
            <w:tcW w:w="3118" w:type="dxa"/>
            <w:gridSpan w:val="2"/>
          </w:tcPr>
          <w:p>
            <w:pPr>
              <w:pStyle w:val="nTable"/>
              <w:spacing w:after="40"/>
              <w:ind w:right="113"/>
            </w:pPr>
            <w:r>
              <w:rPr>
                <w:i/>
              </w:rPr>
              <w:t>Gaming Commission Amendment Regulations (No. 4) 1989</w:t>
            </w:r>
          </w:p>
        </w:tc>
        <w:tc>
          <w:tcPr>
            <w:tcW w:w="1276" w:type="dxa"/>
            <w:gridSpan w:val="2"/>
          </w:tcPr>
          <w:p>
            <w:pPr>
              <w:pStyle w:val="nTable"/>
              <w:spacing w:after="40"/>
            </w:pPr>
            <w:r>
              <w:t>6 Apr 1990 p. 1768</w:t>
            </w:r>
            <w:r>
              <w:noBreakHyphen/>
              <w:t>9</w:t>
            </w:r>
          </w:p>
        </w:tc>
        <w:tc>
          <w:tcPr>
            <w:tcW w:w="2694" w:type="dxa"/>
          </w:tcPr>
          <w:p>
            <w:pPr>
              <w:pStyle w:val="nTable"/>
              <w:spacing w:after="40"/>
            </w:pPr>
            <w:r>
              <w:t>6 Apr 1990</w:t>
            </w:r>
          </w:p>
        </w:tc>
      </w:tr>
      <w:tr>
        <w:trPr>
          <w:gridBefore w:val="1"/>
          <w:wBefore w:w="20" w:type="dxa"/>
          <w:cantSplit/>
        </w:trPr>
        <w:tc>
          <w:tcPr>
            <w:tcW w:w="3118" w:type="dxa"/>
            <w:gridSpan w:val="2"/>
          </w:tcPr>
          <w:p>
            <w:pPr>
              <w:pStyle w:val="nTable"/>
              <w:spacing w:after="40"/>
              <w:ind w:right="113"/>
            </w:pPr>
            <w:r>
              <w:rPr>
                <w:i/>
              </w:rPr>
              <w:t>Gaming Commission Amendment Regulations 1990</w:t>
            </w:r>
          </w:p>
        </w:tc>
        <w:tc>
          <w:tcPr>
            <w:tcW w:w="1276" w:type="dxa"/>
            <w:gridSpan w:val="2"/>
          </w:tcPr>
          <w:p>
            <w:pPr>
              <w:pStyle w:val="nTable"/>
              <w:spacing w:after="40"/>
            </w:pPr>
            <w:r>
              <w:t>6 Apr 1990 p. 1770</w:t>
            </w:r>
          </w:p>
        </w:tc>
        <w:tc>
          <w:tcPr>
            <w:tcW w:w="2694" w:type="dxa"/>
          </w:tcPr>
          <w:p>
            <w:pPr>
              <w:pStyle w:val="nTable"/>
              <w:spacing w:after="40"/>
            </w:pPr>
            <w:r>
              <w:t>6 Apr 1990</w:t>
            </w:r>
          </w:p>
        </w:tc>
      </w:tr>
      <w:tr>
        <w:trPr>
          <w:gridBefore w:val="1"/>
          <w:wBefore w:w="20" w:type="dxa"/>
          <w:cantSplit/>
        </w:trPr>
        <w:tc>
          <w:tcPr>
            <w:tcW w:w="3118" w:type="dxa"/>
            <w:gridSpan w:val="2"/>
          </w:tcPr>
          <w:p>
            <w:pPr>
              <w:pStyle w:val="nTable"/>
              <w:spacing w:after="40"/>
              <w:ind w:right="113"/>
            </w:pPr>
            <w:r>
              <w:rPr>
                <w:i/>
              </w:rPr>
              <w:t>Gaming Commission Amendment Regulations (No. 2) 1990</w:t>
            </w:r>
          </w:p>
        </w:tc>
        <w:tc>
          <w:tcPr>
            <w:tcW w:w="1276" w:type="dxa"/>
            <w:gridSpan w:val="2"/>
          </w:tcPr>
          <w:p>
            <w:pPr>
              <w:pStyle w:val="nTable"/>
              <w:spacing w:after="40"/>
            </w:pPr>
            <w:r>
              <w:t>4 May 1990 p. 2243</w:t>
            </w:r>
          </w:p>
        </w:tc>
        <w:tc>
          <w:tcPr>
            <w:tcW w:w="2694" w:type="dxa"/>
          </w:tcPr>
          <w:p>
            <w:pPr>
              <w:pStyle w:val="nTable"/>
              <w:spacing w:after="40"/>
            </w:pPr>
            <w:r>
              <w:t>4 May 1990</w:t>
            </w:r>
          </w:p>
        </w:tc>
      </w:tr>
      <w:tr>
        <w:trPr>
          <w:gridBefore w:val="1"/>
          <w:wBefore w:w="20" w:type="dxa"/>
          <w:cantSplit/>
        </w:trPr>
        <w:tc>
          <w:tcPr>
            <w:tcW w:w="3118" w:type="dxa"/>
            <w:gridSpan w:val="2"/>
          </w:tcPr>
          <w:p>
            <w:pPr>
              <w:pStyle w:val="nTable"/>
              <w:spacing w:after="40"/>
              <w:ind w:right="113"/>
            </w:pPr>
            <w:r>
              <w:rPr>
                <w:i/>
              </w:rPr>
              <w:t>Gaming Commission Amendment Regulations (No. 4) 1990</w:t>
            </w:r>
          </w:p>
        </w:tc>
        <w:tc>
          <w:tcPr>
            <w:tcW w:w="1276" w:type="dxa"/>
            <w:gridSpan w:val="2"/>
          </w:tcPr>
          <w:p>
            <w:pPr>
              <w:pStyle w:val="nTable"/>
              <w:spacing w:after="40"/>
            </w:pPr>
            <w:r>
              <w:t>8 Feb 1991 p. 651</w:t>
            </w:r>
          </w:p>
        </w:tc>
        <w:tc>
          <w:tcPr>
            <w:tcW w:w="2694" w:type="dxa"/>
          </w:tcPr>
          <w:p>
            <w:pPr>
              <w:pStyle w:val="nTable"/>
              <w:spacing w:after="40"/>
            </w:pPr>
            <w:r>
              <w:t>8 Feb 1991</w:t>
            </w:r>
          </w:p>
        </w:tc>
      </w:tr>
      <w:tr>
        <w:trPr>
          <w:gridBefore w:val="1"/>
          <w:wBefore w:w="20" w:type="dxa"/>
          <w:cantSplit/>
        </w:trPr>
        <w:tc>
          <w:tcPr>
            <w:tcW w:w="3118" w:type="dxa"/>
            <w:gridSpan w:val="2"/>
          </w:tcPr>
          <w:p>
            <w:pPr>
              <w:pStyle w:val="nTable"/>
              <w:spacing w:after="40"/>
              <w:ind w:right="113"/>
            </w:pPr>
            <w:r>
              <w:rPr>
                <w:i/>
              </w:rPr>
              <w:t>Gaming Commission Amendment Regulations 1991</w:t>
            </w:r>
          </w:p>
        </w:tc>
        <w:tc>
          <w:tcPr>
            <w:tcW w:w="1276" w:type="dxa"/>
            <w:gridSpan w:val="2"/>
          </w:tcPr>
          <w:p>
            <w:pPr>
              <w:pStyle w:val="nTable"/>
              <w:spacing w:after="40"/>
            </w:pPr>
            <w:r>
              <w:t>27 Sep 1991 p. 5068</w:t>
            </w:r>
            <w:r>
              <w:noBreakHyphen/>
              <w:t>9</w:t>
            </w:r>
          </w:p>
        </w:tc>
        <w:tc>
          <w:tcPr>
            <w:tcW w:w="2694" w:type="dxa"/>
          </w:tcPr>
          <w:p>
            <w:pPr>
              <w:pStyle w:val="nTable"/>
              <w:spacing w:after="40"/>
            </w:pPr>
            <w:r>
              <w:t>27 Sep 1991</w:t>
            </w:r>
          </w:p>
        </w:tc>
      </w:tr>
      <w:tr>
        <w:trPr>
          <w:gridBefore w:val="1"/>
          <w:wBefore w:w="20" w:type="dxa"/>
          <w:cantSplit/>
        </w:trPr>
        <w:tc>
          <w:tcPr>
            <w:tcW w:w="3118" w:type="dxa"/>
            <w:gridSpan w:val="2"/>
          </w:tcPr>
          <w:p>
            <w:pPr>
              <w:pStyle w:val="nTable"/>
              <w:spacing w:after="40"/>
              <w:ind w:right="113"/>
            </w:pPr>
            <w:r>
              <w:rPr>
                <w:i/>
              </w:rPr>
              <w:t>Gaming Commission Amendment Regulations 1992</w:t>
            </w:r>
          </w:p>
        </w:tc>
        <w:tc>
          <w:tcPr>
            <w:tcW w:w="1276" w:type="dxa"/>
            <w:gridSpan w:val="2"/>
          </w:tcPr>
          <w:p>
            <w:pPr>
              <w:pStyle w:val="nTable"/>
              <w:spacing w:after="40"/>
            </w:pPr>
            <w:r>
              <w:t>27 Mar 1992 p. 1370</w:t>
            </w:r>
          </w:p>
        </w:tc>
        <w:tc>
          <w:tcPr>
            <w:tcW w:w="2694" w:type="dxa"/>
          </w:tcPr>
          <w:p>
            <w:pPr>
              <w:pStyle w:val="nTable"/>
              <w:spacing w:after="40"/>
            </w:pPr>
            <w:r>
              <w:t>27 Mar 1992</w:t>
            </w:r>
          </w:p>
        </w:tc>
      </w:tr>
      <w:tr>
        <w:trPr>
          <w:gridBefore w:val="1"/>
          <w:wBefore w:w="20" w:type="dxa"/>
          <w:cantSplit/>
        </w:trPr>
        <w:tc>
          <w:tcPr>
            <w:tcW w:w="3118" w:type="dxa"/>
            <w:gridSpan w:val="2"/>
          </w:tcPr>
          <w:p>
            <w:pPr>
              <w:pStyle w:val="nTable"/>
              <w:spacing w:after="40"/>
              <w:ind w:right="113"/>
            </w:pPr>
            <w:r>
              <w:rPr>
                <w:i/>
              </w:rPr>
              <w:t>Gaming Commission Amendment Regulations (No. 2) 1992</w:t>
            </w:r>
          </w:p>
        </w:tc>
        <w:tc>
          <w:tcPr>
            <w:tcW w:w="1276" w:type="dxa"/>
            <w:gridSpan w:val="2"/>
          </w:tcPr>
          <w:p>
            <w:pPr>
              <w:pStyle w:val="nTable"/>
              <w:spacing w:after="40"/>
            </w:pPr>
            <w:r>
              <w:t>4 Aug 1992 p. 3831</w:t>
            </w:r>
          </w:p>
        </w:tc>
        <w:tc>
          <w:tcPr>
            <w:tcW w:w="2694" w:type="dxa"/>
          </w:tcPr>
          <w:p>
            <w:pPr>
              <w:pStyle w:val="nTable"/>
              <w:spacing w:after="40"/>
            </w:pPr>
            <w:r>
              <w:t>4 Aug 1992</w:t>
            </w:r>
          </w:p>
        </w:tc>
      </w:tr>
      <w:tr>
        <w:trPr>
          <w:gridBefore w:val="1"/>
          <w:wBefore w:w="20" w:type="dxa"/>
          <w:cantSplit/>
        </w:trPr>
        <w:tc>
          <w:tcPr>
            <w:tcW w:w="3118" w:type="dxa"/>
            <w:gridSpan w:val="2"/>
          </w:tcPr>
          <w:p>
            <w:pPr>
              <w:pStyle w:val="nTable"/>
              <w:spacing w:after="40"/>
              <w:ind w:right="113"/>
            </w:pPr>
            <w:r>
              <w:rPr>
                <w:i/>
              </w:rPr>
              <w:t>Gaming Commission Amendment Regulations (No. 2) 1993</w:t>
            </w:r>
          </w:p>
        </w:tc>
        <w:tc>
          <w:tcPr>
            <w:tcW w:w="1276" w:type="dxa"/>
            <w:gridSpan w:val="2"/>
          </w:tcPr>
          <w:p>
            <w:pPr>
              <w:pStyle w:val="nTable"/>
              <w:spacing w:after="40"/>
            </w:pPr>
            <w:r>
              <w:t>30 Apr 1993 p. 2282</w:t>
            </w:r>
            <w:r>
              <w:noBreakHyphen/>
              <w:t>3</w:t>
            </w:r>
          </w:p>
        </w:tc>
        <w:tc>
          <w:tcPr>
            <w:tcW w:w="2694" w:type="dxa"/>
          </w:tcPr>
          <w:p>
            <w:pPr>
              <w:pStyle w:val="nTable"/>
              <w:spacing w:after="40"/>
            </w:pPr>
            <w:r>
              <w:t>30 Apr 1993</w:t>
            </w:r>
          </w:p>
        </w:tc>
      </w:tr>
      <w:tr>
        <w:trPr>
          <w:gridBefore w:val="1"/>
          <w:wBefore w:w="20" w:type="dxa"/>
          <w:cantSplit/>
        </w:trPr>
        <w:tc>
          <w:tcPr>
            <w:tcW w:w="3118" w:type="dxa"/>
            <w:gridSpan w:val="2"/>
          </w:tcPr>
          <w:p>
            <w:pPr>
              <w:pStyle w:val="nTable"/>
              <w:spacing w:after="40"/>
              <w:ind w:right="113"/>
            </w:pPr>
            <w:r>
              <w:rPr>
                <w:i/>
              </w:rPr>
              <w:t>Gaming Commission Amendment Regulations 1993</w:t>
            </w:r>
          </w:p>
        </w:tc>
        <w:tc>
          <w:tcPr>
            <w:tcW w:w="1276" w:type="dxa"/>
            <w:gridSpan w:val="2"/>
          </w:tcPr>
          <w:p>
            <w:pPr>
              <w:pStyle w:val="nTable"/>
              <w:spacing w:after="40"/>
            </w:pPr>
            <w:r>
              <w:t>11 May 1993 p. 2397</w:t>
            </w:r>
            <w:r>
              <w:noBreakHyphen/>
              <w:t>9</w:t>
            </w:r>
          </w:p>
        </w:tc>
        <w:tc>
          <w:tcPr>
            <w:tcW w:w="2694" w:type="dxa"/>
          </w:tcPr>
          <w:p>
            <w:pPr>
              <w:pStyle w:val="nTable"/>
              <w:spacing w:after="40"/>
            </w:pPr>
            <w:r>
              <w:t>11 May 1993</w:t>
            </w:r>
          </w:p>
        </w:tc>
      </w:tr>
      <w:tr>
        <w:trPr>
          <w:gridBefore w:val="1"/>
          <w:wBefore w:w="20" w:type="dxa"/>
          <w:cantSplit/>
        </w:trPr>
        <w:tc>
          <w:tcPr>
            <w:tcW w:w="3118" w:type="dxa"/>
            <w:gridSpan w:val="2"/>
          </w:tcPr>
          <w:p>
            <w:pPr>
              <w:pStyle w:val="nTable"/>
              <w:spacing w:after="40"/>
              <w:ind w:right="113"/>
            </w:pPr>
            <w:r>
              <w:rPr>
                <w:i/>
              </w:rPr>
              <w:t>Gaming Commission Amendment Regulations (No. 3) 1993</w:t>
            </w:r>
          </w:p>
        </w:tc>
        <w:tc>
          <w:tcPr>
            <w:tcW w:w="1276" w:type="dxa"/>
            <w:gridSpan w:val="2"/>
          </w:tcPr>
          <w:p>
            <w:pPr>
              <w:pStyle w:val="nTable"/>
              <w:spacing w:after="40"/>
            </w:pPr>
            <w:r>
              <w:t>21 May 1993 p. 2519</w:t>
            </w:r>
            <w:r>
              <w:noBreakHyphen/>
              <w:t>20</w:t>
            </w:r>
          </w:p>
        </w:tc>
        <w:tc>
          <w:tcPr>
            <w:tcW w:w="2694" w:type="dxa"/>
          </w:tcPr>
          <w:p>
            <w:pPr>
              <w:pStyle w:val="nTable"/>
              <w:spacing w:after="40"/>
            </w:pPr>
            <w:r>
              <w:t>21 May 1993</w:t>
            </w:r>
          </w:p>
        </w:tc>
      </w:tr>
      <w:tr>
        <w:trPr>
          <w:gridBefore w:val="1"/>
          <w:wBefore w:w="20" w:type="dxa"/>
          <w:cantSplit/>
        </w:trPr>
        <w:tc>
          <w:tcPr>
            <w:tcW w:w="3118" w:type="dxa"/>
            <w:gridSpan w:val="2"/>
          </w:tcPr>
          <w:p>
            <w:pPr>
              <w:pStyle w:val="nTable"/>
              <w:spacing w:after="40"/>
              <w:ind w:right="113"/>
            </w:pPr>
            <w:r>
              <w:rPr>
                <w:i/>
              </w:rPr>
              <w:t>Gaming Commission Amendment Regulations (No. 4) 1993</w:t>
            </w:r>
          </w:p>
        </w:tc>
        <w:tc>
          <w:tcPr>
            <w:tcW w:w="1276" w:type="dxa"/>
            <w:gridSpan w:val="2"/>
          </w:tcPr>
          <w:p>
            <w:pPr>
              <w:pStyle w:val="nTable"/>
              <w:spacing w:after="40"/>
            </w:pPr>
            <w:r>
              <w:t>6 Jul 1993 p. 3312</w:t>
            </w:r>
          </w:p>
        </w:tc>
        <w:tc>
          <w:tcPr>
            <w:tcW w:w="2694" w:type="dxa"/>
          </w:tcPr>
          <w:p>
            <w:pPr>
              <w:pStyle w:val="nTable"/>
              <w:spacing w:after="40"/>
            </w:pPr>
            <w:r>
              <w:t>6 Jul 1993</w:t>
            </w:r>
          </w:p>
        </w:tc>
      </w:tr>
      <w:tr>
        <w:trPr>
          <w:gridBefore w:val="1"/>
          <w:wBefore w:w="20" w:type="dxa"/>
          <w:cantSplit/>
        </w:trPr>
        <w:tc>
          <w:tcPr>
            <w:tcW w:w="3118" w:type="dxa"/>
            <w:gridSpan w:val="2"/>
          </w:tcPr>
          <w:p>
            <w:pPr>
              <w:pStyle w:val="nTable"/>
              <w:spacing w:after="40"/>
              <w:ind w:right="113"/>
            </w:pPr>
            <w:r>
              <w:rPr>
                <w:i/>
              </w:rPr>
              <w:t>Gaming Commission Amendment Regulations (No. 5) 1993</w:t>
            </w:r>
          </w:p>
        </w:tc>
        <w:tc>
          <w:tcPr>
            <w:tcW w:w="1276" w:type="dxa"/>
            <w:gridSpan w:val="2"/>
          </w:tcPr>
          <w:p>
            <w:pPr>
              <w:pStyle w:val="nTable"/>
              <w:spacing w:after="40"/>
            </w:pPr>
            <w:r>
              <w:t>22 Oct 1993 p. 5805</w:t>
            </w:r>
            <w:r>
              <w:noBreakHyphen/>
              <w:t>6</w:t>
            </w:r>
          </w:p>
        </w:tc>
        <w:tc>
          <w:tcPr>
            <w:tcW w:w="2694" w:type="dxa"/>
          </w:tcPr>
          <w:p>
            <w:pPr>
              <w:pStyle w:val="nTable"/>
              <w:spacing w:after="40"/>
            </w:pPr>
            <w:r>
              <w:t>22 Oct 1993</w:t>
            </w:r>
          </w:p>
        </w:tc>
      </w:tr>
      <w:tr>
        <w:trPr>
          <w:gridBefore w:val="1"/>
          <w:wBefore w:w="20" w:type="dxa"/>
          <w:cantSplit/>
        </w:trPr>
        <w:tc>
          <w:tcPr>
            <w:tcW w:w="3118" w:type="dxa"/>
            <w:gridSpan w:val="2"/>
          </w:tcPr>
          <w:p>
            <w:pPr>
              <w:pStyle w:val="nTable"/>
              <w:spacing w:after="40"/>
              <w:ind w:right="113"/>
            </w:pPr>
            <w:r>
              <w:rPr>
                <w:i/>
              </w:rPr>
              <w:t>Gaming Commission Amendment Regulations 1994</w:t>
            </w:r>
          </w:p>
        </w:tc>
        <w:tc>
          <w:tcPr>
            <w:tcW w:w="1276" w:type="dxa"/>
            <w:gridSpan w:val="2"/>
          </w:tcPr>
          <w:p>
            <w:pPr>
              <w:pStyle w:val="nTable"/>
              <w:spacing w:after="40"/>
            </w:pPr>
            <w:r>
              <w:t>15 Feb 1994 p. 552</w:t>
            </w:r>
            <w:r>
              <w:noBreakHyphen/>
              <w:t>4</w:t>
            </w:r>
          </w:p>
        </w:tc>
        <w:tc>
          <w:tcPr>
            <w:tcW w:w="2694" w:type="dxa"/>
          </w:tcPr>
          <w:p>
            <w:pPr>
              <w:pStyle w:val="nTable"/>
              <w:spacing w:after="40"/>
            </w:pPr>
            <w:r>
              <w:t>15 Feb 1994</w:t>
            </w:r>
          </w:p>
        </w:tc>
      </w:tr>
      <w:tr>
        <w:trPr>
          <w:gridBefore w:val="1"/>
          <w:wBefore w:w="20" w:type="dxa"/>
          <w:cantSplit/>
        </w:trPr>
        <w:tc>
          <w:tcPr>
            <w:tcW w:w="3118" w:type="dxa"/>
            <w:gridSpan w:val="2"/>
          </w:tcPr>
          <w:p>
            <w:pPr>
              <w:pStyle w:val="nTable"/>
              <w:spacing w:after="40"/>
              <w:ind w:right="113"/>
            </w:pPr>
            <w:r>
              <w:rPr>
                <w:i/>
              </w:rPr>
              <w:t>Gaming Commission Amendment Regulations (No. 2) 1994</w:t>
            </w:r>
          </w:p>
        </w:tc>
        <w:tc>
          <w:tcPr>
            <w:tcW w:w="1276" w:type="dxa"/>
            <w:gridSpan w:val="2"/>
          </w:tcPr>
          <w:p>
            <w:pPr>
              <w:pStyle w:val="nTable"/>
              <w:spacing w:after="40"/>
            </w:pPr>
            <w:r>
              <w:t>22 Apr 1994 p. 1710</w:t>
            </w:r>
          </w:p>
        </w:tc>
        <w:tc>
          <w:tcPr>
            <w:tcW w:w="2694" w:type="dxa"/>
          </w:tcPr>
          <w:p>
            <w:pPr>
              <w:pStyle w:val="nTable"/>
              <w:spacing w:after="40"/>
            </w:pPr>
            <w:r>
              <w:t>22 Apr 1994</w:t>
            </w:r>
          </w:p>
        </w:tc>
      </w:tr>
      <w:tr>
        <w:trPr>
          <w:gridBefore w:val="1"/>
          <w:wBefore w:w="20" w:type="dxa"/>
          <w:cantSplit/>
        </w:trPr>
        <w:tc>
          <w:tcPr>
            <w:tcW w:w="3118" w:type="dxa"/>
            <w:gridSpan w:val="2"/>
          </w:tcPr>
          <w:p>
            <w:pPr>
              <w:pStyle w:val="nTable"/>
              <w:spacing w:after="40"/>
              <w:ind w:right="113"/>
            </w:pPr>
            <w:r>
              <w:rPr>
                <w:i/>
              </w:rPr>
              <w:t>Gaming Commission Amendment Regulations (No. 3) 1994</w:t>
            </w:r>
          </w:p>
        </w:tc>
        <w:tc>
          <w:tcPr>
            <w:tcW w:w="1276" w:type="dxa"/>
            <w:gridSpan w:val="2"/>
          </w:tcPr>
          <w:p>
            <w:pPr>
              <w:pStyle w:val="nTable"/>
              <w:spacing w:after="40"/>
            </w:pPr>
            <w:r>
              <w:t>6 Jan 1995 p. 27</w:t>
            </w:r>
            <w:r>
              <w:noBreakHyphen/>
              <w:t>8</w:t>
            </w:r>
          </w:p>
        </w:tc>
        <w:tc>
          <w:tcPr>
            <w:tcW w:w="2694" w:type="dxa"/>
          </w:tcPr>
          <w:p>
            <w:pPr>
              <w:pStyle w:val="nTable"/>
              <w:spacing w:after="40"/>
            </w:pPr>
            <w:r>
              <w:t>6 Jan 1995</w:t>
            </w:r>
          </w:p>
        </w:tc>
      </w:tr>
      <w:tr>
        <w:trPr>
          <w:gridBefore w:val="1"/>
          <w:wBefore w:w="20" w:type="dxa"/>
          <w:cantSplit/>
        </w:trPr>
        <w:tc>
          <w:tcPr>
            <w:tcW w:w="3118" w:type="dxa"/>
            <w:gridSpan w:val="2"/>
          </w:tcPr>
          <w:p>
            <w:pPr>
              <w:pStyle w:val="nTable"/>
              <w:spacing w:after="40"/>
              <w:ind w:right="113"/>
            </w:pPr>
            <w:r>
              <w:rPr>
                <w:i/>
              </w:rPr>
              <w:t>Gaming Commission Amendment Regulations 1995</w:t>
            </w:r>
          </w:p>
        </w:tc>
        <w:tc>
          <w:tcPr>
            <w:tcW w:w="1276" w:type="dxa"/>
            <w:gridSpan w:val="2"/>
          </w:tcPr>
          <w:p>
            <w:pPr>
              <w:pStyle w:val="nTable"/>
              <w:spacing w:after="40"/>
            </w:pPr>
            <w:r>
              <w:t>15 Dec 1995 p. 6124</w:t>
            </w:r>
            <w:r>
              <w:noBreakHyphen/>
              <w:t>5</w:t>
            </w:r>
          </w:p>
        </w:tc>
        <w:tc>
          <w:tcPr>
            <w:tcW w:w="2694" w:type="dxa"/>
          </w:tcPr>
          <w:p>
            <w:pPr>
              <w:pStyle w:val="nTable"/>
              <w:spacing w:after="40"/>
            </w:pPr>
            <w:r>
              <w:t>15 Dec 1995</w:t>
            </w:r>
          </w:p>
        </w:tc>
      </w:tr>
      <w:tr>
        <w:trPr>
          <w:gridBefore w:val="1"/>
          <w:wBefore w:w="20" w:type="dxa"/>
          <w:cantSplit/>
        </w:trPr>
        <w:tc>
          <w:tcPr>
            <w:tcW w:w="3118" w:type="dxa"/>
            <w:gridSpan w:val="2"/>
          </w:tcPr>
          <w:p>
            <w:pPr>
              <w:pStyle w:val="nTable"/>
              <w:spacing w:after="40"/>
              <w:ind w:right="113"/>
            </w:pPr>
            <w:r>
              <w:rPr>
                <w:i/>
              </w:rPr>
              <w:t>Gaming Commission Amendment Regulations 1996</w:t>
            </w:r>
          </w:p>
        </w:tc>
        <w:tc>
          <w:tcPr>
            <w:tcW w:w="1276" w:type="dxa"/>
            <w:gridSpan w:val="2"/>
          </w:tcPr>
          <w:p>
            <w:pPr>
              <w:pStyle w:val="nTable"/>
              <w:spacing w:after="40"/>
            </w:pPr>
            <w:r>
              <w:t>23 Feb 1996 p. 674</w:t>
            </w:r>
            <w:r>
              <w:noBreakHyphen/>
              <w:t>5</w:t>
            </w:r>
          </w:p>
        </w:tc>
        <w:tc>
          <w:tcPr>
            <w:tcW w:w="2694" w:type="dxa"/>
          </w:tcPr>
          <w:p>
            <w:pPr>
              <w:pStyle w:val="nTable"/>
              <w:spacing w:after="40"/>
            </w:pPr>
            <w:r>
              <w:t>23 Feb 1996</w:t>
            </w:r>
          </w:p>
        </w:tc>
      </w:tr>
      <w:tr>
        <w:trPr>
          <w:gridBefore w:val="1"/>
          <w:wBefore w:w="20" w:type="dxa"/>
          <w:cantSplit/>
        </w:trPr>
        <w:tc>
          <w:tcPr>
            <w:tcW w:w="3118" w:type="dxa"/>
            <w:gridSpan w:val="2"/>
          </w:tcPr>
          <w:p>
            <w:pPr>
              <w:pStyle w:val="nTable"/>
              <w:spacing w:after="40"/>
              <w:ind w:right="113"/>
            </w:pPr>
            <w:r>
              <w:rPr>
                <w:i/>
              </w:rPr>
              <w:t>Gaming Commission Amendment Regulations (No. 2) 1996</w:t>
            </w:r>
          </w:p>
        </w:tc>
        <w:tc>
          <w:tcPr>
            <w:tcW w:w="1276" w:type="dxa"/>
            <w:gridSpan w:val="2"/>
          </w:tcPr>
          <w:p>
            <w:pPr>
              <w:pStyle w:val="nTable"/>
              <w:spacing w:after="40"/>
            </w:pPr>
            <w:r>
              <w:t>28 Jun 1996 p. 3098</w:t>
            </w:r>
            <w:r>
              <w:noBreakHyphen/>
              <w:t>100</w:t>
            </w:r>
          </w:p>
        </w:tc>
        <w:tc>
          <w:tcPr>
            <w:tcW w:w="2694" w:type="dxa"/>
          </w:tcPr>
          <w:p>
            <w:pPr>
              <w:pStyle w:val="nTable"/>
              <w:spacing w:after="40"/>
            </w:pPr>
            <w:r>
              <w:t>1 Jul 1996 (see r. 2)</w:t>
            </w:r>
          </w:p>
        </w:tc>
      </w:tr>
      <w:tr>
        <w:trPr>
          <w:gridBefore w:val="1"/>
          <w:wBefore w:w="20" w:type="dxa"/>
          <w:cantSplit/>
        </w:trPr>
        <w:tc>
          <w:tcPr>
            <w:tcW w:w="3118" w:type="dxa"/>
            <w:gridSpan w:val="2"/>
          </w:tcPr>
          <w:p>
            <w:pPr>
              <w:pStyle w:val="nTable"/>
              <w:spacing w:after="40"/>
              <w:ind w:right="113"/>
            </w:pPr>
            <w:r>
              <w:rPr>
                <w:i/>
              </w:rPr>
              <w:t>Gaming Commission Amendment Regulations 1997</w:t>
            </w:r>
          </w:p>
        </w:tc>
        <w:tc>
          <w:tcPr>
            <w:tcW w:w="1276" w:type="dxa"/>
            <w:gridSpan w:val="2"/>
          </w:tcPr>
          <w:p>
            <w:pPr>
              <w:pStyle w:val="nTable"/>
              <w:spacing w:after="40"/>
            </w:pPr>
            <w:r>
              <w:t>16 May 1997 p. 2392</w:t>
            </w:r>
            <w:r>
              <w:noBreakHyphen/>
              <w:t>4</w:t>
            </w:r>
          </w:p>
        </w:tc>
        <w:tc>
          <w:tcPr>
            <w:tcW w:w="2694" w:type="dxa"/>
          </w:tcPr>
          <w:p>
            <w:pPr>
              <w:pStyle w:val="nTable"/>
              <w:spacing w:after="40"/>
            </w:pPr>
            <w:r>
              <w:t>16 May 1997</w:t>
            </w:r>
          </w:p>
        </w:tc>
      </w:tr>
      <w:tr>
        <w:trPr>
          <w:gridBefore w:val="1"/>
          <w:wBefore w:w="20" w:type="dxa"/>
          <w:cantSplit/>
        </w:trPr>
        <w:tc>
          <w:tcPr>
            <w:tcW w:w="7088" w:type="dxa"/>
            <w:gridSpan w:val="5"/>
          </w:tcPr>
          <w:p>
            <w:pPr>
              <w:pStyle w:val="nTable"/>
              <w:spacing w:after="40"/>
              <w:ind w:right="113"/>
            </w:pPr>
            <w:r>
              <w:rPr>
                <w:b/>
              </w:rPr>
              <w:t xml:space="preserve">Reprint of the </w:t>
            </w:r>
            <w:r>
              <w:rPr>
                <w:b/>
                <w:i/>
              </w:rPr>
              <w:t>Gaming Commission Regulations 1988</w:t>
            </w:r>
            <w:r>
              <w:rPr>
                <w:b/>
              </w:rPr>
              <w:t xml:space="preserve"> as at 6 Jun 1997</w:t>
            </w:r>
            <w:r>
              <w:t xml:space="preserve"> </w:t>
            </w:r>
            <w:r>
              <w:br/>
              <w:t xml:space="preserve">(includes amendments listed above) (correction in </w:t>
            </w:r>
            <w:r>
              <w:rPr>
                <w:i/>
              </w:rPr>
              <w:t>Gazette</w:t>
            </w:r>
            <w:r>
              <w:t xml:space="preserve"> 11 Jul 1997 p. 3623</w:t>
            </w:r>
            <w:r>
              <w:noBreakHyphen/>
              <w:t>4)</w:t>
            </w:r>
          </w:p>
        </w:tc>
      </w:tr>
      <w:tr>
        <w:trPr>
          <w:gridBefore w:val="1"/>
          <w:wBefore w:w="20" w:type="dxa"/>
          <w:cantSplit/>
        </w:trPr>
        <w:tc>
          <w:tcPr>
            <w:tcW w:w="3118" w:type="dxa"/>
            <w:gridSpan w:val="2"/>
          </w:tcPr>
          <w:p>
            <w:pPr>
              <w:pStyle w:val="nTable"/>
              <w:spacing w:after="40"/>
              <w:ind w:right="113"/>
            </w:pPr>
            <w:r>
              <w:rPr>
                <w:i/>
              </w:rPr>
              <w:t>Gaming Commission Amendment Regulations (No. 2) 1997</w:t>
            </w:r>
          </w:p>
        </w:tc>
        <w:tc>
          <w:tcPr>
            <w:tcW w:w="1276" w:type="dxa"/>
            <w:gridSpan w:val="2"/>
          </w:tcPr>
          <w:p>
            <w:pPr>
              <w:pStyle w:val="nTable"/>
              <w:spacing w:after="40"/>
            </w:pPr>
            <w:r>
              <w:t>14 Nov 1997 p. 6448</w:t>
            </w:r>
            <w:r>
              <w:noBreakHyphen/>
              <w:t>9</w:t>
            </w:r>
          </w:p>
        </w:tc>
        <w:tc>
          <w:tcPr>
            <w:tcW w:w="2694" w:type="dxa"/>
          </w:tcPr>
          <w:p>
            <w:pPr>
              <w:pStyle w:val="nTable"/>
              <w:spacing w:after="40"/>
            </w:pPr>
            <w:r>
              <w:t>1 Jan 1998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1998</w:t>
            </w:r>
          </w:p>
        </w:tc>
        <w:tc>
          <w:tcPr>
            <w:tcW w:w="1276" w:type="dxa"/>
            <w:gridSpan w:val="2"/>
          </w:tcPr>
          <w:p>
            <w:pPr>
              <w:pStyle w:val="nTable"/>
              <w:spacing w:after="40"/>
            </w:pPr>
            <w:r>
              <w:t>4 Aug 1998 p. 3988</w:t>
            </w:r>
            <w:r>
              <w:noBreakHyphen/>
              <w:t>9</w:t>
            </w:r>
          </w:p>
        </w:tc>
        <w:tc>
          <w:tcPr>
            <w:tcW w:w="2694" w:type="dxa"/>
          </w:tcPr>
          <w:p>
            <w:pPr>
              <w:pStyle w:val="nTable"/>
              <w:spacing w:after="40"/>
            </w:pPr>
            <w:r>
              <w:t xml:space="preserve">5 Aug 1998 (see r. 2 and </w:t>
            </w:r>
            <w:r>
              <w:rPr>
                <w:i/>
              </w:rPr>
              <w:t>Gazette</w:t>
            </w:r>
            <w:r>
              <w:t xml:space="preserve"> 4 Aug 1998 p. 3981)</w:t>
            </w:r>
          </w:p>
        </w:tc>
      </w:tr>
      <w:tr>
        <w:trPr>
          <w:gridBefore w:val="1"/>
          <w:wBefore w:w="20" w:type="dxa"/>
          <w:cantSplit/>
        </w:trPr>
        <w:tc>
          <w:tcPr>
            <w:tcW w:w="3118" w:type="dxa"/>
            <w:gridSpan w:val="2"/>
          </w:tcPr>
          <w:p>
            <w:pPr>
              <w:pStyle w:val="nTable"/>
              <w:spacing w:after="40"/>
              <w:ind w:right="113"/>
              <w:rPr>
                <w:i/>
              </w:rPr>
            </w:pPr>
            <w:r>
              <w:rPr>
                <w:i/>
              </w:rPr>
              <w:t>Gaming Commission Amendment Regulations (No. 2) 1998</w:t>
            </w:r>
          </w:p>
        </w:tc>
        <w:tc>
          <w:tcPr>
            <w:tcW w:w="1276" w:type="dxa"/>
            <w:gridSpan w:val="2"/>
          </w:tcPr>
          <w:p>
            <w:pPr>
              <w:pStyle w:val="nTable"/>
              <w:spacing w:after="40"/>
            </w:pPr>
            <w:r>
              <w:t>5 Feb 1999 p. 405</w:t>
            </w:r>
          </w:p>
        </w:tc>
        <w:tc>
          <w:tcPr>
            <w:tcW w:w="2694" w:type="dxa"/>
          </w:tcPr>
          <w:p>
            <w:pPr>
              <w:pStyle w:val="nTable"/>
              <w:spacing w:after="40"/>
            </w:pPr>
            <w:r>
              <w:t>5 Feb 1999</w:t>
            </w:r>
          </w:p>
        </w:tc>
      </w:tr>
      <w:tr>
        <w:trPr>
          <w:gridBefore w:val="1"/>
          <w:wBefore w:w="20" w:type="dxa"/>
          <w:cantSplit/>
        </w:trPr>
        <w:tc>
          <w:tcPr>
            <w:tcW w:w="3118" w:type="dxa"/>
            <w:gridSpan w:val="2"/>
          </w:tcPr>
          <w:p>
            <w:pPr>
              <w:pStyle w:val="nTable"/>
              <w:spacing w:after="40"/>
              <w:ind w:right="113"/>
              <w:rPr>
                <w:i/>
              </w:rPr>
            </w:pPr>
            <w:r>
              <w:rPr>
                <w:i/>
              </w:rPr>
              <w:t>Gaming Commission Amendment Regulations 1999</w:t>
            </w:r>
          </w:p>
        </w:tc>
        <w:tc>
          <w:tcPr>
            <w:tcW w:w="1276" w:type="dxa"/>
            <w:gridSpan w:val="2"/>
          </w:tcPr>
          <w:p>
            <w:pPr>
              <w:pStyle w:val="nTable"/>
              <w:spacing w:after="40"/>
            </w:pPr>
            <w:r>
              <w:t>2 Jul 1999 p. 2921</w:t>
            </w:r>
            <w:r>
              <w:noBreakHyphen/>
              <w:t>2</w:t>
            </w:r>
          </w:p>
        </w:tc>
        <w:tc>
          <w:tcPr>
            <w:tcW w:w="2694" w:type="dxa"/>
          </w:tcPr>
          <w:p>
            <w:pPr>
              <w:pStyle w:val="nTable"/>
              <w:spacing w:after="40"/>
            </w:pPr>
            <w:r>
              <w:t>2 Jul 1999</w:t>
            </w:r>
          </w:p>
        </w:tc>
      </w:tr>
      <w:tr>
        <w:trPr>
          <w:gridBefore w:val="1"/>
          <w:wBefore w:w="20" w:type="dxa"/>
          <w:cantSplit/>
        </w:trPr>
        <w:tc>
          <w:tcPr>
            <w:tcW w:w="3118" w:type="dxa"/>
            <w:gridSpan w:val="2"/>
          </w:tcPr>
          <w:p>
            <w:pPr>
              <w:pStyle w:val="nTable"/>
              <w:spacing w:after="40"/>
              <w:ind w:right="113"/>
              <w:rPr>
                <w:i/>
              </w:rPr>
            </w:pPr>
            <w:r>
              <w:rPr>
                <w:i/>
              </w:rPr>
              <w:t>Gaming Commission Amendment Regulations 2000</w:t>
            </w:r>
          </w:p>
        </w:tc>
        <w:tc>
          <w:tcPr>
            <w:tcW w:w="1276" w:type="dxa"/>
            <w:gridSpan w:val="2"/>
          </w:tcPr>
          <w:p>
            <w:pPr>
              <w:pStyle w:val="nTable"/>
              <w:spacing w:after="40"/>
            </w:pPr>
            <w:r>
              <w:t>12 May 2000 p. 2285</w:t>
            </w:r>
          </w:p>
        </w:tc>
        <w:tc>
          <w:tcPr>
            <w:tcW w:w="2694" w:type="dxa"/>
          </w:tcPr>
          <w:p>
            <w:pPr>
              <w:pStyle w:val="nTable"/>
              <w:spacing w:after="40"/>
            </w:pPr>
            <w:r>
              <w:t>1 Jul 2000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2000</w:t>
            </w:r>
          </w:p>
        </w:tc>
        <w:tc>
          <w:tcPr>
            <w:tcW w:w="1276" w:type="dxa"/>
            <w:gridSpan w:val="2"/>
          </w:tcPr>
          <w:p>
            <w:pPr>
              <w:pStyle w:val="nTable"/>
              <w:spacing w:after="40"/>
            </w:pPr>
            <w:r>
              <w:t>23 Jun 2000 p. 3206</w:t>
            </w:r>
            <w:r>
              <w:noBreakHyphen/>
              <w:t>9</w:t>
            </w:r>
          </w:p>
        </w:tc>
        <w:tc>
          <w:tcPr>
            <w:tcW w:w="2694" w:type="dxa"/>
          </w:tcPr>
          <w:p>
            <w:pPr>
              <w:pStyle w:val="nTable"/>
              <w:spacing w:after="40"/>
            </w:pPr>
            <w:r>
              <w:t>1 Jul 2000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3) 2000</w:t>
            </w:r>
          </w:p>
        </w:tc>
        <w:tc>
          <w:tcPr>
            <w:tcW w:w="1276" w:type="dxa"/>
            <w:gridSpan w:val="2"/>
          </w:tcPr>
          <w:p>
            <w:pPr>
              <w:pStyle w:val="nTable"/>
              <w:spacing w:after="40"/>
            </w:pPr>
            <w:r>
              <w:t>27 Oct 2000 p. 6030</w:t>
            </w:r>
          </w:p>
        </w:tc>
        <w:tc>
          <w:tcPr>
            <w:tcW w:w="2694" w:type="dxa"/>
          </w:tcPr>
          <w:p>
            <w:pPr>
              <w:pStyle w:val="nTable"/>
              <w:spacing w:after="40"/>
            </w:pPr>
            <w:r>
              <w:t>27 Oct 2000</w:t>
            </w:r>
          </w:p>
        </w:tc>
      </w:tr>
      <w:tr>
        <w:trPr>
          <w:gridBefore w:val="1"/>
          <w:wBefore w:w="20" w:type="dxa"/>
          <w:cantSplit/>
        </w:trPr>
        <w:tc>
          <w:tcPr>
            <w:tcW w:w="7088" w:type="dxa"/>
            <w:gridSpan w:val="5"/>
          </w:tcPr>
          <w:p>
            <w:pPr>
              <w:pStyle w:val="nTable"/>
              <w:spacing w:after="40"/>
              <w:ind w:right="113"/>
            </w:pPr>
            <w:r>
              <w:rPr>
                <w:b/>
              </w:rPr>
              <w:t xml:space="preserve">Reprint of the </w:t>
            </w:r>
            <w:r>
              <w:rPr>
                <w:b/>
                <w:i/>
              </w:rPr>
              <w:t>Gaming Commission Regulations 1988</w:t>
            </w:r>
            <w:r>
              <w:rPr>
                <w:b/>
              </w:rPr>
              <w:t xml:space="preserve"> as at 4 May 2001</w:t>
            </w:r>
            <w:r>
              <w:br/>
              <w:t>(includes amendments listed above)</w:t>
            </w:r>
          </w:p>
        </w:tc>
      </w:tr>
      <w:tr>
        <w:trPr>
          <w:gridBefore w:val="1"/>
          <w:wBefore w:w="20" w:type="dxa"/>
          <w:cantSplit/>
        </w:trPr>
        <w:tc>
          <w:tcPr>
            <w:tcW w:w="3118" w:type="dxa"/>
            <w:gridSpan w:val="2"/>
          </w:tcPr>
          <w:p>
            <w:pPr>
              <w:pStyle w:val="nTable"/>
              <w:spacing w:after="40"/>
              <w:ind w:right="113"/>
              <w:rPr>
                <w:i/>
              </w:rPr>
            </w:pPr>
            <w:r>
              <w:rPr>
                <w:i/>
              </w:rPr>
              <w:t>Gaming Commission Amendment Regulations 2001</w:t>
            </w:r>
          </w:p>
        </w:tc>
        <w:tc>
          <w:tcPr>
            <w:tcW w:w="1276" w:type="dxa"/>
            <w:gridSpan w:val="2"/>
          </w:tcPr>
          <w:p>
            <w:pPr>
              <w:pStyle w:val="nTable"/>
              <w:spacing w:after="40"/>
            </w:pPr>
            <w:r>
              <w:t>2 Oct 2001 p. 5458</w:t>
            </w:r>
            <w:r>
              <w:noBreakHyphen/>
              <w:t>60</w:t>
            </w:r>
          </w:p>
        </w:tc>
        <w:tc>
          <w:tcPr>
            <w:tcW w:w="2694" w:type="dxa"/>
          </w:tcPr>
          <w:p>
            <w:pPr>
              <w:pStyle w:val="nTable"/>
              <w:spacing w:after="40"/>
            </w:pPr>
            <w:r>
              <w:t xml:space="preserve">2 Oct 2001 </w:t>
            </w:r>
            <w:r>
              <w:rPr>
                <w:vertAlign w:val="superscript"/>
              </w:rPr>
              <w:t>7</w:t>
            </w:r>
            <w:r>
              <w:t xml:space="preserve">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2001</w:t>
            </w:r>
          </w:p>
        </w:tc>
        <w:tc>
          <w:tcPr>
            <w:tcW w:w="1276" w:type="dxa"/>
            <w:gridSpan w:val="2"/>
          </w:tcPr>
          <w:p>
            <w:pPr>
              <w:pStyle w:val="nTable"/>
              <w:spacing w:after="40"/>
            </w:pPr>
            <w:r>
              <w:t>21 Dec 2001 p. 6550</w:t>
            </w:r>
            <w:r>
              <w:noBreakHyphen/>
              <w:t>1</w:t>
            </w:r>
          </w:p>
        </w:tc>
        <w:tc>
          <w:tcPr>
            <w:tcW w:w="2694" w:type="dxa"/>
          </w:tcPr>
          <w:p>
            <w:pPr>
              <w:pStyle w:val="nTable"/>
              <w:spacing w:after="40"/>
            </w:pPr>
            <w:r>
              <w:t>21 Dec 2001</w:t>
            </w:r>
          </w:p>
        </w:tc>
      </w:tr>
      <w:tr>
        <w:trPr>
          <w:gridBefore w:val="1"/>
          <w:wBefore w:w="20" w:type="dxa"/>
          <w:cantSplit/>
        </w:trPr>
        <w:tc>
          <w:tcPr>
            <w:tcW w:w="3118" w:type="dxa"/>
            <w:gridSpan w:val="2"/>
          </w:tcPr>
          <w:p>
            <w:pPr>
              <w:pStyle w:val="nTable"/>
              <w:spacing w:after="40"/>
              <w:ind w:right="113"/>
              <w:rPr>
                <w:i/>
              </w:rPr>
            </w:pPr>
            <w:r>
              <w:rPr>
                <w:i/>
              </w:rPr>
              <w:t>Gaming Commission Amendment Regulations 2002</w:t>
            </w:r>
          </w:p>
        </w:tc>
        <w:tc>
          <w:tcPr>
            <w:tcW w:w="1276" w:type="dxa"/>
            <w:gridSpan w:val="2"/>
          </w:tcPr>
          <w:p>
            <w:pPr>
              <w:pStyle w:val="nTable"/>
              <w:spacing w:after="40"/>
            </w:pPr>
            <w:r>
              <w:t>15 Mar 2002 p. 1313</w:t>
            </w:r>
          </w:p>
        </w:tc>
        <w:tc>
          <w:tcPr>
            <w:tcW w:w="2694" w:type="dxa"/>
          </w:tcPr>
          <w:p>
            <w:pPr>
              <w:pStyle w:val="nTable"/>
              <w:spacing w:after="40"/>
            </w:pPr>
            <w:r>
              <w:t>15 Mar 2002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2002</w:t>
            </w:r>
          </w:p>
        </w:tc>
        <w:tc>
          <w:tcPr>
            <w:tcW w:w="1276" w:type="dxa"/>
            <w:gridSpan w:val="2"/>
          </w:tcPr>
          <w:p>
            <w:pPr>
              <w:pStyle w:val="nTable"/>
              <w:spacing w:after="40"/>
            </w:pPr>
            <w:r>
              <w:t>30 Jul 2002 p. 3530</w:t>
            </w:r>
          </w:p>
        </w:tc>
        <w:tc>
          <w:tcPr>
            <w:tcW w:w="2694" w:type="dxa"/>
          </w:tcPr>
          <w:p>
            <w:pPr>
              <w:pStyle w:val="nTable"/>
              <w:spacing w:after="40"/>
            </w:pPr>
            <w:r>
              <w:t>30 Jul 2002</w:t>
            </w:r>
          </w:p>
        </w:tc>
      </w:tr>
      <w:tr>
        <w:trPr>
          <w:gridBefore w:val="1"/>
          <w:wBefore w:w="20" w:type="dxa"/>
          <w:cantSplit/>
        </w:trPr>
        <w:tc>
          <w:tcPr>
            <w:tcW w:w="3118" w:type="dxa"/>
            <w:gridSpan w:val="2"/>
          </w:tcPr>
          <w:p>
            <w:pPr>
              <w:pStyle w:val="nTable"/>
              <w:spacing w:after="40"/>
              <w:ind w:right="113"/>
              <w:rPr>
                <w:i/>
              </w:rPr>
            </w:pPr>
            <w:r>
              <w:rPr>
                <w:i/>
              </w:rPr>
              <w:t>Gaming Commission Amendment Regulations (No. 3) 2002</w:t>
            </w:r>
          </w:p>
        </w:tc>
        <w:tc>
          <w:tcPr>
            <w:tcW w:w="1276" w:type="dxa"/>
            <w:gridSpan w:val="2"/>
          </w:tcPr>
          <w:p>
            <w:pPr>
              <w:pStyle w:val="nTable"/>
              <w:spacing w:after="40"/>
            </w:pPr>
            <w:r>
              <w:t>19 Nov 2002 p. 5516</w:t>
            </w:r>
            <w:r>
              <w:noBreakHyphen/>
              <w:t>18</w:t>
            </w:r>
          </w:p>
        </w:tc>
        <w:tc>
          <w:tcPr>
            <w:tcW w:w="2694" w:type="dxa"/>
          </w:tcPr>
          <w:p>
            <w:pPr>
              <w:pStyle w:val="nTable"/>
              <w:spacing w:after="40"/>
            </w:pPr>
            <w:r>
              <w:t>1 Jan 2003 (see r. 2)</w:t>
            </w:r>
          </w:p>
        </w:tc>
      </w:tr>
      <w:tr>
        <w:trPr>
          <w:gridBefore w:val="1"/>
          <w:wBefore w:w="20" w:type="dxa"/>
          <w:cantSplit/>
        </w:trPr>
        <w:tc>
          <w:tcPr>
            <w:tcW w:w="3118" w:type="dxa"/>
            <w:gridSpan w:val="2"/>
          </w:tcPr>
          <w:p>
            <w:pPr>
              <w:pStyle w:val="nTable"/>
              <w:spacing w:after="40"/>
            </w:pPr>
            <w:r>
              <w:rPr>
                <w:i/>
              </w:rPr>
              <w:t>Gaming Commission Amendment Regulations 2003</w:t>
            </w:r>
          </w:p>
        </w:tc>
        <w:tc>
          <w:tcPr>
            <w:tcW w:w="1276" w:type="dxa"/>
            <w:gridSpan w:val="2"/>
          </w:tcPr>
          <w:p>
            <w:pPr>
              <w:pStyle w:val="nTable"/>
              <w:spacing w:after="40"/>
            </w:pPr>
            <w:r>
              <w:t>26 Sep 2003 p. 4220</w:t>
            </w:r>
            <w:r>
              <w:noBreakHyphen/>
              <w:t>1</w:t>
            </w:r>
          </w:p>
        </w:tc>
        <w:tc>
          <w:tcPr>
            <w:tcW w:w="2694" w:type="dxa"/>
          </w:tcPr>
          <w:p>
            <w:pPr>
              <w:pStyle w:val="nTable"/>
              <w:spacing w:after="40"/>
            </w:pPr>
            <w:r>
              <w:t>1 Jan 2004 (see r. 2)</w:t>
            </w:r>
          </w:p>
        </w:tc>
      </w:tr>
      <w:tr>
        <w:trPr>
          <w:gridBefore w:val="1"/>
          <w:wBefore w:w="20" w:type="dxa"/>
          <w:cantSplit/>
        </w:trPr>
        <w:tc>
          <w:tcPr>
            <w:tcW w:w="3118" w:type="dxa"/>
            <w:gridSpan w:val="2"/>
          </w:tcPr>
          <w:p>
            <w:pPr>
              <w:pStyle w:val="nTable"/>
              <w:spacing w:after="40"/>
              <w:rPr>
                <w:i/>
              </w:rPr>
            </w:pPr>
            <w:r>
              <w:rPr>
                <w:i/>
              </w:rPr>
              <w:t>Gaming Commission Amendment Regulations 2004</w:t>
            </w:r>
          </w:p>
        </w:tc>
        <w:tc>
          <w:tcPr>
            <w:tcW w:w="1276" w:type="dxa"/>
            <w:gridSpan w:val="2"/>
          </w:tcPr>
          <w:p>
            <w:pPr>
              <w:pStyle w:val="nTable"/>
              <w:spacing w:after="40"/>
            </w:pPr>
            <w:r>
              <w:t>30 Jan 2004 p. 401</w:t>
            </w:r>
            <w:r>
              <w:noBreakHyphen/>
              <w:t>2</w:t>
            </w:r>
          </w:p>
        </w:tc>
        <w:tc>
          <w:tcPr>
            <w:tcW w:w="2694" w:type="dxa"/>
          </w:tcPr>
          <w:p>
            <w:pPr>
              <w:pStyle w:val="nTable"/>
              <w:spacing w:after="40"/>
            </w:pPr>
            <w:r>
              <w:t xml:space="preserve">30 Jan 2004 </w:t>
            </w:r>
          </w:p>
        </w:tc>
      </w:tr>
      <w:tr>
        <w:trPr>
          <w:gridBefore w:val="1"/>
          <w:wBefore w:w="20" w:type="dxa"/>
          <w:cantSplit/>
        </w:trPr>
        <w:tc>
          <w:tcPr>
            <w:tcW w:w="3118" w:type="dxa"/>
            <w:gridSpan w:val="2"/>
          </w:tcPr>
          <w:p>
            <w:pPr>
              <w:pStyle w:val="nTable"/>
              <w:spacing w:after="40"/>
            </w:pPr>
            <w:r>
              <w:rPr>
                <w:i/>
              </w:rPr>
              <w:t xml:space="preserve">Racing and Gambling (Miscellaneous) Amendment Regulations 2004 </w:t>
            </w:r>
            <w:r>
              <w:t>Pt. 4</w:t>
            </w:r>
          </w:p>
        </w:tc>
        <w:tc>
          <w:tcPr>
            <w:tcW w:w="1276" w:type="dxa"/>
            <w:gridSpan w:val="2"/>
          </w:tcPr>
          <w:p>
            <w:pPr>
              <w:pStyle w:val="nTable"/>
              <w:spacing w:after="40"/>
            </w:pPr>
            <w:r>
              <w:t>30 Jan 2004 p. 413</w:t>
            </w:r>
            <w:r>
              <w:noBreakHyphen/>
              <w:t>18</w:t>
            </w:r>
          </w:p>
        </w:tc>
        <w:tc>
          <w:tcPr>
            <w:tcW w:w="2694" w:type="dxa"/>
          </w:tcPr>
          <w:p>
            <w:pPr>
              <w:pStyle w:val="nTable"/>
              <w:spacing w:after="40"/>
            </w:pPr>
            <w:r>
              <w:t>30 Jan 2004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2004</w:t>
            </w:r>
          </w:p>
        </w:tc>
        <w:tc>
          <w:tcPr>
            <w:tcW w:w="1276" w:type="dxa"/>
            <w:gridSpan w:val="2"/>
          </w:tcPr>
          <w:p>
            <w:pPr>
              <w:pStyle w:val="nTable"/>
              <w:spacing w:after="40"/>
            </w:pPr>
            <w:r>
              <w:t>18 May 2004 p. 1571</w:t>
            </w:r>
            <w:r>
              <w:noBreakHyphen/>
              <w:t>2</w:t>
            </w:r>
          </w:p>
        </w:tc>
        <w:tc>
          <w:tcPr>
            <w:tcW w:w="2694" w:type="dxa"/>
          </w:tcPr>
          <w:p>
            <w:pPr>
              <w:pStyle w:val="nTable"/>
              <w:spacing w:after="40"/>
            </w:pPr>
            <w:r>
              <w:t>18 May 2004</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2004</w:t>
            </w:r>
          </w:p>
        </w:tc>
        <w:tc>
          <w:tcPr>
            <w:tcW w:w="1276" w:type="dxa"/>
            <w:gridSpan w:val="2"/>
          </w:tcPr>
          <w:p>
            <w:pPr>
              <w:pStyle w:val="nTable"/>
              <w:spacing w:after="40"/>
            </w:pPr>
            <w:r>
              <w:t>9 Jul 2004 p. 2782</w:t>
            </w:r>
            <w:r>
              <w:noBreakHyphen/>
              <w:t>4</w:t>
            </w:r>
          </w:p>
        </w:tc>
        <w:tc>
          <w:tcPr>
            <w:tcW w:w="2694" w:type="dxa"/>
          </w:tcPr>
          <w:p>
            <w:pPr>
              <w:pStyle w:val="nTable"/>
              <w:spacing w:after="40"/>
            </w:pPr>
            <w:r>
              <w:t>1 Jan 2005 (see r. 2)</w:t>
            </w:r>
          </w:p>
        </w:tc>
      </w:tr>
      <w:tr>
        <w:trPr>
          <w:gridBefore w:val="1"/>
          <w:wBefore w:w="20" w:type="dxa"/>
          <w:cantSplit/>
        </w:trPr>
        <w:tc>
          <w:tcPr>
            <w:tcW w:w="7088" w:type="dxa"/>
            <w:gridSpan w:val="5"/>
          </w:tcPr>
          <w:p>
            <w:pPr>
              <w:pStyle w:val="nTable"/>
              <w:spacing w:after="40"/>
            </w:pPr>
            <w:r>
              <w:rPr>
                <w:b/>
              </w:rPr>
              <w:t xml:space="preserve">Reprint 3: The </w:t>
            </w:r>
            <w:r>
              <w:rPr>
                <w:b/>
                <w:i/>
              </w:rPr>
              <w:t>Gaming and Wagering Commission Regulations 1988</w:t>
            </w:r>
            <w:r>
              <w:rPr>
                <w:b/>
              </w:rPr>
              <w:t xml:space="preserve"> as at 1 Oct 2004</w:t>
            </w:r>
            <w:r>
              <w:br/>
              <w:t xml:space="preserve">(includes amendments listed above except those in </w:t>
            </w:r>
            <w:r>
              <w:rPr>
                <w:i/>
              </w:rPr>
              <w:t>Gazette</w:t>
            </w:r>
            <w:r>
              <w:t xml:space="preserve"> 9 Jul 2004)</w:t>
            </w:r>
          </w:p>
        </w:tc>
      </w:tr>
      <w:tr>
        <w:trPr>
          <w:gridBefore w:val="1"/>
          <w:wBefore w:w="20" w:type="dxa"/>
          <w:cantSplit/>
        </w:trPr>
        <w:tc>
          <w:tcPr>
            <w:tcW w:w="3118" w:type="dxa"/>
            <w:gridSpan w:val="2"/>
          </w:tcPr>
          <w:p>
            <w:pPr>
              <w:pStyle w:val="nTable"/>
              <w:spacing w:after="40"/>
              <w:rPr>
                <w:i/>
              </w:rPr>
            </w:pPr>
            <w:r>
              <w:rPr>
                <w:i/>
              </w:rPr>
              <w:t>Gaming and Wagering Commission Amendment Regulations 2005</w:t>
            </w:r>
          </w:p>
        </w:tc>
        <w:tc>
          <w:tcPr>
            <w:tcW w:w="1276" w:type="dxa"/>
            <w:gridSpan w:val="2"/>
          </w:tcPr>
          <w:p>
            <w:pPr>
              <w:pStyle w:val="nTable"/>
              <w:spacing w:after="40"/>
            </w:pPr>
            <w:r>
              <w:t>14 Oct 2005 p. 4562</w:t>
            </w:r>
            <w:r>
              <w:noBreakHyphen/>
              <w:t>4</w:t>
            </w:r>
          </w:p>
        </w:tc>
        <w:tc>
          <w:tcPr>
            <w:tcW w:w="2694" w:type="dxa"/>
          </w:tcPr>
          <w:p>
            <w:pPr>
              <w:pStyle w:val="nTable"/>
              <w:spacing w:after="40"/>
            </w:pPr>
            <w:r>
              <w:t>1 Jan 2006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2006</w:t>
            </w:r>
          </w:p>
        </w:tc>
        <w:tc>
          <w:tcPr>
            <w:tcW w:w="1276" w:type="dxa"/>
            <w:gridSpan w:val="2"/>
          </w:tcPr>
          <w:p>
            <w:pPr>
              <w:pStyle w:val="nTable"/>
              <w:spacing w:after="40"/>
            </w:pPr>
            <w:r>
              <w:t>22 Aug 2006 p. 3465</w:t>
            </w:r>
            <w:r>
              <w:noBreakHyphen/>
              <w:t>8</w:t>
            </w:r>
          </w:p>
        </w:tc>
        <w:tc>
          <w:tcPr>
            <w:tcW w:w="2694" w:type="dxa"/>
          </w:tcPr>
          <w:p>
            <w:pPr>
              <w:pStyle w:val="nTable"/>
              <w:spacing w:after="40"/>
            </w:pPr>
            <w:r>
              <w:t>22 Aug 2006</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2006</w:t>
            </w:r>
          </w:p>
        </w:tc>
        <w:tc>
          <w:tcPr>
            <w:tcW w:w="1276" w:type="dxa"/>
            <w:gridSpan w:val="2"/>
          </w:tcPr>
          <w:p>
            <w:pPr>
              <w:pStyle w:val="nTable"/>
              <w:spacing w:after="40"/>
            </w:pPr>
            <w:r>
              <w:t>14 Nov 2006 p. 4731</w:t>
            </w:r>
            <w:r>
              <w:noBreakHyphen/>
              <w:t>3</w:t>
            </w:r>
          </w:p>
        </w:tc>
        <w:tc>
          <w:tcPr>
            <w:tcW w:w="2694" w:type="dxa"/>
          </w:tcPr>
          <w:p>
            <w:pPr>
              <w:pStyle w:val="nTable"/>
              <w:spacing w:after="40"/>
            </w:pPr>
            <w:r>
              <w:rPr>
                <w:snapToGrid w:val="0"/>
              </w:rPr>
              <w:t>1 Jan 2007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2007</w:t>
            </w:r>
            <w:r>
              <w:rPr>
                <w:iCs/>
              </w:rPr>
              <w:t xml:space="preserve"> </w:t>
            </w:r>
          </w:p>
        </w:tc>
        <w:tc>
          <w:tcPr>
            <w:tcW w:w="1276" w:type="dxa"/>
            <w:gridSpan w:val="2"/>
          </w:tcPr>
          <w:p>
            <w:pPr>
              <w:pStyle w:val="nTable"/>
              <w:spacing w:after="40"/>
            </w:pPr>
            <w:r>
              <w:t>9 Oct 2007 p. 5354</w:t>
            </w:r>
            <w:r>
              <w:noBreakHyphen/>
              <w:t>7</w:t>
            </w:r>
          </w:p>
        </w:tc>
        <w:tc>
          <w:tcPr>
            <w:tcW w:w="2694" w:type="dxa"/>
          </w:tcPr>
          <w:p>
            <w:pPr>
              <w:pStyle w:val="nTable"/>
              <w:spacing w:after="40"/>
              <w:rPr>
                <w:snapToGrid w:val="0"/>
              </w:rPr>
            </w:pPr>
            <w:r>
              <w:rPr>
                <w:snapToGrid w:val="0"/>
              </w:rPr>
              <w:t>r. 1 and 2: 9 Oct 2007 (see r. 2(a));</w:t>
            </w:r>
            <w:r>
              <w:rPr>
                <w:snapToGrid w:val="0"/>
              </w:rPr>
              <w:br/>
              <w:t>Regulations other than r. 1 and 2: 1 Jan 2008 (see r. 2(b))</w:t>
            </w:r>
          </w:p>
        </w:tc>
      </w:tr>
      <w:tr>
        <w:trPr>
          <w:gridBefore w:val="1"/>
          <w:wBefore w:w="20" w:type="dxa"/>
          <w:cantSplit/>
        </w:trPr>
        <w:tc>
          <w:tcPr>
            <w:tcW w:w="7088" w:type="dxa"/>
            <w:gridSpan w:val="5"/>
          </w:tcPr>
          <w:p>
            <w:pPr>
              <w:pStyle w:val="nTable"/>
              <w:spacing w:after="40"/>
              <w:rPr>
                <w:snapToGrid w:val="0"/>
              </w:rPr>
            </w:pPr>
            <w:r>
              <w:rPr>
                <w:b/>
              </w:rPr>
              <w:t xml:space="preserve">Reprint 4: The </w:t>
            </w:r>
            <w:r>
              <w:rPr>
                <w:b/>
                <w:i/>
              </w:rPr>
              <w:t>Gaming and Wagering Commission Regulations 1988</w:t>
            </w:r>
            <w:r>
              <w:rPr>
                <w:b/>
              </w:rPr>
              <w:t xml:space="preserve"> as at 11 Apr 2008</w:t>
            </w:r>
            <w:r>
              <w:br/>
              <w:t>(includes amendments listed above)</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2008</w:t>
            </w:r>
          </w:p>
        </w:tc>
        <w:tc>
          <w:tcPr>
            <w:tcW w:w="1276" w:type="dxa"/>
            <w:gridSpan w:val="2"/>
          </w:tcPr>
          <w:p>
            <w:pPr>
              <w:pStyle w:val="nTable"/>
              <w:spacing w:after="40"/>
            </w:pPr>
            <w:r>
              <w:t>10 Jun 2008 p. 2495</w:t>
            </w:r>
            <w:r>
              <w:noBreakHyphen/>
              <w:t>6</w:t>
            </w:r>
          </w:p>
        </w:tc>
        <w:tc>
          <w:tcPr>
            <w:tcW w:w="2694" w:type="dxa"/>
          </w:tcPr>
          <w:p>
            <w:pPr>
              <w:pStyle w:val="nTable"/>
              <w:spacing w:after="40"/>
              <w:rPr>
                <w:snapToGrid w:val="0"/>
              </w:rPr>
            </w:pPr>
            <w:r>
              <w:rPr>
                <w:snapToGrid w:val="0"/>
              </w:rPr>
              <w:t>r. 1 and 2: 10 Jun 2008 (see r. 2(a));</w:t>
            </w:r>
            <w:r>
              <w:rPr>
                <w:snapToGrid w:val="0"/>
              </w:rPr>
              <w:br/>
              <w:t>Regulations other than r. 1 and 2: 11 Jun 2008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3) 2008</w:t>
            </w:r>
          </w:p>
        </w:tc>
        <w:tc>
          <w:tcPr>
            <w:tcW w:w="1276" w:type="dxa"/>
            <w:gridSpan w:val="2"/>
          </w:tcPr>
          <w:p>
            <w:pPr>
              <w:pStyle w:val="nTable"/>
              <w:spacing w:after="40"/>
            </w:pPr>
            <w:r>
              <w:t>28 Oct 2008 p. 4735</w:t>
            </w:r>
            <w:r>
              <w:noBreakHyphen/>
              <w:t>7</w:t>
            </w:r>
          </w:p>
        </w:tc>
        <w:tc>
          <w:tcPr>
            <w:tcW w:w="2694"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2009</w:t>
            </w:r>
          </w:p>
        </w:tc>
        <w:tc>
          <w:tcPr>
            <w:tcW w:w="1276" w:type="dxa"/>
            <w:gridSpan w:val="2"/>
          </w:tcPr>
          <w:p>
            <w:pPr>
              <w:pStyle w:val="nTable"/>
              <w:spacing w:after="40"/>
            </w:pPr>
            <w:r>
              <w:t>30 Oct 2009 p. 4316</w:t>
            </w:r>
            <w:r>
              <w:noBreakHyphen/>
              <w:t>19</w:t>
            </w:r>
          </w:p>
        </w:tc>
        <w:tc>
          <w:tcPr>
            <w:tcW w:w="2694" w:type="dxa"/>
          </w:tcPr>
          <w:p>
            <w:pPr>
              <w:pStyle w:val="nTable"/>
              <w:spacing w:after="40"/>
              <w:rPr>
                <w:snapToGrid w:val="0"/>
              </w:rPr>
            </w:pPr>
            <w:r>
              <w:rPr>
                <w:snapToGrid w:val="0"/>
              </w:rPr>
              <w:t>r. 1 and 2: 30 Oct 2009 (see r. 2(a));</w:t>
            </w:r>
            <w:r>
              <w:rPr>
                <w:snapToGrid w:val="0"/>
              </w:rPr>
              <w:br/>
              <w:t>Regulations other than r. 1 and 2: 1 Jan 2010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2009</w:t>
            </w:r>
          </w:p>
        </w:tc>
        <w:tc>
          <w:tcPr>
            <w:tcW w:w="1276" w:type="dxa"/>
            <w:gridSpan w:val="2"/>
          </w:tcPr>
          <w:p>
            <w:pPr>
              <w:pStyle w:val="nTable"/>
              <w:spacing w:after="40"/>
            </w:pPr>
            <w:r>
              <w:t>8 Jan 2010 p. 17</w:t>
            </w:r>
            <w:r>
              <w:noBreakHyphen/>
              <w:t>19</w:t>
            </w:r>
          </w:p>
        </w:tc>
        <w:tc>
          <w:tcPr>
            <w:tcW w:w="2694" w:type="dxa"/>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w:t>
            </w:r>
            <w:r>
              <w:rPr>
                <w:snapToGrid w:val="0"/>
              </w:rPr>
              <w:noBreakHyphen/>
              <w:t>10)</w:t>
            </w:r>
          </w:p>
        </w:tc>
      </w:tr>
      <w:tr>
        <w:trPr>
          <w:gridBefore w:val="1"/>
          <w:wBefore w:w="20" w:type="dxa"/>
          <w:cantSplit/>
        </w:trPr>
        <w:tc>
          <w:tcPr>
            <w:tcW w:w="3118" w:type="dxa"/>
            <w:gridSpan w:val="2"/>
          </w:tcPr>
          <w:p>
            <w:pPr>
              <w:pStyle w:val="nTable"/>
              <w:spacing w:after="40"/>
              <w:rPr>
                <w:i/>
              </w:rPr>
            </w:pPr>
            <w:r>
              <w:rPr>
                <w:i/>
              </w:rPr>
              <w:t>Gaming and Wagering Commission Amendment Regulations 2010</w:t>
            </w:r>
            <w:r>
              <w:rPr>
                <w:iCs/>
              </w:rPr>
              <w:t xml:space="preserve"> </w:t>
            </w:r>
          </w:p>
        </w:tc>
        <w:tc>
          <w:tcPr>
            <w:tcW w:w="1276" w:type="dxa"/>
            <w:gridSpan w:val="2"/>
          </w:tcPr>
          <w:p>
            <w:pPr>
              <w:pStyle w:val="nTable"/>
              <w:spacing w:after="40"/>
            </w:pPr>
            <w:r>
              <w:t>19 Nov 2010 p. 5747</w:t>
            </w:r>
            <w:r>
              <w:noBreakHyphen/>
              <w:t>8</w:t>
            </w:r>
          </w:p>
        </w:tc>
        <w:tc>
          <w:tcPr>
            <w:tcW w:w="2694" w:type="dxa"/>
          </w:tcPr>
          <w:p>
            <w:pPr>
              <w:pStyle w:val="nTable"/>
              <w:spacing w:after="40"/>
              <w:rPr>
                <w:snapToGrid w:val="0"/>
              </w:rPr>
            </w:pPr>
            <w:r>
              <w:rPr>
                <w:snapToGrid w:val="0"/>
              </w:rPr>
              <w:t>r. 1 and 2: 19 Nov 2010 (see r. 2(a));</w:t>
            </w:r>
            <w:r>
              <w:rPr>
                <w:snapToGrid w:val="0"/>
              </w:rPr>
              <w:br/>
              <w:t xml:space="preserve">Regulations other than r. 1 and 2: </w:t>
            </w:r>
            <w:r>
              <w:t>1 Jan 2011 (see r. 2(b))</w:t>
            </w:r>
          </w:p>
        </w:tc>
      </w:tr>
      <w:tr>
        <w:trPr>
          <w:gridBefore w:val="1"/>
          <w:wBefore w:w="20" w:type="dxa"/>
          <w:cantSplit/>
        </w:trPr>
        <w:tc>
          <w:tcPr>
            <w:tcW w:w="7088" w:type="dxa"/>
            <w:gridSpan w:val="5"/>
          </w:tcPr>
          <w:p>
            <w:pPr>
              <w:pStyle w:val="nTable"/>
              <w:spacing w:after="40"/>
              <w:rPr>
                <w:snapToGrid w:val="0"/>
                <w:spacing w:val="-2"/>
              </w:rPr>
            </w:pPr>
            <w:r>
              <w:rPr>
                <w:b/>
              </w:rPr>
              <w:t xml:space="preserve">Reprint 5: The </w:t>
            </w:r>
            <w:r>
              <w:rPr>
                <w:b/>
                <w:i/>
              </w:rPr>
              <w:t>Gaming and Wagering Commission Regulations 1988</w:t>
            </w:r>
            <w:r>
              <w:rPr>
                <w:b/>
              </w:rPr>
              <w:t xml:space="preserve"> as at 1 Apr 2011</w:t>
            </w:r>
            <w:r>
              <w:br/>
              <w:t xml:space="preserve">(includes amendments listed above) (correction in </w:t>
            </w:r>
            <w:r>
              <w:rPr>
                <w:i/>
              </w:rPr>
              <w:t>Gazette</w:t>
            </w:r>
            <w:r>
              <w:t xml:space="preserve"> 20 May 2011 p. 1840)</w:t>
            </w:r>
          </w:p>
        </w:tc>
      </w:tr>
      <w:tr>
        <w:trPr>
          <w:gridBefore w:val="1"/>
          <w:wBefore w:w="20" w:type="dxa"/>
          <w:cantSplit/>
        </w:trPr>
        <w:tc>
          <w:tcPr>
            <w:tcW w:w="3118" w:type="dxa"/>
            <w:gridSpan w:val="2"/>
          </w:tcPr>
          <w:p>
            <w:pPr>
              <w:pStyle w:val="nTable"/>
              <w:spacing w:after="40"/>
              <w:rPr>
                <w:i/>
              </w:rPr>
            </w:pPr>
            <w:r>
              <w:rPr>
                <w:i/>
              </w:rPr>
              <w:t>Gaming and Wagering Commission Amendment Regulations 2011</w:t>
            </w:r>
            <w:r>
              <w:rPr>
                <w:iCs/>
              </w:rPr>
              <w:t xml:space="preserve"> </w:t>
            </w:r>
          </w:p>
        </w:tc>
        <w:tc>
          <w:tcPr>
            <w:tcW w:w="1276" w:type="dxa"/>
            <w:gridSpan w:val="2"/>
          </w:tcPr>
          <w:p>
            <w:pPr>
              <w:pStyle w:val="nTable"/>
              <w:spacing w:after="40"/>
            </w:pPr>
            <w:r>
              <w:t>12 Aug 2011 p. 3248-50</w:t>
            </w:r>
          </w:p>
        </w:tc>
        <w:tc>
          <w:tcPr>
            <w:tcW w:w="2694" w:type="dxa"/>
          </w:tcPr>
          <w:p>
            <w:pPr>
              <w:pStyle w:val="nTable"/>
              <w:spacing w:after="40"/>
              <w:rPr>
                <w:snapToGrid w:val="0"/>
              </w:rPr>
            </w:pPr>
            <w:r>
              <w:rPr>
                <w:snapToGrid w:val="0"/>
              </w:rPr>
              <w:t>r. 1 and 2: 12 Aug 2011 (see r. 2(a));</w:t>
            </w:r>
            <w:r>
              <w:rPr>
                <w:snapToGrid w:val="0"/>
              </w:rPr>
              <w:br/>
              <w:t>Regulations other than r. 1 and 2: 13</w:t>
            </w:r>
            <w:r>
              <w:t> Aug 2011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2) 2011</w:t>
            </w:r>
          </w:p>
        </w:tc>
        <w:tc>
          <w:tcPr>
            <w:tcW w:w="1276" w:type="dxa"/>
            <w:gridSpan w:val="2"/>
          </w:tcPr>
          <w:p>
            <w:pPr>
              <w:pStyle w:val="nTable"/>
              <w:spacing w:after="40"/>
            </w:pPr>
            <w:r>
              <w:t>4 Nov 2011 p. 4645-6</w:t>
            </w:r>
          </w:p>
        </w:tc>
        <w:tc>
          <w:tcPr>
            <w:tcW w:w="2694" w:type="dxa"/>
          </w:tcPr>
          <w:p>
            <w:pPr>
              <w:pStyle w:val="nTable"/>
              <w:spacing w:after="40"/>
              <w:rPr>
                <w:snapToGrid w:val="0"/>
                <w:spacing w:val="-2"/>
              </w:rPr>
            </w:pPr>
            <w:r>
              <w:t>r. 1 and 2: 4 Nov 2011 (see r. 2(a));</w:t>
            </w:r>
            <w:r>
              <w:br/>
              <w:t>Regulations other than r. 1 and 2: 1 Jan 2012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2012</w:t>
            </w:r>
          </w:p>
        </w:tc>
        <w:tc>
          <w:tcPr>
            <w:tcW w:w="1276" w:type="dxa"/>
            <w:gridSpan w:val="2"/>
          </w:tcPr>
          <w:p>
            <w:pPr>
              <w:pStyle w:val="nTable"/>
              <w:spacing w:after="40"/>
            </w:pPr>
            <w:r>
              <w:t>16 Nov 2012 p. 5649-51</w:t>
            </w:r>
          </w:p>
        </w:tc>
        <w:tc>
          <w:tcPr>
            <w:tcW w:w="2694" w:type="dxa"/>
          </w:tcPr>
          <w:p>
            <w:pPr>
              <w:pStyle w:val="nTable"/>
              <w:spacing w:after="40"/>
            </w:pPr>
            <w:r>
              <w:rPr>
                <w:snapToGrid w:val="0"/>
              </w:rPr>
              <w:t>r. 1 and 2: 16 Nov 2012 (see r. 2(a));</w:t>
            </w:r>
            <w:r>
              <w:rPr>
                <w:snapToGrid w:val="0"/>
              </w:rPr>
              <w:br/>
              <w:t xml:space="preserve">Regulations other than r. 1 and 2: </w:t>
            </w:r>
            <w:r>
              <w:t>1 Jan 2013 (see r. 2(b))</w:t>
            </w:r>
          </w:p>
        </w:tc>
      </w:tr>
      <w:tr>
        <w:trPr>
          <w:gridBefore w:val="1"/>
          <w:wBefore w:w="20" w:type="dxa"/>
          <w:cantSplit/>
        </w:trPr>
        <w:tc>
          <w:tcPr>
            <w:tcW w:w="3118" w:type="dxa"/>
            <w:gridSpan w:val="2"/>
            <w:shd w:val="clear" w:color="auto" w:fill="auto"/>
          </w:tcPr>
          <w:p>
            <w:pPr>
              <w:pStyle w:val="nTable"/>
              <w:spacing w:after="40"/>
              <w:rPr>
                <w:i/>
              </w:rPr>
            </w:pPr>
            <w:r>
              <w:rPr>
                <w:i/>
              </w:rPr>
              <w:t>Gaming and Wagering Commission Amendment Regulations 2013</w:t>
            </w:r>
          </w:p>
        </w:tc>
        <w:tc>
          <w:tcPr>
            <w:tcW w:w="1276" w:type="dxa"/>
            <w:gridSpan w:val="2"/>
            <w:shd w:val="clear" w:color="auto" w:fill="auto"/>
          </w:tcPr>
          <w:p>
            <w:pPr>
              <w:pStyle w:val="nTable"/>
              <w:spacing w:after="40"/>
            </w:pPr>
            <w:r>
              <w:t>8 Nov 2013 p. 4975</w:t>
            </w:r>
            <w:r>
              <w:noBreakHyphen/>
              <w:t>7</w:t>
            </w:r>
          </w:p>
        </w:tc>
        <w:tc>
          <w:tcPr>
            <w:tcW w:w="2694" w:type="dxa"/>
            <w:shd w:val="clear" w:color="auto" w:fill="auto"/>
          </w:tcPr>
          <w:p>
            <w:pPr>
              <w:pStyle w:val="nTable"/>
              <w:spacing w:after="40"/>
              <w:rPr>
                <w:i/>
                <w:snapToGrid w:val="0"/>
              </w:rPr>
            </w:pPr>
            <w:r>
              <w:rPr>
                <w:snapToGrid w:val="0"/>
              </w:rPr>
              <w:t>r. 1 and 2: 8 Nov 2013 (see r. 2(a));</w:t>
            </w:r>
            <w:r>
              <w:rPr>
                <w:snapToGrid w:val="0"/>
              </w:rPr>
              <w:br/>
              <w:t>Regulations other than r. 1 and 2: 1 Jan 2014 (see. r. 2(b))</w:t>
            </w:r>
          </w:p>
        </w:tc>
      </w:tr>
      <w:tr>
        <w:trPr>
          <w:gridBefore w:val="1"/>
          <w:wBefore w:w="20" w:type="dxa"/>
          <w:cantSplit/>
        </w:trPr>
        <w:tc>
          <w:tcPr>
            <w:tcW w:w="7088" w:type="dxa"/>
            <w:gridSpan w:val="5"/>
            <w:shd w:val="clear" w:color="auto" w:fill="auto"/>
          </w:tcPr>
          <w:p>
            <w:pPr>
              <w:pStyle w:val="nTable"/>
              <w:spacing w:after="40"/>
              <w:rPr>
                <w:snapToGrid w:val="0"/>
              </w:rPr>
            </w:pPr>
            <w:r>
              <w:rPr>
                <w:b/>
              </w:rPr>
              <w:t xml:space="preserve">Reprint 6: The </w:t>
            </w:r>
            <w:r>
              <w:rPr>
                <w:b/>
                <w:i/>
              </w:rPr>
              <w:t>Gaming and Wagering Commission Regulations 1988</w:t>
            </w:r>
            <w:r>
              <w:rPr>
                <w:b/>
              </w:rPr>
              <w:t xml:space="preserve"> as at 16 May 2014 </w:t>
            </w:r>
            <w:r>
              <w:t>(includes amendments listed above)</w:t>
            </w:r>
          </w:p>
        </w:tc>
      </w:tr>
      <w:tr>
        <w:trPr>
          <w:cantSplit/>
        </w:trPr>
        <w:tc>
          <w:tcPr>
            <w:tcW w:w="3119" w:type="dxa"/>
            <w:gridSpan w:val="2"/>
          </w:tcPr>
          <w:p>
            <w:pPr>
              <w:pStyle w:val="nTable"/>
              <w:spacing w:after="40"/>
              <w:ind w:right="113"/>
              <w:rPr>
                <w:vertAlign w:val="superscript"/>
              </w:rPr>
            </w:pPr>
            <w:r>
              <w:rPr>
                <w:i/>
              </w:rPr>
              <w:t>Gaming and Wagering Commission Amendment Regulations 2014</w:t>
            </w:r>
          </w:p>
        </w:tc>
        <w:tc>
          <w:tcPr>
            <w:tcW w:w="1276" w:type="dxa"/>
            <w:gridSpan w:val="2"/>
          </w:tcPr>
          <w:p>
            <w:pPr>
              <w:pStyle w:val="nTable"/>
              <w:spacing w:after="40"/>
            </w:pPr>
            <w:r>
              <w:t>14 Nov 2014 p. 4282</w:t>
            </w:r>
            <w:r>
              <w:noBreakHyphen/>
              <w:t>4</w:t>
            </w:r>
          </w:p>
        </w:tc>
        <w:tc>
          <w:tcPr>
            <w:tcW w:w="2713" w:type="dxa"/>
            <w:gridSpan w:val="2"/>
          </w:tcPr>
          <w:p>
            <w:pPr>
              <w:pStyle w:val="nTable"/>
              <w:spacing w:after="40"/>
            </w:pPr>
            <w:r>
              <w:rPr>
                <w:rFonts w:ascii="Times" w:hAnsi="Times"/>
                <w:bCs/>
                <w:snapToGrid w:val="0"/>
                <w:spacing w:val="-2"/>
              </w:rPr>
              <w:t>r. 1 and 2: 14 Nov 2014 (see r. 2(a));</w:t>
            </w:r>
            <w:r>
              <w:rPr>
                <w:rFonts w:ascii="Times" w:hAnsi="Times"/>
                <w:bCs/>
                <w:snapToGrid w:val="0"/>
                <w:spacing w:val="-2"/>
              </w:rPr>
              <w:br/>
              <w:t xml:space="preserve">Regulations other than r. 1 and 2: </w:t>
            </w:r>
            <w:r>
              <w:t>1 Jan 2015 (see r. 2(b))</w:t>
            </w:r>
          </w:p>
        </w:tc>
      </w:tr>
      <w:tr>
        <w:trPr>
          <w:cantSplit/>
        </w:trPr>
        <w:tc>
          <w:tcPr>
            <w:tcW w:w="3119" w:type="dxa"/>
            <w:gridSpan w:val="2"/>
          </w:tcPr>
          <w:p>
            <w:pPr>
              <w:pStyle w:val="nTable"/>
              <w:spacing w:after="40"/>
              <w:ind w:right="113"/>
              <w:rPr>
                <w:i/>
              </w:rPr>
            </w:pPr>
            <w:r>
              <w:rPr>
                <w:i/>
              </w:rPr>
              <w:t xml:space="preserve">Racing, Gaming and Liquor Regulations Amendment (Fees and Charges) Regulations 2015 </w:t>
            </w:r>
            <w:r>
              <w:t>Pt. 5</w:t>
            </w:r>
          </w:p>
        </w:tc>
        <w:tc>
          <w:tcPr>
            <w:tcW w:w="1276" w:type="dxa"/>
            <w:gridSpan w:val="2"/>
          </w:tcPr>
          <w:p>
            <w:pPr>
              <w:pStyle w:val="nTable"/>
              <w:spacing w:after="40"/>
            </w:pPr>
            <w:r>
              <w:t>6 Nov 2015 p. 4581-8</w:t>
            </w:r>
          </w:p>
        </w:tc>
        <w:tc>
          <w:tcPr>
            <w:tcW w:w="2713" w:type="dxa"/>
            <w:gridSpan w:val="2"/>
          </w:tcPr>
          <w:p>
            <w:pPr>
              <w:pStyle w:val="nTable"/>
              <w:spacing w:after="40"/>
              <w:rPr>
                <w:rFonts w:ascii="Times" w:hAnsi="Times"/>
                <w:bCs/>
                <w:snapToGrid w:val="0"/>
                <w:spacing w:val="-2"/>
              </w:rPr>
            </w:pPr>
            <w:r>
              <w:rPr>
                <w:rFonts w:ascii="Times" w:hAnsi="Times"/>
                <w:bCs/>
                <w:snapToGrid w:val="0"/>
                <w:spacing w:val="-2"/>
              </w:rPr>
              <w:t>1 Jan 2016</w:t>
            </w:r>
            <w:r>
              <w:t xml:space="preserve"> (see r. 2(b))</w:t>
            </w:r>
          </w:p>
        </w:tc>
      </w:tr>
      <w:tr>
        <w:trPr>
          <w:cantSplit/>
        </w:trPr>
        <w:tc>
          <w:tcPr>
            <w:tcW w:w="3119" w:type="dxa"/>
            <w:gridSpan w:val="2"/>
          </w:tcPr>
          <w:p>
            <w:pPr>
              <w:pStyle w:val="nTable"/>
              <w:spacing w:after="40"/>
              <w:ind w:right="113"/>
              <w:rPr>
                <w:i/>
              </w:rPr>
            </w:pPr>
            <w:r>
              <w:rPr>
                <w:i/>
              </w:rPr>
              <w:t>Gaming and Wagering Commission Amendment Regulations 2015</w:t>
            </w:r>
          </w:p>
        </w:tc>
        <w:tc>
          <w:tcPr>
            <w:tcW w:w="1276" w:type="dxa"/>
            <w:gridSpan w:val="2"/>
          </w:tcPr>
          <w:p>
            <w:pPr>
              <w:pStyle w:val="nTable"/>
              <w:spacing w:after="40"/>
            </w:pPr>
            <w:r>
              <w:t>1 Dec 2015 p. 4823</w:t>
            </w:r>
            <w:r>
              <w:noBreakHyphen/>
              <w:t>4</w:t>
            </w:r>
          </w:p>
        </w:tc>
        <w:tc>
          <w:tcPr>
            <w:tcW w:w="2713" w:type="dxa"/>
            <w:gridSpan w:val="2"/>
          </w:tcPr>
          <w:p>
            <w:pPr>
              <w:pStyle w:val="nTable"/>
              <w:spacing w:after="40"/>
              <w:rPr>
                <w:rFonts w:ascii="Times" w:hAnsi="Times"/>
                <w:bCs/>
                <w:snapToGrid w:val="0"/>
                <w:spacing w:val="-2"/>
              </w:rPr>
            </w:pPr>
            <w:r>
              <w:rPr>
                <w:rFonts w:ascii="Times" w:hAnsi="Times"/>
                <w:bCs/>
                <w:snapToGrid w:val="0"/>
                <w:spacing w:val="-2"/>
              </w:rPr>
              <w:t>r. 1 and 2: 1 Dec 2015 (see r. 2(a));</w:t>
            </w:r>
            <w:r>
              <w:rPr>
                <w:rFonts w:ascii="Times" w:hAnsi="Times"/>
                <w:bCs/>
                <w:snapToGrid w:val="0"/>
                <w:spacing w:val="-2"/>
              </w:rPr>
              <w:br/>
              <w:t>Regulations other than r. 1 and 2: 2</w:t>
            </w:r>
            <w:r>
              <w:t xml:space="preserve"> Dec 2015 (see r. 2(b))</w:t>
            </w:r>
          </w:p>
        </w:tc>
      </w:tr>
      <w:tr>
        <w:trPr>
          <w:cantSplit/>
        </w:trPr>
        <w:tc>
          <w:tcPr>
            <w:tcW w:w="3119" w:type="dxa"/>
            <w:gridSpan w:val="2"/>
            <w:tcBorders>
              <w:bottom w:val="single" w:sz="4" w:space="0" w:color="auto"/>
            </w:tcBorders>
          </w:tcPr>
          <w:p>
            <w:pPr>
              <w:pStyle w:val="nTable"/>
              <w:spacing w:after="40"/>
              <w:ind w:right="113"/>
              <w:rPr>
                <w:i/>
              </w:rPr>
            </w:pPr>
            <w:r>
              <w:rPr>
                <w:i/>
              </w:rPr>
              <w:t>Gaming and Wagering Commission Amendment Regulations 2016</w:t>
            </w:r>
          </w:p>
        </w:tc>
        <w:tc>
          <w:tcPr>
            <w:tcW w:w="1276" w:type="dxa"/>
            <w:gridSpan w:val="2"/>
            <w:tcBorders>
              <w:bottom w:val="single" w:sz="4" w:space="0" w:color="auto"/>
            </w:tcBorders>
          </w:tcPr>
          <w:p>
            <w:pPr>
              <w:pStyle w:val="nTable"/>
              <w:spacing w:after="40"/>
            </w:pPr>
            <w:r>
              <w:t>6 Sep 2016 p. 3831-3</w:t>
            </w:r>
          </w:p>
        </w:tc>
        <w:tc>
          <w:tcPr>
            <w:tcW w:w="2713" w:type="dxa"/>
            <w:gridSpan w:val="2"/>
            <w:tcBorders>
              <w:bottom w:val="single" w:sz="4" w:space="0" w:color="auto"/>
            </w:tcBorders>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bl>
    <w:p>
      <w:pPr>
        <w:pStyle w:val="nSubsection"/>
        <w:spacing w:before="160"/>
      </w:pPr>
      <w:r>
        <w:rPr>
          <w:vertAlign w:val="superscript"/>
        </w:rPr>
        <w:t>2</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3</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keepNext/>
        <w:keepLines/>
      </w:pPr>
      <w:r>
        <w:rPr>
          <w:vertAlign w:val="superscript"/>
        </w:rPr>
        <w:t>4</w:t>
      </w:r>
      <w:r>
        <w:tab/>
        <w:t xml:space="preserve">Deleted by the </w:t>
      </w:r>
      <w:r>
        <w:rPr>
          <w:i/>
        </w:rPr>
        <w:t>Acts Amendment (Continuing Lotteries) Act 2000</w:t>
      </w:r>
      <w:r>
        <w:t xml:space="preserve"> s. 5.</w:t>
      </w:r>
    </w:p>
    <w:p>
      <w:pPr>
        <w:pStyle w:val="nSubsection"/>
      </w:pPr>
      <w:r>
        <w:rPr>
          <w:vertAlign w:val="superscript"/>
        </w:rPr>
        <w:t>5</w:t>
      </w:r>
      <w:r>
        <w:tab/>
        <w:t xml:space="preserve">The </w:t>
      </w:r>
      <w:r>
        <w:rPr>
          <w:i/>
          <w:iCs/>
        </w:rPr>
        <w:t>Gaming and Wagering Commission Amendment Regulations 2008</w:t>
      </w:r>
      <w:r>
        <w:t xml:space="preserve"> published in the </w:t>
      </w:r>
      <w:r>
        <w:rPr>
          <w:i/>
          <w:iCs/>
        </w:rPr>
        <w:t>Gazette</w:t>
      </w:r>
      <w:r>
        <w:t xml:space="preserve"> on 29 Apr 2008 p. 1591</w:t>
      </w:r>
      <w:r>
        <w:noBreakHyphen/>
        <w:t xml:space="preserve">3 were repealed in </w:t>
      </w:r>
      <w:r>
        <w:rPr>
          <w:i/>
          <w:iCs/>
        </w:rPr>
        <w:t>Gazette</w:t>
      </w:r>
      <w:r>
        <w:t xml:space="preserve"> 10 Jun 2008 p. 2496 due to an error in the citation of the principal regulations.</w:t>
      </w:r>
    </w:p>
    <w:p>
      <w:pPr>
        <w:pStyle w:val="nSubsection"/>
        <w:keepNext/>
        <w:keepLines/>
      </w:pPr>
      <w:r>
        <w:rPr>
          <w:vertAlign w:val="superscript"/>
        </w:rPr>
        <w:t>6</w:t>
      </w:r>
      <w:r>
        <w:tab/>
        <w:t xml:space="preserve">Now known as the </w:t>
      </w:r>
      <w:r>
        <w:rPr>
          <w:i/>
          <w:snapToGrid w:val="0"/>
        </w:rPr>
        <w:t>Gaming and Wagering Commission Regulations 1988</w:t>
      </w:r>
      <w:r>
        <w:t>; citation changed (see note under r. 1).</w:t>
      </w:r>
    </w:p>
    <w:p>
      <w:pPr>
        <w:pStyle w:val="nSubsection"/>
      </w:pPr>
      <w:r>
        <w:rPr>
          <w:vertAlign w:val="superscript"/>
        </w:rPr>
        <w:t>7</w:t>
      </w:r>
      <w:r>
        <w:tab/>
        <w:t>The commencement date of 1 Oct 2001 that was specified was before the date of gazettal.</w:t>
      </w:r>
    </w:p>
    <w:p/>
    <w:p>
      <w:pPr>
        <w:sectPr>
          <w:headerReference w:type="even" r:id="rId37"/>
          <w:headerReference w:type="default" r:id="rId38"/>
          <w:headerReference w:type="first" r:id="rId39"/>
          <w:pgSz w:w="11907" w:h="16840" w:code="9"/>
          <w:pgMar w:top="2376" w:right="2404" w:bottom="3544" w:left="2404" w:header="720" w:footer="3380" w:gutter="0"/>
          <w:cols w:space="720"/>
          <w:noEndnote/>
          <w:docGrid w:linePitch="326"/>
        </w:sectPr>
      </w:pPr>
    </w:p>
    <w:p>
      <w:pPr>
        <w:pStyle w:val="nHeading2"/>
        <w:rPr>
          <w:sz w:val="28"/>
        </w:rPr>
      </w:pPr>
      <w:bookmarkStart w:id="408" w:name="_Toc460853222"/>
      <w:r>
        <w:rPr>
          <w:sz w:val="28"/>
        </w:rPr>
        <w:t>Defined terms</w:t>
      </w:r>
      <w:bookmarkEnd w:id="4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amusement parlour</w:t>
      </w:r>
      <w:r>
        <w:tab/>
        <w:t>18B(7)</w:t>
      </w:r>
    </w:p>
    <w:p>
      <w:pPr>
        <w:pStyle w:val="DefinedTerms"/>
      </w:pPr>
      <w:r>
        <w:t>baseline</w:t>
      </w:r>
      <w:r>
        <w:tab/>
        <w:t>8A(1)</w:t>
      </w:r>
    </w:p>
    <w:p>
      <w:pPr>
        <w:pStyle w:val="DefinedTerms"/>
      </w:pPr>
      <w:r>
        <w:t>cruise ship</w:t>
      </w:r>
      <w:r>
        <w:tab/>
        <w:t>8A(1), 18C(1)</w:t>
      </w:r>
    </w:p>
    <w:p>
      <w:pPr>
        <w:pStyle w:val="DefinedTerms"/>
      </w:pPr>
      <w:r>
        <w:t>donor organization</w:t>
      </w:r>
      <w:r>
        <w:tab/>
        <w:t>30A(3)</w:t>
      </w:r>
    </w:p>
    <w:p>
      <w:pPr>
        <w:pStyle w:val="DefinedTerms"/>
      </w:pPr>
      <w:r>
        <w:t>gambling operator</w:t>
      </w:r>
      <w:r>
        <w:tab/>
        <w:t>43(1)</w:t>
      </w:r>
    </w:p>
    <w:p>
      <w:pPr>
        <w:pStyle w:val="DefinedTerms"/>
      </w:pPr>
      <w:r>
        <w:t>lottery terms and conditions</w:t>
      </w:r>
      <w:r>
        <w:tab/>
        <w:t>36A(2)</w:t>
      </w:r>
    </w:p>
    <w:p>
      <w:pPr>
        <w:pStyle w:val="DefinedTerms"/>
      </w:pPr>
      <w:r>
        <w:t>prize</w:t>
      </w:r>
      <w:r>
        <w:tab/>
        <w:t>23A(2)</w:t>
      </w:r>
    </w:p>
    <w:p>
      <w:pPr>
        <w:pStyle w:val="DefinedTerms"/>
      </w:pPr>
      <w:r>
        <w:t>prize goods</w:t>
      </w:r>
      <w:r>
        <w:tab/>
        <w:t>Sch. 4 cl. 7(2), Sch. 4 cl. 8(2)</w:t>
      </w:r>
    </w:p>
    <w:p>
      <w:pPr>
        <w:pStyle w:val="DefinedTerms"/>
      </w:pPr>
      <w:r>
        <w:t>publish</w:t>
      </w:r>
      <w:r>
        <w:tab/>
        <w:t>43(1)</w:t>
      </w:r>
    </w:p>
    <w:p>
      <w:pPr>
        <w:pStyle w:val="DefinedTerms"/>
      </w:pPr>
      <w:r>
        <w:t>rents</w:t>
      </w:r>
      <w:r>
        <w:tab/>
        <w:t>18(2)</w:t>
      </w:r>
    </w:p>
    <w:p>
      <w:pPr>
        <w:pStyle w:val="DefinedTerms"/>
      </w:pPr>
      <w:r>
        <w:t>series</w:t>
      </w:r>
      <w:r>
        <w:tab/>
        <w:t>18AA(3)</w:t>
      </w:r>
    </w:p>
    <w:p>
      <w:pPr>
        <w:pStyle w:val="DefinedTerms"/>
      </w:pPr>
      <w:r>
        <w:t>snowball</w:t>
      </w:r>
      <w:r>
        <w:tab/>
        <w:t>Sch. 4 cl. 6</w:t>
      </w:r>
    </w:p>
    <w:p>
      <w:pPr>
        <w:pStyle w:val="DefinedTerms"/>
      </w:pPr>
      <w:r>
        <w:t>value</w:t>
      </w:r>
      <w:r>
        <w:tab/>
        <w:t>23A(2)</w:t>
      </w:r>
    </w:p>
    <w:p>
      <w:pPr>
        <w:pStyle w:val="DefinedTerms"/>
      </w:pPr>
      <w:r>
        <w:t>video lottery terminal</w:t>
      </w:r>
      <w:r>
        <w:tab/>
        <w:t>18AA(1)</w:t>
      </w:r>
    </w:p>
    <w:p>
      <w:pPr>
        <w:pStyle w:val="DefinedTerms"/>
      </w:pPr>
      <w:r>
        <w:t>voucher</w:t>
      </w:r>
      <w:r>
        <w:tab/>
        <w:t>18B(7)</w:t>
      </w:r>
    </w:p>
    <w:p/>
    <w:p>
      <w:pPr>
        <w:sectPr>
          <w:headerReference w:type="even" r:id="rId40"/>
          <w:headerReference w:type="default" r:id="rId41"/>
          <w:pgSz w:w="11907" w:h="16840" w:code="9"/>
          <w:pgMar w:top="2381" w:right="2409" w:bottom="3543" w:left="2409" w:header="720" w:footer="3380" w:gutter="0"/>
          <w:cols w:space="720"/>
          <w:noEndnote/>
          <w:docGrid w:linePitch="326"/>
        </w:sectPr>
      </w:pPr>
    </w:p>
    <w:p>
      <w:pPr>
        <w:jc w:val="both"/>
      </w:pPr>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Sep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80" w:name="Schedule"/>
    <w:bookmarkEnd w:id="28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Prescribed penalties under section 36(1)</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penalties under section 36(1)</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Rules for the conduct of permitted games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styleref CharSDivText</w:instrText>
          </w:r>
          <w:r>
            <w:fldChar w:fldCharType="separate"/>
          </w:r>
          <w:r>
            <w:t>Permitted lotteries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Rules for the conduct of permitted games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Permitted lotteries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07" w:name="Compilation"/>
    <w:bookmarkEnd w:id="407"/>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9" w:name="DefinedTerms"/>
    <w:bookmarkEnd w:id="409"/>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0" w:name="Coversheet"/>
    <w:bookmarkEnd w:id="41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2324"/>
    <w:docVar w:name="WAFER_20131218160208" w:val="RemoveTocBookmarks,RemoveUnusedBookmarks,RemoveLanguageTags,UsedStyles,ResetPageSize,UpdateArrangement"/>
    <w:docVar w:name="WAFER_20131218160208_GUID" w:val="a07748e9-ad6d-46cc-9045-3972b76bdaa1"/>
    <w:docVar w:name="WAFER_20140509104855" w:val="RemoveTocBookmarks,RemoveUnusedBookmarks,RemoveLanguageTags,UsedStyles,RemoveTrackChanges"/>
    <w:docVar w:name="WAFER_20140509104855_GUID" w:val="491764b7-a6e2-43e7-ab88-90f2c4bd64ff"/>
    <w:docVar w:name="WAFER_20140509104907" w:val="RemoveTocBookmarks,RemoveLanguageTags,RemoveTrackChanges,RunningHeaders"/>
    <w:docVar w:name="WAFER_20140509104907_GUID" w:val="926372b0-bfc8-4440-8683-a4717284c6dd"/>
    <w:docVar w:name="WAFER_20140528111200" w:val="RemoveTocBookmarks,RemoveLanguageTags,RemoveTrackChanges,RunningHeaders"/>
    <w:docVar w:name="WAFER_20140528111200_GUID" w:val="c68bb7ce-f158-487e-84ba-6c8ceef64315"/>
    <w:docVar w:name="WAFER_20141113145740" w:val="RemoveTocBookmarks,RemoveUnusedBookmarks,RemoveLanguageTags,UsedStyles,ResetPageSize,UpdateArrangement"/>
    <w:docVar w:name="WAFER_20141113145740_GUID" w:val="4231596b-289c-4166-96f5-fb8f42302f87"/>
    <w:docVar w:name="WAFER_20150506114425" w:val="ResetPageSize,UpdateArrangement,UpdateNTable"/>
    <w:docVar w:name="WAFER_20150506114425_GUID" w:val="cd6d68f5-5dc5-4647-814b-3558074940a0"/>
    <w:docVar w:name="WAFER_20151105142012" w:val="UpdateStyles"/>
    <w:docVar w:name="WAFER_20151105142012_GUID" w:val="22c14843-cf89-4e3a-8108-6fc16ebe27af"/>
    <w:docVar w:name="WAFER_20151105142324" w:val="UsedStyles"/>
    <w:docVar w:name="WAFER_20151105142324_GUID" w:val="cf0e45ba-8119-460a-a924-cec6ce5fda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3Char">
    <w:name w:val="Heading 3 Char"/>
    <w:basedOn w:val="DefaultParagraphFont"/>
    <w:link w:val="Heading3"/>
    <w:rPr>
      <w:b/>
      <w:sz w:val="26"/>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3Char">
    <w:name w:val="Heading 3 Char"/>
    <w:basedOn w:val="DefaultParagraphFont"/>
    <w:link w:val="Heading3"/>
    <w:rPr>
      <w:b/>
      <w:sz w:val="26"/>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2.png"/><Relationship Id="rId42" Type="http://schemas.openxmlformats.org/officeDocument/2006/relationships/header" Target="header25.xml"/><Relationship Id="rId47"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header" Target="header2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3A356-852C-4547-8818-62B51EE75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15815</Words>
  <Characters>77021</Characters>
  <Application>Microsoft Office Word</Application>
  <DocSecurity>0</DocSecurity>
  <Lines>2406</Lines>
  <Paragraphs>1600</Paragraphs>
  <ScaleCrop>false</ScaleCrop>
  <HeadingPairs>
    <vt:vector size="2" baseType="variant">
      <vt:variant>
        <vt:lpstr>Title</vt:lpstr>
      </vt:variant>
      <vt:variant>
        <vt:i4>1</vt:i4>
      </vt:variant>
    </vt:vector>
  </HeadingPairs>
  <TitlesOfParts>
    <vt:vector size="1" baseType="lpstr">
      <vt:lpstr>Gaming and Wagering Commission Regulations 1988</vt:lpstr>
    </vt:vector>
  </TitlesOfParts>
  <Manager/>
  <Company/>
  <LinksUpToDate>false</LinksUpToDate>
  <CharactersWithSpaces>91236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1988 - 06-g0-00</dc:title>
  <dc:subject/>
  <dc:creator/>
  <cp:keywords/>
  <dc:description/>
  <cp:lastModifiedBy>svcMRProcess</cp:lastModifiedBy>
  <cp:revision>4</cp:revision>
  <cp:lastPrinted>2014-05-27T00:05:00Z</cp:lastPrinted>
  <dcterms:created xsi:type="dcterms:W3CDTF">2018-09-12T03:07:00Z</dcterms:created>
  <dcterms:modified xsi:type="dcterms:W3CDTF">2018-09-12T03:08:00Z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DocumentType">
    <vt:lpwstr>Reg</vt:lpwstr>
  </property>
  <property fmtid="{D5CDD505-2E9C-101B-9397-08002B2CF9AE}" pid="4" name="OwlsUID">
    <vt:i4>4458</vt:i4>
  </property>
  <property fmtid="{D5CDD505-2E9C-101B-9397-08002B2CF9AE}" pid="5" name="ReprintNo">
    <vt:lpwstr>6</vt:lpwstr>
  </property>
  <property fmtid="{D5CDD505-2E9C-101B-9397-08002B2CF9AE}" pid="6" name="ReprintedAsAt">
    <vt:filetime>2014-05-15T16:00:00Z</vt:filetime>
  </property>
  <property fmtid="{D5CDD505-2E9C-101B-9397-08002B2CF9AE}" pid="7" name="AsAtDate">
    <vt:lpwstr>07 Sep 2016</vt:lpwstr>
  </property>
  <property fmtid="{D5CDD505-2E9C-101B-9397-08002B2CF9AE}" pid="8" name="Suffix">
    <vt:lpwstr>06-g0-00</vt:lpwstr>
  </property>
  <property fmtid="{D5CDD505-2E9C-101B-9397-08002B2CF9AE}" pid="9" name="CommencementDate">
    <vt:lpwstr>20160907</vt:lpwstr>
  </property>
</Properties>
</file>