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Blood and Tissue (Transmissible Diseases)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_Toc461177909 \h </w:instrText>
      </w:r>
      <w:r>
        <w:fldChar w:fldCharType="separate"/>
      </w:r>
      <w:r>
        <w:t>1</w:t>
      </w:r>
      <w:r>
        <w:fldChar w:fldCharType="end"/>
      </w:r>
    </w:p>
    <w:p>
      <w:pPr>
        <w:pStyle w:val="TOC8"/>
        <w:rPr>
          <w:rFonts w:asciiTheme="minorHAnsi" w:eastAsiaTheme="minorEastAsia" w:hAnsiTheme="minorHAnsi" w:cstheme="minorBidi"/>
          <w:szCs w:val="22"/>
        </w:rPr>
      </w:pPr>
      <w:r>
        <w:t>2A.</w:t>
      </w:r>
      <w:r>
        <w:tab/>
        <w:t>Regulations operate as local laws</w:t>
      </w:r>
      <w:r>
        <w:tab/>
      </w:r>
      <w:r>
        <w:fldChar w:fldCharType="begin"/>
      </w:r>
      <w:r>
        <w:instrText xml:space="preserve"> PAGEREF _Toc461177910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blood</w:t>
      </w:r>
      <w:r>
        <w:tab/>
      </w:r>
      <w:r>
        <w:fldChar w:fldCharType="begin"/>
      </w:r>
      <w:r>
        <w:instrText xml:space="preserve"> PAGEREF _Toc461177911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blood without declaration</w:t>
      </w:r>
      <w:r>
        <w:tab/>
      </w:r>
      <w:r>
        <w:fldChar w:fldCharType="begin"/>
      </w:r>
      <w:r>
        <w:instrText xml:space="preserve"> PAGEREF _Toc461177912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to be required from donor</w:t>
      </w:r>
      <w:r>
        <w:tab/>
      </w:r>
      <w:r>
        <w:fldChar w:fldCharType="begin"/>
      </w:r>
      <w:r>
        <w:instrText xml:space="preserve"> PAGEREF _Toc461177913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 authorised to permit declarations to be made</w:t>
      </w:r>
      <w:r>
        <w:tab/>
      </w:r>
      <w:r>
        <w:fldChar w:fldCharType="begin"/>
      </w:r>
      <w:r>
        <w:instrText xml:space="preserve"> PAGEREF _Toc461177914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declaration</w:t>
      </w:r>
      <w:r>
        <w:tab/>
      </w:r>
      <w:r>
        <w:fldChar w:fldCharType="begin"/>
      </w:r>
      <w:r>
        <w:instrText xml:space="preserve"> PAGEREF _Toc461177915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w:t>
      </w:r>
      <w:r>
        <w:tab/>
      </w:r>
      <w:r>
        <w:fldChar w:fldCharType="begin"/>
      </w:r>
      <w:r>
        <w:instrText xml:space="preserve"> PAGEREF _Toc461177916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Blood donor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_Toc461177919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Health (Miscellaneous Provisions) Act 1911</w:t>
      </w:r>
    </w:p>
    <w:p>
      <w:pPr>
        <w:pStyle w:val="NameofActReg"/>
        <w:spacing w:before="360"/>
      </w:pPr>
      <w:r>
        <w:t>Blood and Tissue (Transmissible Diseases) Regulations 1985</w:t>
      </w:r>
    </w:p>
    <w:p>
      <w:pPr>
        <w:pStyle w:val="Heading5"/>
        <w:rPr>
          <w:snapToGrid w:val="0"/>
        </w:rPr>
      </w:pPr>
      <w:bookmarkStart w:id="3" w:name="_Toc404677849"/>
      <w:bookmarkStart w:id="4" w:name="_Toc46117790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5" w:name="_Toc404677850"/>
      <w:bookmarkStart w:id="6" w:name="_Toc461177910"/>
      <w:r>
        <w:rPr>
          <w:rStyle w:val="CharSectno"/>
        </w:rPr>
        <w:t>2A</w:t>
      </w:r>
      <w:r>
        <w:t>.</w:t>
      </w:r>
      <w:r>
        <w:tab/>
        <w:t>Regulations operate as local laws</w:t>
      </w:r>
      <w:bookmarkEnd w:id="5"/>
      <w:bookmarkEnd w:id="6"/>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7" w:name="_Toc404677851"/>
      <w:bookmarkStart w:id="8" w:name="_Toc461177911"/>
      <w:r>
        <w:rPr>
          <w:rStyle w:val="CharSectno"/>
        </w:rPr>
        <w:t>2</w:t>
      </w:r>
      <w:r>
        <w:rPr>
          <w:snapToGrid w:val="0"/>
        </w:rPr>
        <w:t>.</w:t>
      </w:r>
      <w:r>
        <w:rPr>
          <w:snapToGrid w:val="0"/>
        </w:rPr>
        <w:tab/>
        <w:t>Term used: blood</w:t>
      </w:r>
      <w:bookmarkEnd w:id="7"/>
      <w:bookmarkEnd w:id="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9" w:name="_Toc404677852"/>
      <w:bookmarkStart w:id="10" w:name="_Toc461177912"/>
      <w:r>
        <w:rPr>
          <w:rStyle w:val="CharSectno"/>
        </w:rPr>
        <w:t>3</w:t>
      </w:r>
      <w:r>
        <w:rPr>
          <w:snapToGrid w:val="0"/>
        </w:rPr>
        <w:t>.</w:t>
      </w:r>
      <w:r>
        <w:rPr>
          <w:snapToGrid w:val="0"/>
        </w:rPr>
        <w:tab/>
        <w:t>Taking of blood without declaration</w:t>
      </w:r>
      <w:bookmarkEnd w:id="9"/>
      <w:bookmarkEnd w:id="10"/>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11" w:name="_Toc404677853"/>
      <w:bookmarkStart w:id="12" w:name="_Toc461177913"/>
      <w:r>
        <w:rPr>
          <w:rStyle w:val="CharSectno"/>
        </w:rPr>
        <w:t>4</w:t>
      </w:r>
      <w:r>
        <w:rPr>
          <w:snapToGrid w:val="0"/>
        </w:rPr>
        <w:t>.</w:t>
      </w:r>
      <w:r>
        <w:rPr>
          <w:snapToGrid w:val="0"/>
        </w:rPr>
        <w:tab/>
        <w:t>Declaration to be required from donor</w:t>
      </w:r>
      <w:bookmarkEnd w:id="11"/>
      <w:bookmarkEnd w:id="12"/>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3" w:name="_Toc404677854"/>
      <w:bookmarkStart w:id="14" w:name="_Toc461177914"/>
      <w:r>
        <w:rPr>
          <w:rStyle w:val="CharSectno"/>
        </w:rPr>
        <w:t>5</w:t>
      </w:r>
      <w:r>
        <w:rPr>
          <w:snapToGrid w:val="0"/>
        </w:rPr>
        <w:t>.</w:t>
      </w:r>
      <w:r>
        <w:rPr>
          <w:snapToGrid w:val="0"/>
        </w:rPr>
        <w:tab/>
        <w:t>Person authorised to permit declarations to be made</w:t>
      </w:r>
      <w:bookmarkEnd w:id="13"/>
      <w:bookmarkEnd w:id="14"/>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15" w:name="_Toc404677855"/>
      <w:bookmarkStart w:id="16" w:name="_Toc461177915"/>
      <w:r>
        <w:rPr>
          <w:rStyle w:val="CharSectno"/>
        </w:rPr>
        <w:t>6</w:t>
      </w:r>
      <w:r>
        <w:rPr>
          <w:snapToGrid w:val="0"/>
        </w:rPr>
        <w:t>.</w:t>
      </w:r>
      <w:r>
        <w:rPr>
          <w:snapToGrid w:val="0"/>
        </w:rPr>
        <w:tab/>
        <w:t>Form of declaration</w:t>
      </w:r>
      <w:bookmarkEnd w:id="15"/>
      <w:bookmarkEnd w:id="16"/>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17" w:name="_Toc404677856"/>
      <w:bookmarkStart w:id="18" w:name="_Toc461177916"/>
      <w:r>
        <w:rPr>
          <w:rStyle w:val="CharSectno"/>
        </w:rPr>
        <w:t>7</w:t>
      </w:r>
      <w:r>
        <w:rPr>
          <w:snapToGrid w:val="0"/>
        </w:rPr>
        <w:t>.</w:t>
      </w:r>
      <w:r>
        <w:rPr>
          <w:snapToGrid w:val="0"/>
        </w:rPr>
        <w:tab/>
        <w:t>Offences</w:t>
      </w:r>
      <w:bookmarkEnd w:id="17"/>
      <w:bookmarkEnd w:id="18"/>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 w:name="_Toc404677857"/>
      <w:bookmarkStart w:id="20" w:name="_Toc415055558"/>
      <w:bookmarkStart w:id="21" w:name="_Toc415055594"/>
      <w:bookmarkStart w:id="22" w:name="_Toc445468630"/>
      <w:bookmarkStart w:id="23" w:name="_Toc445468665"/>
      <w:bookmarkStart w:id="24" w:name="_Toc461177917"/>
      <w:r>
        <w:rPr>
          <w:rStyle w:val="CharSchNo"/>
        </w:rPr>
        <w:t>Schedule 1</w:t>
      </w:r>
      <w:r>
        <w:rPr>
          <w:rStyle w:val="CharSDivNo"/>
        </w:rPr>
        <w:t> </w:t>
      </w:r>
      <w:r>
        <w:t>—</w:t>
      </w:r>
      <w:r>
        <w:rPr>
          <w:rStyle w:val="CharSDivText"/>
        </w:rPr>
        <w:t> </w:t>
      </w:r>
      <w:r>
        <w:rPr>
          <w:rStyle w:val="CharSchText"/>
        </w:rPr>
        <w:t>Blood donor declaration</w:t>
      </w:r>
      <w:bookmarkEnd w:id="19"/>
      <w:bookmarkEnd w:id="20"/>
      <w:bookmarkEnd w:id="21"/>
      <w:bookmarkEnd w:id="22"/>
      <w:bookmarkEnd w:id="23"/>
      <w:bookmarkEnd w:id="24"/>
    </w:p>
    <w:p>
      <w:pPr>
        <w:pStyle w:val="yShoulderClause"/>
      </w:pPr>
      <w:r>
        <w:t>[r. 6]</w:t>
      </w:r>
    </w:p>
    <w:p>
      <w:pPr>
        <w:pStyle w:val="yFootnoteheading"/>
      </w:pPr>
      <w:r>
        <w:tab/>
        <w:t xml:space="preserve">[Heading inserted in Gazette 22 May 2012 p. 2164.] </w:t>
      </w:r>
    </w:p>
    <w:p>
      <w:pPr>
        <w:pStyle w:val="yMiscellaneousBody"/>
      </w:pPr>
      <w:r>
        <w:t xml:space="preserve">There are some people who MUST NOT give blood as it may transmit infections to </w:t>
      </w:r>
      <w:r>
        <w:rPr>
          <w:szCs w:val="22"/>
        </w:rPr>
        <w:t>those who receive it.</w:t>
      </w:r>
      <w:r>
        <w:t xml:space="preserve">  To determine if your blood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Donations of blood are tested for hepatitis B, hepatitis C and HIV (AIDS virus).  Donations are also tested for HTLV (human T</w:t>
      </w:r>
      <w:r>
        <w:noBreakHyphen/>
        <w:t>lymphotropic virus) and syphilis, unless the donation is allocated solely to making externally manufactured plasma products.  If your blood tests positive for any of these conditions, or shows a significantly abnormal result, we will notify you.</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pPr>
            <w:r>
              <w:br/>
            </w:r>
            <w:r>
              <w:sym w:font="Wingdings" w:char="F0A8"/>
            </w:r>
            <w:r>
              <w:t xml:space="preserve"> Yes</w:t>
            </w:r>
            <w:r>
              <w:tab/>
            </w:r>
            <w:r>
              <w:sym w:font="Wingdings" w:char="F0A8"/>
            </w:r>
            <w:r>
              <w:t xml:space="preserve"> No</w:t>
            </w:r>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4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 xml:space="preserve">We would like you to </w:t>
      </w:r>
      <w:r>
        <w:rPr>
          <w:szCs w:val="22"/>
        </w:rPr>
        <w:t>initial and sign this declaration as indicated</w:t>
      </w:r>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r>
        <w:rPr>
          <w:szCs w:val="22"/>
        </w:rPr>
        <w:t>or you are diagnosed or hospitalised with a serious infection within 2 months after donating,</w:t>
      </w:r>
      <w:r>
        <w:t xml:space="preserve">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t>•</w:t>
            </w:r>
            <w:r>
              <w:tab/>
              <w: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t>
            </w:r>
            <w:r>
              <w:rPr>
                <w:szCs w:val="22"/>
              </w:rPr>
              <w:t xml:space="preserve">Please initial: </w:t>
            </w:r>
          </w:p>
          <w:p>
            <w:pPr>
              <w:pStyle w:val="yTableNAm"/>
              <w:tabs>
                <w:tab w:val="clear" w:pos="567"/>
                <w:tab w:val="left" w:pos="600"/>
              </w:tabs>
              <w:ind w:left="600" w:hanging="60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t>•</w:t>
            </w:r>
            <w:r>
              <w:tab/>
              <w: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t>
            </w:r>
            <w:r>
              <w:rPr>
                <w:szCs w:val="22"/>
              </w:rPr>
              <w:t>Please initial:</w:t>
            </w:r>
            <w:r>
              <w:rPr>
                <w:noProof/>
              </w:rPr>
              <w:t xml:space="preserve"> </w:t>
            </w:r>
          </w:p>
        </w:tc>
      </w:tr>
      <w:tr>
        <w:trPr>
          <w:cantSplit/>
          <w:trHeight w:val="285"/>
        </w:trPr>
        <w:tc>
          <w:tcPr>
            <w:tcW w:w="3784" w:type="dxa"/>
            <w:tcBorders>
              <w:top w:val="nil"/>
            </w:tcBorders>
          </w:tcPr>
          <w:p>
            <w:pPr>
              <w:pStyle w:val="yTableNAm"/>
              <w:keepNext/>
            </w:pPr>
            <w:r>
              <w:rPr>
                <w:b/>
              </w:rPr>
              <w:t>Donor</w:t>
            </w:r>
          </w:p>
        </w:tc>
        <w:tc>
          <w:tcPr>
            <w:tcW w:w="3260" w:type="dxa"/>
            <w:tcBorders>
              <w:top w:val="nil"/>
            </w:tcBorders>
          </w:tcPr>
          <w:p>
            <w:pPr>
              <w:pStyle w:val="yTableNAm"/>
              <w:keepNext/>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 11 Mar 2016 p. 681</w:t>
      </w:r>
      <w:r>
        <w:noBreakHyphen/>
        <w:t>2; 9 Sep 2016 p. 3885.]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6" w:name="_Toc404677858"/>
      <w:bookmarkStart w:id="27" w:name="_Toc415055559"/>
      <w:bookmarkStart w:id="28" w:name="_Toc415055595"/>
      <w:bookmarkStart w:id="29" w:name="_Toc445468631"/>
      <w:bookmarkStart w:id="30" w:name="_Toc445468666"/>
      <w:bookmarkStart w:id="31" w:name="_Toc461177918"/>
      <w:r>
        <w:t>Notes</w:t>
      </w:r>
      <w:bookmarkEnd w:id="26"/>
      <w:bookmarkEnd w:id="27"/>
      <w:bookmarkEnd w:id="28"/>
      <w:bookmarkEnd w:id="29"/>
      <w:bookmarkEnd w:id="30"/>
      <w:bookmarkEnd w:id="31"/>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32" w:name="_Toc404677859"/>
      <w:bookmarkStart w:id="33" w:name="_Toc461177919"/>
      <w:r>
        <w:rPr>
          <w:snapToGrid w:val="0"/>
        </w:rPr>
        <w:t>Compilation table</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c>
          <w:tcPr>
            <w:tcW w:w="3118" w:type="dxa"/>
            <w:tcBorders>
              <w:bottom w:val="single" w:sz="4" w:space="0" w:color="auto"/>
            </w:tcBorders>
          </w:tcPr>
          <w:p>
            <w:pPr>
              <w:pStyle w:val="nTable"/>
              <w:spacing w:before="30" w:after="30"/>
              <w:rPr>
                <w:i/>
              </w:rPr>
            </w:pPr>
            <w:r>
              <w:rPr>
                <w:i/>
              </w:rPr>
              <w:t>Blood and Tissue (Transmissible Diseases) Amendment Regulations (No. 2) 2016</w:t>
            </w:r>
          </w:p>
        </w:tc>
        <w:tc>
          <w:tcPr>
            <w:tcW w:w="1276" w:type="dxa"/>
            <w:tcBorders>
              <w:bottom w:val="single" w:sz="4" w:space="0" w:color="auto"/>
            </w:tcBorders>
          </w:tcPr>
          <w:p>
            <w:pPr>
              <w:pStyle w:val="nTable"/>
              <w:spacing w:before="30" w:after="30"/>
            </w:pPr>
            <w:r>
              <w:t>9 Sep 2016 p. 3885</w:t>
            </w:r>
          </w:p>
        </w:tc>
        <w:tc>
          <w:tcPr>
            <w:tcW w:w="2693" w:type="dxa"/>
            <w:tcBorders>
              <w:bottom w:val="single" w:sz="4" w:space="0" w:color="auto"/>
            </w:tcBorders>
          </w:tcPr>
          <w:p>
            <w:pPr>
              <w:pStyle w:val="nTable"/>
              <w:spacing w:before="30" w:after="30"/>
              <w:rPr>
                <w:snapToGrid w:val="0"/>
              </w:rPr>
            </w:pPr>
            <w:r>
              <w:rPr>
                <w:rFonts w:ascii="Times" w:hAnsi="Times"/>
                <w:bCs/>
                <w:snapToGrid w:val="0"/>
                <w:spacing w:val="-2"/>
              </w:rPr>
              <w:t>r. 1 and 2: 9 Sep 2016 (see r. 2(a));</w:t>
            </w:r>
            <w:r>
              <w:rPr>
                <w:rFonts w:ascii="Times" w:hAnsi="Times"/>
                <w:bCs/>
                <w:snapToGrid w:val="0"/>
                <w:spacing w:val="-2"/>
              </w:rPr>
              <w:br/>
              <w:t>Regulations other than r. 1 and 2: 11 Sep 2016 (see r. 2(b))</w:t>
            </w:r>
          </w:p>
        </w:tc>
      </w:tr>
    </w:tbl>
    <w:p>
      <w:pPr>
        <w:rPr>
          <w:sz w:val="16"/>
          <w:szCs w:val="16"/>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5" w:name="_Toc415055597"/>
      <w:bookmarkStart w:id="36" w:name="_Toc445468633"/>
      <w:bookmarkStart w:id="37" w:name="_Toc445468668"/>
      <w:bookmarkStart w:id="38" w:name="_Toc461177920"/>
      <w:r>
        <w:rPr>
          <w:sz w:val="28"/>
        </w:rPr>
        <w:t>Defined terms</w:t>
      </w:r>
      <w:bookmarkEnd w:id="35"/>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blood</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2762-5EE8-4882-B5D7-0B7FBB33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2237</Words>
  <Characters>10676</Characters>
  <Application>Microsoft Office Word</Application>
  <DocSecurity>0</DocSecurity>
  <Lines>395</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1985 - 02-c0-01</dc:title>
  <dc:subject/>
  <dc:creator/>
  <cp:keywords/>
  <dc:description/>
  <cp:lastModifiedBy>svcMRProcess</cp:lastModifiedBy>
  <cp:revision>4</cp:revision>
  <cp:lastPrinted>2014-11-20T03:21:00Z</cp:lastPrinted>
  <dcterms:created xsi:type="dcterms:W3CDTF">2017-04-19T01:57:00Z</dcterms:created>
  <dcterms:modified xsi:type="dcterms:W3CDTF">2017-04-19T01:57:00Z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AsAtDate">
    <vt:lpwstr>11 Sep 2016</vt:lpwstr>
  </property>
  <property fmtid="{D5CDD505-2E9C-101B-9397-08002B2CF9AE}" pid="8" name="Suffix">
    <vt:lpwstr>02-c0-01</vt:lpwstr>
  </property>
  <property fmtid="{D5CDD505-2E9C-101B-9397-08002B2CF9AE}" pid="9" name="CommencementDate">
    <vt:lpwstr>20160911</vt:lpwstr>
  </property>
</Properties>
</file>