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Act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September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_Toc472001115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_Toc472001116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_Toc472001117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_Toc472001118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_Toc472001119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State Housing Authority</w:t>
      </w:r>
      <w:r>
        <w:rPr>
          <w:b w:val="0"/>
          <w:vertAlign w:val="superscript"/>
        </w:rPr>
        <w:t xml:space="preserve"> </w:t>
      </w:r>
    </w:p>
    <w:p>
      <w:pPr>
        <w:pStyle w:val="TOC4"/>
        <w:tabs>
          <w:tab w:val="right" w:leader="dot" w:pos="7077"/>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_Toc472001122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_Toc472001123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_Toc472001124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_Toc472001125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_Toc472001127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_Toc472001128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_Toc472001129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_Toc472001130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_Toc472001131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_Toc472001132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_Toc472001133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_Toc472001134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_Toc472001135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_Toc472001137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_Toc472001138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_Toc472001139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_Toc472001142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_Toc472001143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_Toc472001144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_Toc472001145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_Toc472001146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_Toc472001147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_Toc472001149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_Toc472001150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_Toc472001151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_Toc472001153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_Toc472001154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_Toc472001155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_Toc472001156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_Toc472001158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_Toc472001159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_Toc472001160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_Toc472001163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_Toc472001164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_Toc472001165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_Toc472001166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_Toc472001167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_Toc472001168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_Toc472001169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_Toc472001170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_Toc472001171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_Toc472001172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_Toc472001173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_Toc472001175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_Toc472001176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_Toc472001179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powers of Minister and </w:t>
      </w:r>
      <w:r>
        <w:t>Authority</w:t>
      </w:r>
      <w:r>
        <w:tab/>
      </w:r>
      <w:r>
        <w:fldChar w:fldCharType="begin"/>
      </w:r>
      <w:r>
        <w:instrText xml:space="preserve"> PAGEREF _Toc472001180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_Toc472001181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_Toc472001182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_Toc472001184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_Toc472001185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_Toc472001186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_Toc472001187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_Toc472001188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_Toc472001189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_Toc472001190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_Toc472001191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_Toc472001193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_Toc472001194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_Toc472001197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_Toc472001199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_Toc472001200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_Toc472001201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_Toc472001202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_Toc472001203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_Toc472001204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_Toc472001205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_Toc472001206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_Toc472001207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_Toc472001208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_Toc472001210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_Toc472001211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_Toc472001213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_Toc472001214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_Toc472001215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_Toc472001216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_Toc472001218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_Toc472001219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_Toc472001220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_Toc472001221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_Toc472001222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_Toc472001223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_Toc472001225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_Toc472001226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_Toc472001227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_Toc472001228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_Toc472001229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_Toc472001230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_Toc472001231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_Toc472001233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_Toc472001234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September 2016</w:t>
            </w:r>
          </w:p>
        </w:tc>
      </w:tr>
    </w:tbl>
    <w:p>
      <w:pPr>
        <w:pStyle w:val="WA"/>
        <w:spacing w:before="12"/>
      </w:pPr>
      <w:r>
        <w:t>Western Australia</w:t>
      </w:r>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3" w:name="_Toc471906323"/>
      <w:bookmarkStart w:id="4" w:name="_Toc472000992"/>
      <w:bookmarkStart w:id="5" w:name="_Toc47200111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200111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7" w:name="_Toc47200111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472001117"/>
      <w:r>
        <w:rPr>
          <w:rStyle w:val="CharSectno"/>
        </w:rPr>
        <w:t>3</w:t>
      </w:r>
      <w:r>
        <w:rPr>
          <w:snapToGrid w:val="0"/>
        </w:rPr>
        <w:t>.</w:t>
      </w:r>
      <w:r>
        <w:rPr>
          <w:snapToGrid w:val="0"/>
        </w:rPr>
        <w:tab/>
        <w:t>Repeal</w:t>
      </w:r>
      <w:bookmarkEnd w:id="8"/>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9" w:name="_Toc472001118"/>
      <w:r>
        <w:rPr>
          <w:rStyle w:val="CharSectno"/>
        </w:rPr>
        <w:t>4</w:t>
      </w:r>
      <w:r>
        <w:rPr>
          <w:snapToGrid w:val="0"/>
        </w:rPr>
        <w:t>.</w:t>
      </w:r>
      <w:r>
        <w:rPr>
          <w:snapToGrid w:val="0"/>
        </w:rPr>
        <w:tab/>
        <w:t>Objects</w:t>
      </w:r>
      <w:bookmarkEnd w:id="9"/>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pageBreakBefore/>
        <w:spacing w:before="0"/>
        <w:rPr>
          <w:snapToGrid w:val="0"/>
        </w:rPr>
      </w:pPr>
      <w:bookmarkStart w:id="10" w:name="_Toc472001119"/>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11" w:name="_Toc471906329"/>
      <w:bookmarkStart w:id="12" w:name="_Toc472000998"/>
      <w:bookmarkStart w:id="13" w:name="_Toc472001120"/>
      <w:r>
        <w:rPr>
          <w:rStyle w:val="CharPartNo"/>
        </w:rPr>
        <w:t>Part II</w:t>
      </w:r>
      <w:r>
        <w:t> — </w:t>
      </w:r>
      <w:r>
        <w:rPr>
          <w:rStyle w:val="CharPartText"/>
        </w:rPr>
        <w:t>The State Housing Authority</w:t>
      </w:r>
      <w:r>
        <w:rPr>
          <w:b w:val="0"/>
          <w:vertAlign w:val="superscript"/>
        </w:rPr>
        <w:t xml:space="preserve"> 2</w:t>
      </w:r>
      <w:bookmarkEnd w:id="11"/>
      <w:bookmarkEnd w:id="12"/>
      <w:bookmarkEnd w:id="13"/>
    </w:p>
    <w:p>
      <w:pPr>
        <w:pStyle w:val="Footnoteheading"/>
      </w:pPr>
      <w:r>
        <w:tab/>
        <w:t>[Heading amended by No. 28 of 2006 s. 312.]</w:t>
      </w:r>
    </w:p>
    <w:p>
      <w:pPr>
        <w:pStyle w:val="Heading3"/>
      </w:pPr>
      <w:bookmarkStart w:id="14" w:name="_Toc471906330"/>
      <w:bookmarkStart w:id="15" w:name="_Toc472000999"/>
      <w:bookmarkStart w:id="16" w:name="_Toc472001121"/>
      <w:r>
        <w:rPr>
          <w:rStyle w:val="CharDivNo"/>
        </w:rPr>
        <w:t>Division 1</w:t>
      </w:r>
      <w:r>
        <w:t> — </w:t>
      </w:r>
      <w:r>
        <w:rPr>
          <w:rStyle w:val="CharDivText"/>
        </w:rPr>
        <w:t>The Housing Authority</w:t>
      </w:r>
      <w:bookmarkEnd w:id="14"/>
      <w:bookmarkEnd w:id="15"/>
      <w:bookmarkEnd w:id="16"/>
    </w:p>
    <w:p>
      <w:pPr>
        <w:pStyle w:val="Footnoteheading"/>
      </w:pPr>
      <w:r>
        <w:tab/>
        <w:t>[Heading inserted by No. 28 of 2006 s. 313.]</w:t>
      </w:r>
    </w:p>
    <w:p>
      <w:pPr>
        <w:pStyle w:val="Heading5"/>
        <w:ind w:left="0" w:firstLine="0"/>
        <w:rPr>
          <w:snapToGrid w:val="0"/>
        </w:rPr>
      </w:pPr>
      <w:bookmarkStart w:id="17" w:name="_Toc472001122"/>
      <w:r>
        <w:rPr>
          <w:rStyle w:val="CharSectno"/>
        </w:rPr>
        <w:t>6</w:t>
      </w:r>
      <w:r>
        <w:rPr>
          <w:snapToGrid w:val="0"/>
        </w:rPr>
        <w:t>.</w:t>
      </w:r>
      <w:r>
        <w:rPr>
          <w:snapToGrid w:val="0"/>
        </w:rPr>
        <w:tab/>
        <w:t>The Housing Authority</w:t>
      </w:r>
      <w:bookmarkEnd w:id="17"/>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r>
        <w:rPr>
          <w:vertAlign w:val="superscript"/>
        </w:rPr>
        <w:t> 1</w:t>
      </w:r>
      <w:r>
        <w:t>.</w:t>
      </w:r>
    </w:p>
    <w:p>
      <w:pPr>
        <w:pStyle w:val="Footnotesection"/>
      </w:pPr>
      <w:r>
        <w:tab/>
        <w:t>[Section 6 amended by No. 28 of 2006 s. 314 and 332; No. 17 of 2014 s. 26.]</w:t>
      </w:r>
    </w:p>
    <w:p>
      <w:pPr>
        <w:pStyle w:val="Heading5"/>
        <w:rPr>
          <w:snapToGrid w:val="0"/>
        </w:rPr>
      </w:pPr>
      <w:bookmarkStart w:id="18" w:name="_Toc472001123"/>
      <w:r>
        <w:rPr>
          <w:rStyle w:val="CharSectno"/>
        </w:rPr>
        <w:t>7</w:t>
      </w:r>
      <w:r>
        <w:rPr>
          <w:snapToGrid w:val="0"/>
        </w:rPr>
        <w:t>.</w:t>
      </w:r>
      <w:r>
        <w:rPr>
          <w:snapToGrid w:val="0"/>
        </w:rPr>
        <w:tab/>
        <w:t>Authority a body corporate and Crown agency</w:t>
      </w:r>
      <w:bookmarkEnd w:id="18"/>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19" w:name="_Toc472001124"/>
      <w:r>
        <w:rPr>
          <w:rStyle w:val="CharSectno"/>
        </w:rPr>
        <w:t>8</w:t>
      </w:r>
      <w:r>
        <w:t>.</w:t>
      </w:r>
      <w:r>
        <w:tab/>
        <w:t>Authority to be an SES organisation</w:t>
      </w:r>
      <w:bookmarkEnd w:id="19"/>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20" w:name="_Toc472001125"/>
      <w:r>
        <w:rPr>
          <w:rStyle w:val="CharSectno"/>
        </w:rPr>
        <w:t>9</w:t>
      </w:r>
      <w:r>
        <w:t>.</w:t>
      </w:r>
      <w:r>
        <w:tab/>
        <w:t>Management</w:t>
      </w:r>
      <w:bookmarkEnd w:id="2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21" w:name="_Toc471906335"/>
      <w:bookmarkStart w:id="22" w:name="_Toc472001004"/>
      <w:bookmarkStart w:id="23" w:name="_Toc472001126"/>
      <w:r>
        <w:rPr>
          <w:rStyle w:val="CharDivNo"/>
        </w:rPr>
        <w:t>Division 2</w:t>
      </w:r>
      <w:r>
        <w:rPr>
          <w:snapToGrid w:val="0"/>
        </w:rPr>
        <w:t> — </w:t>
      </w:r>
      <w:r>
        <w:rPr>
          <w:rStyle w:val="CharDivText"/>
        </w:rPr>
        <w:t>Powers and functions of the Authority generally</w:t>
      </w:r>
      <w:bookmarkEnd w:id="21"/>
      <w:bookmarkEnd w:id="22"/>
      <w:bookmarkEnd w:id="23"/>
    </w:p>
    <w:p>
      <w:pPr>
        <w:pStyle w:val="Footnoteheading"/>
        <w:spacing w:before="100"/>
      </w:pPr>
      <w:r>
        <w:tab/>
        <w:t>[Heading amended by No. 28 of 2006 s. 317.]</w:t>
      </w:r>
    </w:p>
    <w:p>
      <w:pPr>
        <w:pStyle w:val="Heading5"/>
        <w:spacing w:before="180"/>
        <w:rPr>
          <w:snapToGrid w:val="0"/>
        </w:rPr>
      </w:pPr>
      <w:bookmarkStart w:id="24" w:name="_Toc472001127"/>
      <w:r>
        <w:rPr>
          <w:rStyle w:val="CharSectno"/>
        </w:rPr>
        <w:t>11</w:t>
      </w:r>
      <w:r>
        <w:rPr>
          <w:snapToGrid w:val="0"/>
        </w:rPr>
        <w:t>.</w:t>
      </w:r>
      <w:r>
        <w:rPr>
          <w:snapToGrid w:val="0"/>
        </w:rPr>
        <w:tab/>
        <w:t>Authority to implement housing Acts</w:t>
      </w:r>
      <w:bookmarkEnd w:id="24"/>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25" w:name="_Toc472001128"/>
      <w:r>
        <w:rPr>
          <w:rStyle w:val="CharSectno"/>
        </w:rPr>
        <w:t>11A</w:t>
      </w:r>
      <w:r>
        <w:t>.</w:t>
      </w:r>
      <w:r>
        <w:tab/>
        <w:t>Minister may give directions</w:t>
      </w:r>
      <w:bookmarkEnd w:id="25"/>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keepNext w:val="0"/>
        <w:keepLines w:val="0"/>
        <w:spacing w:before="180"/>
      </w:pPr>
      <w:bookmarkStart w:id="26" w:name="_Toc472001129"/>
      <w:r>
        <w:rPr>
          <w:rStyle w:val="CharSectno"/>
        </w:rPr>
        <w:t>11B</w:t>
      </w:r>
      <w:r>
        <w:t>.</w:t>
      </w:r>
      <w:r>
        <w:tab/>
        <w:t>Minister to have access to information</w:t>
      </w:r>
      <w:bookmarkEnd w:id="26"/>
    </w:p>
    <w:p>
      <w:pPr>
        <w:pStyle w:val="Subsection"/>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8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180"/>
      </w:pPr>
      <w:r>
        <w:tab/>
        <w:t>(c)</w:t>
      </w:r>
      <w:r>
        <w:tab/>
        <w:t>for the purposes of paragraph (b) make use of the staff of the Authority to obtain the information and furnish it to the Minister.</w:t>
      </w:r>
    </w:p>
    <w:p>
      <w:pPr>
        <w:pStyle w:val="Subsection"/>
        <w:spacing w:before="180"/>
      </w:pPr>
      <w:r>
        <w:tab/>
        <w:t>(3)</w:t>
      </w:r>
      <w:r>
        <w:tab/>
        <w:t>The Authority has to comply with a request under subsection (2) and make staff and facilities available to the Minister for obtaining information under subsection (2)(c).</w:t>
      </w:r>
    </w:p>
    <w:p>
      <w:pPr>
        <w:pStyle w:val="Subsection"/>
        <w:spacing w:before="18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ind w:left="890" w:hanging="890"/>
      </w:pPr>
      <w:r>
        <w:tab/>
        <w:t>[Section 11B inserted by No. 28 of 2006 s. 319.]</w:t>
      </w:r>
    </w:p>
    <w:p>
      <w:pPr>
        <w:pStyle w:val="Heading5"/>
        <w:spacing w:before="240"/>
        <w:rPr>
          <w:snapToGrid w:val="0"/>
        </w:rPr>
      </w:pPr>
      <w:bookmarkStart w:id="27" w:name="_Toc472001130"/>
      <w:r>
        <w:rPr>
          <w:rStyle w:val="CharSectno"/>
        </w:rPr>
        <w:t>12</w:t>
      </w:r>
      <w:r>
        <w:rPr>
          <w:snapToGrid w:val="0"/>
        </w:rPr>
        <w:t>.</w:t>
      </w:r>
      <w:r>
        <w:rPr>
          <w:snapToGrid w:val="0"/>
        </w:rPr>
        <w:tab/>
        <w:t xml:space="preserve">General powers of </w:t>
      </w:r>
      <w:r>
        <w:t>Authority</w:t>
      </w:r>
      <w:bookmarkEnd w:id="27"/>
    </w:p>
    <w:p>
      <w:pPr>
        <w:pStyle w:val="Subsection"/>
        <w:spacing w:before="18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spacing w:before="120"/>
        <w:rPr>
          <w:snapToGrid w:val="0"/>
        </w:rPr>
      </w:pPr>
      <w:r>
        <w:rPr>
          <w:snapToGrid w:val="0"/>
        </w:rPr>
        <w:tab/>
      </w:r>
      <w:r>
        <w:rPr>
          <w:snapToGrid w:val="0"/>
        </w:rPr>
        <w:tab/>
        <w:t>and in particular, without limiting the generality of the foregoing —</w:t>
      </w:r>
    </w:p>
    <w:p>
      <w:pPr>
        <w:pStyle w:val="Indenta"/>
        <w:spacing w:before="60"/>
        <w:rPr>
          <w:snapToGrid w:val="0"/>
        </w:rPr>
      </w:pPr>
      <w:r>
        <w:rPr>
          <w:snapToGrid w:val="0"/>
        </w:rPr>
        <w:tab/>
        <w:t>(c)</w:t>
      </w:r>
      <w:r>
        <w:rPr>
          <w:snapToGrid w:val="0"/>
        </w:rPr>
        <w:tab/>
        <w:t>has power to acquire, hold, maintain, improve, exchange, lease and dispose of real and personal property; and</w:t>
      </w:r>
    </w:p>
    <w:p>
      <w:pPr>
        <w:pStyle w:val="Indenta"/>
        <w:spacing w:before="60"/>
        <w:rPr>
          <w:snapToGrid w:val="0"/>
        </w:rPr>
      </w:pPr>
      <w:r>
        <w:rPr>
          <w:snapToGrid w:val="0"/>
        </w:rPr>
        <w:tab/>
        <w:t>(d)</w:t>
      </w:r>
      <w:r>
        <w:rPr>
          <w:snapToGrid w:val="0"/>
        </w:rPr>
        <w:tab/>
        <w:t>has power to borrow and lend money; and</w:t>
      </w:r>
    </w:p>
    <w:p>
      <w:pPr>
        <w:pStyle w:val="Indenta"/>
        <w:spacing w:before="60"/>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spacing w:before="180"/>
      </w:pPr>
      <w:bookmarkStart w:id="28" w:name="_Toc472001131"/>
      <w:r>
        <w:rPr>
          <w:rStyle w:val="CharSectno"/>
        </w:rPr>
        <w:t>12A</w:t>
      </w:r>
      <w:r>
        <w:t>.</w:t>
      </w:r>
      <w:r>
        <w:tab/>
        <w:t>Joint ventures</w:t>
      </w:r>
      <w:bookmarkEnd w:id="28"/>
    </w:p>
    <w:p>
      <w:pPr>
        <w:pStyle w:val="Subsection"/>
        <w:spacing w:before="120"/>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spacing w:before="120"/>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spacing w:before="60"/>
      </w:pPr>
      <w:r>
        <w:tab/>
        <w:t>(a)</w:t>
      </w:r>
      <w:r>
        <w:tab/>
        <w:t>seek and maintain appropriate representation on a board or other body having responsibility for carrying out, managing or controlling the project; and</w:t>
      </w:r>
    </w:p>
    <w:p>
      <w:pPr>
        <w:pStyle w:val="Indenta"/>
        <w:spacing w:before="60"/>
      </w:pPr>
      <w:r>
        <w:tab/>
        <w:t>(b)</w:t>
      </w:r>
      <w:r>
        <w:tab/>
        <w:t>subject to any contract relating to the project —</w:t>
      </w:r>
    </w:p>
    <w:p>
      <w:pPr>
        <w:pStyle w:val="Indenti"/>
        <w:spacing w:before="60"/>
      </w:pPr>
      <w:r>
        <w:tab/>
        <w:t>(i)</w:t>
      </w:r>
      <w:r>
        <w:tab/>
        <w:t>receive contributions or other moneys relating to the project; and</w:t>
      </w:r>
    </w:p>
    <w:p>
      <w:pPr>
        <w:pStyle w:val="Indenti"/>
        <w:spacing w:before="60"/>
      </w:pPr>
      <w:r>
        <w:tab/>
        <w:t>(ii)</w:t>
      </w:r>
      <w:r>
        <w:tab/>
        <w:t>disburse or distribute, or arrange for the disbursement or distribution of, those contributions or other moneys.</w:t>
      </w:r>
    </w:p>
    <w:p>
      <w:pPr>
        <w:pStyle w:val="Subsection"/>
        <w:spacing w:before="120"/>
      </w:pPr>
      <w:r>
        <w:tab/>
        <w:t>(3)</w:t>
      </w:r>
      <w:r>
        <w:tab/>
        <w:t>The Authority can only enter into a joint venture arrangement —</w:t>
      </w:r>
    </w:p>
    <w:p>
      <w:pPr>
        <w:pStyle w:val="Indenta"/>
        <w:spacing w:before="60"/>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9" w:name="_Toc472001132"/>
      <w:r>
        <w:rPr>
          <w:rStyle w:val="CharSectno"/>
        </w:rPr>
        <w:t>13</w:t>
      </w:r>
      <w:r>
        <w:t>.</w:t>
      </w:r>
      <w:r>
        <w:tab/>
        <w:t>Delegation: powers and duties generally</w:t>
      </w:r>
      <w:bookmarkEnd w:id="29"/>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30" w:name="_Toc472001133"/>
      <w:r>
        <w:rPr>
          <w:rStyle w:val="CharSectno"/>
        </w:rPr>
        <w:t>14</w:t>
      </w:r>
      <w:r>
        <w:rPr>
          <w:snapToGrid w:val="0"/>
        </w:rPr>
        <w:t>.</w:t>
      </w:r>
      <w:r>
        <w:rPr>
          <w:snapToGrid w:val="0"/>
        </w:rPr>
        <w:tab/>
        <w:t>Advice and investigations</w:t>
      </w:r>
      <w:bookmarkEnd w:id="30"/>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31" w:name="_Toc472001134"/>
      <w:r>
        <w:rPr>
          <w:rStyle w:val="CharSectno"/>
        </w:rPr>
        <w:t>15</w:t>
      </w:r>
      <w:r>
        <w:rPr>
          <w:snapToGrid w:val="0"/>
        </w:rPr>
        <w:t>.</w:t>
      </w:r>
      <w:r>
        <w:rPr>
          <w:snapToGrid w:val="0"/>
        </w:rPr>
        <w:tab/>
        <w:t>Applications</w:t>
      </w:r>
      <w:bookmarkEnd w:id="31"/>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32" w:name="_Toc472001135"/>
      <w:r>
        <w:rPr>
          <w:rStyle w:val="CharSectno"/>
        </w:rPr>
        <w:t>16</w:t>
      </w:r>
      <w:r>
        <w:rPr>
          <w:snapToGrid w:val="0"/>
        </w:rPr>
        <w:t>.</w:t>
      </w:r>
      <w:r>
        <w:rPr>
          <w:snapToGrid w:val="0"/>
        </w:rPr>
        <w:tab/>
        <w:t>Assistance to and collaboration with other bodies</w:t>
      </w:r>
      <w:bookmarkEnd w:id="32"/>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rPr>
          <w:snapToGrid w:val="0"/>
        </w:rPr>
      </w:pPr>
      <w:r>
        <w:rPr>
          <w:snapToGrid w:val="0"/>
        </w:rPr>
        <w:tab/>
        <w:t>(a)</w:t>
      </w:r>
      <w:r>
        <w:rPr>
          <w:snapToGrid w:val="0"/>
        </w:rPr>
        <w:tab/>
        <w:t>granting financial aid or enabling financial aid to be obtained; or</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ind w:left="890" w:hanging="890"/>
      </w:pPr>
      <w:r>
        <w:tab/>
        <w:t>[Section 16 amended by No. 28 of 2006 s. 323 and 332.]</w:t>
      </w:r>
    </w:p>
    <w:p>
      <w:pPr>
        <w:pStyle w:val="Heading3"/>
        <w:spacing w:before="180"/>
      </w:pPr>
      <w:bookmarkStart w:id="33" w:name="_Toc471906345"/>
      <w:bookmarkStart w:id="34" w:name="_Toc472001014"/>
      <w:bookmarkStart w:id="35" w:name="_Toc472001136"/>
      <w:r>
        <w:rPr>
          <w:rStyle w:val="CharDivNo"/>
        </w:rPr>
        <w:t>Division 3</w:t>
      </w:r>
      <w:r>
        <w:rPr>
          <w:snapToGrid w:val="0"/>
        </w:rPr>
        <w:t> — </w:t>
      </w:r>
      <w:r>
        <w:rPr>
          <w:rStyle w:val="CharDivText"/>
        </w:rPr>
        <w:t>Staff of the Authority</w:t>
      </w:r>
      <w:bookmarkEnd w:id="33"/>
      <w:bookmarkEnd w:id="34"/>
      <w:bookmarkEnd w:id="35"/>
    </w:p>
    <w:p>
      <w:pPr>
        <w:pStyle w:val="Footnoteheading"/>
      </w:pPr>
      <w:r>
        <w:tab/>
        <w:t>[Heading amended by No. 28 of 2006 s. 324.]</w:t>
      </w:r>
    </w:p>
    <w:p>
      <w:pPr>
        <w:pStyle w:val="Heading5"/>
        <w:spacing w:before="180"/>
        <w:rPr>
          <w:snapToGrid w:val="0"/>
        </w:rPr>
      </w:pPr>
      <w:bookmarkStart w:id="36" w:name="_Toc472001137"/>
      <w:r>
        <w:rPr>
          <w:rStyle w:val="CharSectno"/>
        </w:rPr>
        <w:t>17</w:t>
      </w:r>
      <w:r>
        <w:rPr>
          <w:snapToGrid w:val="0"/>
        </w:rPr>
        <w:t>.</w:t>
      </w:r>
      <w:r>
        <w:rPr>
          <w:snapToGrid w:val="0"/>
        </w:rPr>
        <w:tab/>
        <w:t>Chief executive officer of Authority and other officers and employees</w:t>
      </w:r>
      <w:bookmarkEnd w:id="36"/>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37" w:name="_Toc472001138"/>
      <w:r>
        <w:rPr>
          <w:rStyle w:val="CharSectno"/>
        </w:rPr>
        <w:t>18</w:t>
      </w:r>
      <w:r>
        <w:rPr>
          <w:snapToGrid w:val="0"/>
        </w:rPr>
        <w:t>.</w:t>
      </w:r>
      <w:r>
        <w:rPr>
          <w:snapToGrid w:val="0"/>
        </w:rPr>
        <w:tab/>
        <w:t>Terms and conditions of employment of wages staff</w:t>
      </w:r>
      <w:bookmarkEnd w:id="37"/>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38" w:name="_Toc472001139"/>
      <w:r>
        <w:rPr>
          <w:rStyle w:val="CharSectno"/>
        </w:rPr>
        <w:t>18A</w:t>
      </w:r>
      <w:r>
        <w:t>.</w:t>
      </w:r>
      <w:r>
        <w:tab/>
        <w:t>Use of other staff and facilities</w:t>
      </w:r>
      <w:bookmarkEnd w:id="38"/>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39" w:name="_Toc471906349"/>
      <w:bookmarkStart w:id="40" w:name="_Toc472001018"/>
      <w:bookmarkStart w:id="41" w:name="_Toc472001140"/>
      <w:r>
        <w:rPr>
          <w:rStyle w:val="CharPartNo"/>
        </w:rPr>
        <w:t>Part III</w:t>
      </w:r>
      <w:r>
        <w:t> — </w:t>
      </w:r>
      <w:r>
        <w:rPr>
          <w:rStyle w:val="CharPartText"/>
        </w:rPr>
        <w:t>Acquisition, development and disposal of property</w:t>
      </w:r>
      <w:bookmarkEnd w:id="39"/>
      <w:bookmarkEnd w:id="40"/>
      <w:bookmarkEnd w:id="41"/>
    </w:p>
    <w:p>
      <w:pPr>
        <w:pStyle w:val="Heading3"/>
        <w:spacing w:before="220"/>
      </w:pPr>
      <w:bookmarkStart w:id="42" w:name="_Toc471906350"/>
      <w:bookmarkStart w:id="43" w:name="_Toc472001019"/>
      <w:bookmarkStart w:id="44" w:name="_Toc472001141"/>
      <w:r>
        <w:rPr>
          <w:rStyle w:val="CharDivNo"/>
        </w:rPr>
        <w:t>Division 1</w:t>
      </w:r>
      <w:r>
        <w:rPr>
          <w:snapToGrid w:val="0"/>
        </w:rPr>
        <w:t> — </w:t>
      </w:r>
      <w:r>
        <w:rPr>
          <w:rStyle w:val="CharDivText"/>
        </w:rPr>
        <w:t>Acquisition and development of property</w:t>
      </w:r>
      <w:bookmarkEnd w:id="42"/>
      <w:bookmarkEnd w:id="43"/>
      <w:bookmarkEnd w:id="44"/>
    </w:p>
    <w:p>
      <w:pPr>
        <w:pStyle w:val="Heading5"/>
        <w:spacing w:before="200"/>
        <w:rPr>
          <w:snapToGrid w:val="0"/>
        </w:rPr>
      </w:pPr>
      <w:bookmarkStart w:id="45" w:name="_Toc472001142"/>
      <w:r>
        <w:rPr>
          <w:rStyle w:val="CharSectno"/>
        </w:rPr>
        <w:t>19</w:t>
      </w:r>
      <w:r>
        <w:rPr>
          <w:snapToGrid w:val="0"/>
        </w:rPr>
        <w:t>.</w:t>
      </w:r>
      <w:r>
        <w:rPr>
          <w:snapToGrid w:val="0"/>
        </w:rPr>
        <w:tab/>
        <w:t>Acquisition of land</w:t>
      </w:r>
      <w:bookmarkEnd w:id="45"/>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46" w:name="_Toc472001143"/>
      <w:r>
        <w:rPr>
          <w:rStyle w:val="CharSectno"/>
        </w:rPr>
        <w:t>20</w:t>
      </w:r>
      <w:r>
        <w:rPr>
          <w:snapToGrid w:val="0"/>
        </w:rPr>
        <w:t>.</w:t>
      </w:r>
      <w:r>
        <w:rPr>
          <w:snapToGrid w:val="0"/>
        </w:rPr>
        <w:tab/>
        <w:t>Gifts</w:t>
      </w:r>
      <w:bookmarkEnd w:id="46"/>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47" w:name="_Toc472001144"/>
      <w:r>
        <w:rPr>
          <w:rStyle w:val="CharSectno"/>
        </w:rPr>
        <w:t>21</w:t>
      </w:r>
      <w:r>
        <w:rPr>
          <w:snapToGrid w:val="0"/>
        </w:rPr>
        <w:t>.</w:t>
      </w:r>
      <w:r>
        <w:rPr>
          <w:snapToGrid w:val="0"/>
        </w:rPr>
        <w:tab/>
        <w:t>Powers of local government</w:t>
      </w:r>
      <w:bookmarkEnd w:id="47"/>
    </w:p>
    <w:p>
      <w:pPr>
        <w:pStyle w:val="Subsection"/>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48" w:name="_Toc472001145"/>
      <w:r>
        <w:rPr>
          <w:rStyle w:val="CharSectno"/>
        </w:rPr>
        <w:t>22</w:t>
      </w:r>
      <w:r>
        <w:rPr>
          <w:snapToGrid w:val="0"/>
        </w:rPr>
        <w:t>.</w:t>
      </w:r>
      <w:r>
        <w:rPr>
          <w:snapToGrid w:val="0"/>
        </w:rPr>
        <w:tab/>
        <w:t>Powers in relation to development and management of land</w:t>
      </w:r>
      <w:bookmarkEnd w:id="48"/>
    </w:p>
    <w:p>
      <w:pPr>
        <w:pStyle w:val="Subsection"/>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49" w:name="_Toc472001146"/>
      <w:r>
        <w:rPr>
          <w:rStyle w:val="CharSectno"/>
        </w:rPr>
        <w:t>23</w:t>
      </w:r>
      <w:r>
        <w:rPr>
          <w:snapToGrid w:val="0"/>
        </w:rPr>
        <w:t>.</w:t>
      </w:r>
      <w:r>
        <w:rPr>
          <w:snapToGrid w:val="0"/>
        </w:rPr>
        <w:tab/>
        <w:t>Power to take lease</w:t>
      </w:r>
      <w:bookmarkEnd w:id="49"/>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ind w:left="890" w:hanging="890"/>
      </w:pPr>
      <w:r>
        <w:tab/>
        <w:t>[Section 23 amended No. 28 of 2006 s. 332.]</w:t>
      </w:r>
    </w:p>
    <w:p>
      <w:pPr>
        <w:pStyle w:val="Heading5"/>
        <w:keepNext w:val="0"/>
        <w:keepLines w:val="0"/>
        <w:rPr>
          <w:snapToGrid w:val="0"/>
        </w:rPr>
      </w:pPr>
      <w:bookmarkStart w:id="50" w:name="_Toc472001147"/>
      <w:r>
        <w:rPr>
          <w:rStyle w:val="CharSectno"/>
        </w:rPr>
        <w:t>24</w:t>
      </w:r>
      <w:r>
        <w:rPr>
          <w:snapToGrid w:val="0"/>
        </w:rPr>
        <w:t>.</w:t>
      </w:r>
      <w:r>
        <w:rPr>
          <w:snapToGrid w:val="0"/>
        </w:rPr>
        <w:tab/>
        <w:t>Payment of rates to local government</w:t>
      </w:r>
      <w:bookmarkEnd w:id="50"/>
    </w:p>
    <w:p>
      <w:pPr>
        <w:pStyle w:val="Subsection"/>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51" w:name="_Toc471906357"/>
      <w:bookmarkStart w:id="52" w:name="_Toc472001026"/>
      <w:bookmarkStart w:id="53" w:name="_Toc472001148"/>
      <w:r>
        <w:rPr>
          <w:rStyle w:val="CharDivNo"/>
        </w:rPr>
        <w:t>Division 2</w:t>
      </w:r>
      <w:r>
        <w:rPr>
          <w:snapToGrid w:val="0"/>
        </w:rPr>
        <w:t> — </w:t>
      </w:r>
      <w:r>
        <w:rPr>
          <w:rStyle w:val="CharDivText"/>
        </w:rPr>
        <w:t>Dealings with property generally</w:t>
      </w:r>
      <w:bookmarkEnd w:id="51"/>
      <w:bookmarkEnd w:id="52"/>
      <w:bookmarkEnd w:id="53"/>
    </w:p>
    <w:p>
      <w:pPr>
        <w:pStyle w:val="Heading5"/>
        <w:rPr>
          <w:snapToGrid w:val="0"/>
        </w:rPr>
      </w:pPr>
      <w:bookmarkStart w:id="54" w:name="_Toc472001149"/>
      <w:r>
        <w:rPr>
          <w:rStyle w:val="CharSectno"/>
        </w:rPr>
        <w:t>25</w:t>
      </w:r>
      <w:r>
        <w:rPr>
          <w:snapToGrid w:val="0"/>
        </w:rPr>
        <w:t>.</w:t>
      </w:r>
      <w:r>
        <w:rPr>
          <w:snapToGrid w:val="0"/>
        </w:rPr>
        <w:tab/>
        <w:t>Power to lease</w:t>
      </w:r>
      <w:bookmarkEnd w:id="54"/>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55" w:name="_Toc472001150"/>
      <w:r>
        <w:rPr>
          <w:rStyle w:val="CharSectno"/>
        </w:rPr>
        <w:t>26</w:t>
      </w:r>
      <w:r>
        <w:rPr>
          <w:snapToGrid w:val="0"/>
        </w:rPr>
        <w:t>.</w:t>
      </w:r>
      <w:r>
        <w:rPr>
          <w:snapToGrid w:val="0"/>
        </w:rPr>
        <w:tab/>
        <w:t>Power to sell</w:t>
      </w:r>
      <w:bookmarkEnd w:id="55"/>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56" w:name="_Toc472001151"/>
      <w:r>
        <w:rPr>
          <w:rStyle w:val="CharSectno"/>
        </w:rPr>
        <w:t>27</w:t>
      </w:r>
      <w:r>
        <w:rPr>
          <w:snapToGrid w:val="0"/>
        </w:rPr>
        <w:t>.</w:t>
      </w:r>
      <w:r>
        <w:rPr>
          <w:snapToGrid w:val="0"/>
        </w:rPr>
        <w:tab/>
        <w:t>Power to grant easement</w:t>
      </w:r>
      <w:bookmarkEnd w:id="56"/>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57" w:name="_Toc471906361"/>
      <w:bookmarkStart w:id="58" w:name="_Toc472001030"/>
      <w:bookmarkStart w:id="59" w:name="_Toc472001152"/>
      <w:r>
        <w:rPr>
          <w:rStyle w:val="CharDivNo"/>
        </w:rPr>
        <w:t>Division 3</w:t>
      </w:r>
      <w:r>
        <w:rPr>
          <w:snapToGrid w:val="0"/>
        </w:rPr>
        <w:t> — </w:t>
      </w:r>
      <w:r>
        <w:rPr>
          <w:rStyle w:val="CharDivText"/>
        </w:rPr>
        <w:t>Letting or leasing of houses</w:t>
      </w:r>
      <w:bookmarkEnd w:id="57"/>
      <w:bookmarkEnd w:id="58"/>
      <w:bookmarkEnd w:id="59"/>
    </w:p>
    <w:p>
      <w:pPr>
        <w:pStyle w:val="Heading5"/>
        <w:rPr>
          <w:snapToGrid w:val="0"/>
        </w:rPr>
      </w:pPr>
      <w:bookmarkStart w:id="60" w:name="_Toc472001153"/>
      <w:r>
        <w:rPr>
          <w:rStyle w:val="CharSectno"/>
        </w:rPr>
        <w:t>28</w:t>
      </w:r>
      <w:r>
        <w:rPr>
          <w:snapToGrid w:val="0"/>
        </w:rPr>
        <w:t>.</w:t>
      </w:r>
      <w:r>
        <w:rPr>
          <w:snapToGrid w:val="0"/>
        </w:rPr>
        <w:tab/>
        <w:t>Power to let or lease houses</w:t>
      </w:r>
      <w:bookmarkEnd w:id="60"/>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61" w:name="_Toc472001154"/>
      <w:r>
        <w:rPr>
          <w:rStyle w:val="CharSectno"/>
        </w:rPr>
        <w:t>29</w:t>
      </w:r>
      <w:r>
        <w:rPr>
          <w:snapToGrid w:val="0"/>
        </w:rPr>
        <w:t>.</w:t>
      </w:r>
      <w:r>
        <w:rPr>
          <w:snapToGrid w:val="0"/>
        </w:rPr>
        <w:tab/>
        <w:t>Terms and conditions</w:t>
      </w:r>
      <w:bookmarkEnd w:id="61"/>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62" w:name="_Toc472001155"/>
      <w:r>
        <w:rPr>
          <w:rStyle w:val="CharSectno"/>
        </w:rPr>
        <w:t>30</w:t>
      </w:r>
      <w:r>
        <w:rPr>
          <w:snapToGrid w:val="0"/>
        </w:rPr>
        <w:t>.</w:t>
      </w:r>
      <w:r>
        <w:rPr>
          <w:snapToGrid w:val="0"/>
        </w:rPr>
        <w:tab/>
        <w:t>Determination of rent</w:t>
      </w:r>
      <w:bookmarkEnd w:id="62"/>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63" w:name="_Toc472001156"/>
      <w:r>
        <w:rPr>
          <w:rStyle w:val="CharSectno"/>
        </w:rPr>
        <w:t>31</w:t>
      </w:r>
      <w:r>
        <w:rPr>
          <w:snapToGrid w:val="0"/>
        </w:rPr>
        <w:t>.</w:t>
      </w:r>
      <w:r>
        <w:rPr>
          <w:snapToGrid w:val="0"/>
        </w:rPr>
        <w:tab/>
        <w:t>Credit of rents towards purchase price</w:t>
      </w:r>
      <w:bookmarkEnd w:id="63"/>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64" w:name="_Toc471906366"/>
      <w:bookmarkStart w:id="65" w:name="_Toc472001035"/>
      <w:bookmarkStart w:id="66" w:name="_Toc472001157"/>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64"/>
      <w:bookmarkEnd w:id="65"/>
      <w:bookmarkEnd w:id="66"/>
    </w:p>
    <w:p>
      <w:pPr>
        <w:pStyle w:val="Heading5"/>
        <w:rPr>
          <w:snapToGrid w:val="0"/>
        </w:rPr>
      </w:pPr>
      <w:bookmarkStart w:id="67" w:name="_Toc472001158"/>
      <w:r>
        <w:rPr>
          <w:rStyle w:val="CharSectno"/>
        </w:rPr>
        <w:t>32</w:t>
      </w:r>
      <w:r>
        <w:rPr>
          <w:snapToGrid w:val="0"/>
        </w:rPr>
        <w:t>.</w:t>
      </w:r>
      <w:r>
        <w:rPr>
          <w:snapToGrid w:val="0"/>
        </w:rPr>
        <w:tab/>
        <w:t>Application of this Division</w:t>
      </w:r>
      <w:bookmarkEnd w:id="67"/>
    </w:p>
    <w:p>
      <w:pPr>
        <w:pStyle w:val="Subsection"/>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pageBreakBefore/>
        <w:spacing w:before="0"/>
        <w:rPr>
          <w:snapToGrid w:val="0"/>
        </w:rPr>
      </w:pPr>
      <w:bookmarkStart w:id="68" w:name="_Toc472001159"/>
      <w:r>
        <w:rPr>
          <w:rStyle w:val="CharSectno"/>
        </w:rPr>
        <w:t>33</w:t>
      </w:r>
      <w:r>
        <w:rPr>
          <w:snapToGrid w:val="0"/>
        </w:rPr>
        <w:t>.</w:t>
      </w:r>
      <w:r>
        <w:rPr>
          <w:snapToGrid w:val="0"/>
        </w:rPr>
        <w:tab/>
        <w:t>Terms and conditions of sale</w:t>
      </w:r>
      <w:bookmarkEnd w:id="68"/>
    </w:p>
    <w:p>
      <w:pPr>
        <w:pStyle w:val="Subsection"/>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4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4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spacing w:before="140"/>
        <w:rPr>
          <w:snapToGrid w:val="0"/>
        </w:rPr>
      </w:pPr>
      <w:r>
        <w:rPr>
          <w:snapToGrid w:val="0"/>
        </w:rPr>
        <w:tab/>
        <w:t>(5)</w:t>
      </w:r>
      <w:r>
        <w:rPr>
          <w:snapToGrid w:val="0"/>
        </w:rPr>
        <w:tab/>
        <w:t>Different standard rates of interest may be fixed under subsection (4) in respect of different classes of contracts of sale.</w:t>
      </w:r>
    </w:p>
    <w:p>
      <w:pPr>
        <w:pStyle w:val="Subsection"/>
        <w:spacing w:before="140"/>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spacing w:before="140"/>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spacing w:before="80"/>
        <w:ind w:left="890" w:hanging="890"/>
      </w:pPr>
      <w:r>
        <w:tab/>
        <w:t>[Section 33 amended by No. 28 of 2006 s. 332.]</w:t>
      </w:r>
    </w:p>
    <w:p>
      <w:pPr>
        <w:pStyle w:val="Heading5"/>
        <w:rPr>
          <w:snapToGrid w:val="0"/>
        </w:rPr>
      </w:pPr>
      <w:bookmarkStart w:id="69" w:name="_Toc472001160"/>
      <w:r>
        <w:rPr>
          <w:rStyle w:val="CharSectno"/>
        </w:rPr>
        <w:t>34</w:t>
      </w:r>
      <w:r>
        <w:rPr>
          <w:snapToGrid w:val="0"/>
        </w:rPr>
        <w:t>.</w:t>
      </w:r>
      <w:r>
        <w:rPr>
          <w:snapToGrid w:val="0"/>
        </w:rPr>
        <w:tab/>
        <w:t>Limit on amount of unpaid purchase money</w:t>
      </w:r>
      <w:bookmarkEnd w:id="69"/>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70" w:name="_Toc471906370"/>
      <w:bookmarkStart w:id="71" w:name="_Toc472001039"/>
      <w:bookmarkStart w:id="72" w:name="_Toc472001161"/>
      <w:r>
        <w:rPr>
          <w:rStyle w:val="CharPartNo"/>
        </w:rPr>
        <w:t>Part IV</w:t>
      </w:r>
      <w:r>
        <w:t> — </w:t>
      </w:r>
      <w:r>
        <w:rPr>
          <w:rStyle w:val="CharPartText"/>
        </w:rPr>
        <w:t>Provision by the Authority of financial assistance for housing</w:t>
      </w:r>
      <w:bookmarkEnd w:id="70"/>
      <w:bookmarkEnd w:id="71"/>
      <w:bookmarkEnd w:id="72"/>
    </w:p>
    <w:p>
      <w:pPr>
        <w:pStyle w:val="Footnoteheading"/>
      </w:pPr>
      <w:r>
        <w:tab/>
        <w:t>[Heading amended by No. 28 of 2006 s. 328.]</w:t>
      </w:r>
    </w:p>
    <w:p>
      <w:pPr>
        <w:pStyle w:val="Heading3"/>
        <w:spacing w:before="180"/>
      </w:pPr>
      <w:bookmarkStart w:id="73" w:name="_Toc471906371"/>
      <w:bookmarkStart w:id="74" w:name="_Toc472001040"/>
      <w:bookmarkStart w:id="75" w:name="_Toc472001162"/>
      <w:r>
        <w:rPr>
          <w:rStyle w:val="CharDivNo"/>
        </w:rPr>
        <w:t>Division 1</w:t>
      </w:r>
      <w:r>
        <w:rPr>
          <w:snapToGrid w:val="0"/>
        </w:rPr>
        <w:t> — </w:t>
      </w:r>
      <w:r>
        <w:rPr>
          <w:rStyle w:val="CharDivText"/>
        </w:rPr>
        <w:t>Loans</w:t>
      </w:r>
      <w:bookmarkEnd w:id="73"/>
      <w:bookmarkEnd w:id="74"/>
      <w:bookmarkEnd w:id="75"/>
    </w:p>
    <w:p>
      <w:pPr>
        <w:pStyle w:val="Heading5"/>
        <w:spacing w:before="180"/>
        <w:rPr>
          <w:snapToGrid w:val="0"/>
        </w:rPr>
      </w:pPr>
      <w:bookmarkStart w:id="76" w:name="_Toc472001163"/>
      <w:r>
        <w:rPr>
          <w:rStyle w:val="CharSectno"/>
        </w:rPr>
        <w:t>35</w:t>
      </w:r>
      <w:r>
        <w:rPr>
          <w:snapToGrid w:val="0"/>
        </w:rPr>
        <w:t>.</w:t>
      </w:r>
      <w:r>
        <w:rPr>
          <w:snapToGrid w:val="0"/>
        </w:rPr>
        <w:tab/>
        <w:t>Reference to house</w:t>
      </w:r>
      <w:bookmarkEnd w:id="76"/>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77" w:name="_Toc472001164"/>
      <w:r>
        <w:rPr>
          <w:rStyle w:val="CharSectno"/>
        </w:rPr>
        <w:t>36</w:t>
      </w:r>
      <w:r>
        <w:rPr>
          <w:snapToGrid w:val="0"/>
        </w:rPr>
        <w:t>.</w:t>
      </w:r>
      <w:r>
        <w:rPr>
          <w:snapToGrid w:val="0"/>
        </w:rPr>
        <w:tab/>
        <w:t>Loans to assist eligible persons</w:t>
      </w:r>
      <w:bookmarkEnd w:id="77"/>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78" w:name="_Toc472001165"/>
      <w:r>
        <w:rPr>
          <w:rStyle w:val="CharSectno"/>
        </w:rPr>
        <w:t>37</w:t>
      </w:r>
      <w:r>
        <w:rPr>
          <w:snapToGrid w:val="0"/>
        </w:rPr>
        <w:t>.</w:t>
      </w:r>
      <w:r>
        <w:rPr>
          <w:snapToGrid w:val="0"/>
        </w:rPr>
        <w:tab/>
        <w:t xml:space="preserve">Loans to persons generally to purchase land from </w:t>
      </w:r>
      <w:r>
        <w:t>Authority</w:t>
      </w:r>
      <w:bookmarkEnd w:id="78"/>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79" w:name="_Toc472001166"/>
      <w:r>
        <w:rPr>
          <w:rStyle w:val="CharSectno"/>
        </w:rPr>
        <w:t>38</w:t>
      </w:r>
      <w:r>
        <w:rPr>
          <w:snapToGrid w:val="0"/>
        </w:rPr>
        <w:t>.</w:t>
      </w:r>
      <w:r>
        <w:rPr>
          <w:snapToGrid w:val="0"/>
        </w:rPr>
        <w:tab/>
        <w:t>Loans to persons generally to improve houses</w:t>
      </w:r>
      <w:bookmarkEnd w:id="79"/>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 25 of 2012 s. 218.]</w:t>
      </w:r>
    </w:p>
    <w:p>
      <w:pPr>
        <w:pStyle w:val="Heading5"/>
        <w:keepNext w:val="0"/>
        <w:keepLines w:val="0"/>
        <w:spacing w:before="180"/>
        <w:rPr>
          <w:snapToGrid w:val="0"/>
        </w:rPr>
      </w:pPr>
      <w:bookmarkStart w:id="80" w:name="_Toc472001167"/>
      <w:r>
        <w:rPr>
          <w:rStyle w:val="CharSectno"/>
        </w:rPr>
        <w:t>39</w:t>
      </w:r>
      <w:r>
        <w:rPr>
          <w:snapToGrid w:val="0"/>
        </w:rPr>
        <w:t>.</w:t>
      </w:r>
      <w:r>
        <w:rPr>
          <w:snapToGrid w:val="0"/>
        </w:rPr>
        <w:tab/>
        <w:t>Method of making loan</w:t>
      </w:r>
      <w:bookmarkEnd w:id="80"/>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81" w:name="_Toc472001168"/>
      <w:r>
        <w:rPr>
          <w:rStyle w:val="CharSectno"/>
        </w:rPr>
        <w:t>40</w:t>
      </w:r>
      <w:r>
        <w:rPr>
          <w:snapToGrid w:val="0"/>
        </w:rPr>
        <w:t>.</w:t>
      </w:r>
      <w:r>
        <w:rPr>
          <w:snapToGrid w:val="0"/>
        </w:rPr>
        <w:tab/>
        <w:t>Limit on amount to be lent</w:t>
      </w:r>
      <w:bookmarkEnd w:id="81"/>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82" w:name="_Toc472001169"/>
      <w:r>
        <w:rPr>
          <w:rStyle w:val="CharSectno"/>
        </w:rPr>
        <w:t>41</w:t>
      </w:r>
      <w:r>
        <w:rPr>
          <w:snapToGrid w:val="0"/>
        </w:rPr>
        <w:t>.</w:t>
      </w:r>
      <w:r>
        <w:rPr>
          <w:snapToGrid w:val="0"/>
        </w:rPr>
        <w:tab/>
        <w:t>Security for repayment of loan</w:t>
      </w:r>
      <w:bookmarkEnd w:id="82"/>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83" w:name="_Toc472001170"/>
      <w:r>
        <w:rPr>
          <w:rStyle w:val="CharSectno"/>
        </w:rPr>
        <w:t>42</w:t>
      </w:r>
      <w:r>
        <w:rPr>
          <w:snapToGrid w:val="0"/>
        </w:rPr>
        <w:t>.</w:t>
      </w:r>
      <w:r>
        <w:rPr>
          <w:snapToGrid w:val="0"/>
        </w:rPr>
        <w:tab/>
        <w:t>Interest on loans</w:t>
      </w:r>
      <w:bookmarkEnd w:id="83"/>
    </w:p>
    <w:p>
      <w:pPr>
        <w:pStyle w:val="Subsection"/>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rPr>
          <w:snapToGrid w:val="0"/>
        </w:rPr>
      </w:pPr>
      <w:r>
        <w:rPr>
          <w:snapToGrid w:val="0"/>
        </w:rPr>
        <w:tab/>
        <w:t>(2)</w:t>
      </w:r>
      <w:r>
        <w:rPr>
          <w:snapToGrid w:val="0"/>
        </w:rPr>
        <w:tab/>
        <w:t>Different standard rates of interest may be fixed under subsection (1) in respect of different classes of loans.</w:t>
      </w:r>
    </w:p>
    <w:p>
      <w:pPr>
        <w:pStyle w:val="Subsection"/>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ind w:left="890" w:hanging="890"/>
      </w:pPr>
      <w:r>
        <w:tab/>
        <w:t>[Section 42 amended by No. 28 of 2006 s. 332.]</w:t>
      </w:r>
    </w:p>
    <w:p>
      <w:pPr>
        <w:pStyle w:val="Heading5"/>
        <w:rPr>
          <w:snapToGrid w:val="0"/>
        </w:rPr>
      </w:pPr>
      <w:bookmarkStart w:id="84" w:name="_Toc472001171"/>
      <w:r>
        <w:rPr>
          <w:rStyle w:val="CharSectno"/>
        </w:rPr>
        <w:t>43</w:t>
      </w:r>
      <w:r>
        <w:rPr>
          <w:snapToGrid w:val="0"/>
        </w:rPr>
        <w:t>.</w:t>
      </w:r>
      <w:r>
        <w:rPr>
          <w:snapToGrid w:val="0"/>
        </w:rPr>
        <w:tab/>
        <w:t>Normal legal relationships to apply</w:t>
      </w:r>
      <w:bookmarkEnd w:id="84"/>
    </w:p>
    <w:p>
      <w:pPr>
        <w:pStyle w:val="Subsection"/>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85" w:name="_Toc472001172"/>
      <w:r>
        <w:rPr>
          <w:rStyle w:val="CharSectno"/>
        </w:rPr>
        <w:t>44</w:t>
      </w:r>
      <w:r>
        <w:rPr>
          <w:snapToGrid w:val="0"/>
        </w:rPr>
        <w:t>.</w:t>
      </w:r>
      <w:r>
        <w:rPr>
          <w:snapToGrid w:val="0"/>
        </w:rPr>
        <w:tab/>
        <w:t>Protection of Authority’s interest</w:t>
      </w:r>
      <w:bookmarkEnd w:id="85"/>
    </w:p>
    <w:p>
      <w:pPr>
        <w:pStyle w:val="Subsection"/>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86" w:name="_Toc472001173"/>
      <w:r>
        <w:rPr>
          <w:rStyle w:val="CharSectno"/>
        </w:rPr>
        <w:t>45</w:t>
      </w:r>
      <w:r>
        <w:rPr>
          <w:snapToGrid w:val="0"/>
        </w:rPr>
        <w:t>.</w:t>
      </w:r>
      <w:r>
        <w:rPr>
          <w:snapToGrid w:val="0"/>
        </w:rPr>
        <w:tab/>
      </w:r>
      <w:r>
        <w:t>Authority</w:t>
      </w:r>
      <w:r>
        <w:rPr>
          <w:snapToGrid w:val="0"/>
        </w:rPr>
        <w:t xml:space="preserve"> to obtain reports as to expenditure of loans</w:t>
      </w:r>
      <w:bookmarkEnd w:id="86"/>
    </w:p>
    <w:p>
      <w:pPr>
        <w:pStyle w:val="Subsection"/>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87" w:name="_Toc471906383"/>
      <w:bookmarkStart w:id="88" w:name="_Toc472001052"/>
      <w:bookmarkStart w:id="89" w:name="_Toc472001174"/>
      <w:r>
        <w:rPr>
          <w:rStyle w:val="CharDivNo"/>
        </w:rPr>
        <w:t>Division 2</w:t>
      </w:r>
      <w:r>
        <w:rPr>
          <w:snapToGrid w:val="0"/>
        </w:rPr>
        <w:t> — </w:t>
      </w:r>
      <w:r>
        <w:rPr>
          <w:rStyle w:val="CharDivText"/>
        </w:rPr>
        <w:t>Guarantees and subsidies</w:t>
      </w:r>
      <w:bookmarkEnd w:id="87"/>
      <w:bookmarkEnd w:id="88"/>
      <w:bookmarkEnd w:id="89"/>
    </w:p>
    <w:p>
      <w:pPr>
        <w:pStyle w:val="Heading5"/>
        <w:rPr>
          <w:snapToGrid w:val="0"/>
        </w:rPr>
      </w:pPr>
      <w:bookmarkStart w:id="90" w:name="_Toc472001175"/>
      <w:r>
        <w:rPr>
          <w:rStyle w:val="CharSectno"/>
        </w:rPr>
        <w:t>46</w:t>
      </w:r>
      <w:r>
        <w:rPr>
          <w:snapToGrid w:val="0"/>
        </w:rPr>
        <w:t>.</w:t>
      </w:r>
      <w:r>
        <w:rPr>
          <w:snapToGrid w:val="0"/>
        </w:rPr>
        <w:tab/>
        <w:t xml:space="preserve">Guarantee by </w:t>
      </w:r>
      <w:r>
        <w:t>Authority</w:t>
      </w:r>
      <w:r>
        <w:rPr>
          <w:snapToGrid w:val="0"/>
        </w:rPr>
        <w:t xml:space="preserve"> in certain cases</w:t>
      </w:r>
      <w:bookmarkEnd w:id="90"/>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3</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91" w:name="_Toc472001176"/>
      <w:r>
        <w:rPr>
          <w:rStyle w:val="CharSectno"/>
        </w:rPr>
        <w:t>47</w:t>
      </w:r>
      <w:r>
        <w:rPr>
          <w:snapToGrid w:val="0"/>
        </w:rPr>
        <w:t>.</w:t>
      </w:r>
      <w:r>
        <w:rPr>
          <w:snapToGrid w:val="0"/>
        </w:rPr>
        <w:tab/>
        <w:t>Payment of subsidies on account of loans made to eligible persons</w:t>
      </w:r>
      <w:bookmarkEnd w:id="91"/>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92" w:name="_Toc471906386"/>
      <w:bookmarkStart w:id="93" w:name="_Toc472001055"/>
      <w:bookmarkStart w:id="94" w:name="_Toc472001177"/>
      <w:r>
        <w:rPr>
          <w:rStyle w:val="CharPartNo"/>
        </w:rPr>
        <w:t>Part V</w:t>
      </w:r>
      <w:r>
        <w:t> — </w:t>
      </w:r>
      <w:r>
        <w:rPr>
          <w:rStyle w:val="CharPartText"/>
        </w:rPr>
        <w:t>Arrangements and agreements as to housing finance</w:t>
      </w:r>
      <w:bookmarkEnd w:id="92"/>
      <w:bookmarkEnd w:id="93"/>
      <w:bookmarkEnd w:id="94"/>
    </w:p>
    <w:p>
      <w:pPr>
        <w:pStyle w:val="Heading3"/>
        <w:spacing w:before="180"/>
      </w:pPr>
      <w:bookmarkStart w:id="95" w:name="_Toc471906387"/>
      <w:bookmarkStart w:id="96" w:name="_Toc472001056"/>
      <w:bookmarkStart w:id="97" w:name="_Toc472001178"/>
      <w:r>
        <w:rPr>
          <w:rStyle w:val="CharDivNo"/>
        </w:rPr>
        <w:t>Division 1</w:t>
      </w:r>
      <w:r>
        <w:rPr>
          <w:snapToGrid w:val="0"/>
        </w:rPr>
        <w:t> — </w:t>
      </w:r>
      <w:r>
        <w:rPr>
          <w:rStyle w:val="CharDivText"/>
        </w:rPr>
        <w:t>Arrangements with the Commonwealth</w:t>
      </w:r>
      <w:bookmarkEnd w:id="95"/>
      <w:bookmarkEnd w:id="96"/>
      <w:bookmarkEnd w:id="97"/>
    </w:p>
    <w:p>
      <w:pPr>
        <w:pStyle w:val="Heading5"/>
        <w:spacing w:before="180"/>
        <w:rPr>
          <w:snapToGrid w:val="0"/>
        </w:rPr>
      </w:pPr>
      <w:bookmarkStart w:id="98" w:name="_Toc472001179"/>
      <w:r>
        <w:rPr>
          <w:rStyle w:val="CharSectno"/>
        </w:rPr>
        <w:t>48</w:t>
      </w:r>
      <w:r>
        <w:rPr>
          <w:snapToGrid w:val="0"/>
        </w:rPr>
        <w:t>.</w:t>
      </w:r>
      <w:r>
        <w:rPr>
          <w:snapToGrid w:val="0"/>
        </w:rPr>
        <w:tab/>
        <w:t>Terms used</w:t>
      </w:r>
      <w:bookmarkEnd w:id="98"/>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99" w:name="_Toc472001180"/>
      <w:r>
        <w:rPr>
          <w:rStyle w:val="CharSectno"/>
        </w:rPr>
        <w:t>49</w:t>
      </w:r>
      <w:r>
        <w:rPr>
          <w:snapToGrid w:val="0"/>
        </w:rPr>
        <w:t>.</w:t>
      </w:r>
      <w:r>
        <w:rPr>
          <w:snapToGrid w:val="0"/>
        </w:rPr>
        <w:tab/>
        <w:t xml:space="preserve">Financial assistance from Commonwealth: powers of Minister and </w:t>
      </w:r>
      <w:r>
        <w:t>Authority</w:t>
      </w:r>
      <w:bookmarkEnd w:id="99"/>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ind w:left="890" w:hanging="890"/>
      </w:pPr>
      <w:r>
        <w:tab/>
        <w:t>[Section 49 amended by No. 28 of 2006 s. 332.]</w:t>
      </w:r>
    </w:p>
    <w:p>
      <w:pPr>
        <w:pStyle w:val="Heading5"/>
        <w:rPr>
          <w:snapToGrid w:val="0"/>
        </w:rPr>
      </w:pPr>
      <w:bookmarkStart w:id="100" w:name="_Toc472001181"/>
      <w:r>
        <w:rPr>
          <w:rStyle w:val="CharSectno"/>
        </w:rPr>
        <w:t>50</w:t>
      </w:r>
      <w:r>
        <w:rPr>
          <w:snapToGrid w:val="0"/>
        </w:rPr>
        <w:t>.</w:t>
      </w:r>
      <w:r>
        <w:rPr>
          <w:snapToGrid w:val="0"/>
        </w:rPr>
        <w:tab/>
        <w:t>Housing assistance under agreements</w:t>
      </w:r>
      <w:bookmarkEnd w:id="100"/>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101" w:name="_Toc472001182"/>
      <w:r>
        <w:rPr>
          <w:rStyle w:val="CharSectno"/>
        </w:rPr>
        <w:t>51</w:t>
      </w:r>
      <w:r>
        <w:rPr>
          <w:snapToGrid w:val="0"/>
        </w:rPr>
        <w:t>.</w:t>
      </w:r>
      <w:r>
        <w:rPr>
          <w:snapToGrid w:val="0"/>
        </w:rPr>
        <w:tab/>
        <w:t>Regulations as to administration of agreements</w:t>
      </w:r>
      <w:bookmarkEnd w:id="101"/>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102" w:name="_Toc471906392"/>
      <w:bookmarkStart w:id="103" w:name="_Toc472001061"/>
      <w:bookmarkStart w:id="104" w:name="_Toc472001183"/>
      <w:r>
        <w:rPr>
          <w:rStyle w:val="CharDivNo"/>
        </w:rPr>
        <w:t>Division 2</w:t>
      </w:r>
      <w:r>
        <w:rPr>
          <w:snapToGrid w:val="0"/>
        </w:rPr>
        <w:t> — </w:t>
      </w:r>
      <w:r>
        <w:rPr>
          <w:rStyle w:val="CharDivText"/>
        </w:rPr>
        <w:t>Agreements with lending institutions</w:t>
      </w:r>
      <w:bookmarkEnd w:id="102"/>
      <w:bookmarkEnd w:id="103"/>
      <w:bookmarkEnd w:id="104"/>
    </w:p>
    <w:p>
      <w:pPr>
        <w:pStyle w:val="Heading5"/>
        <w:rPr>
          <w:snapToGrid w:val="0"/>
        </w:rPr>
      </w:pPr>
      <w:bookmarkStart w:id="105" w:name="_Toc472001184"/>
      <w:r>
        <w:rPr>
          <w:rStyle w:val="CharSectno"/>
        </w:rPr>
        <w:t>52</w:t>
      </w:r>
      <w:r>
        <w:rPr>
          <w:snapToGrid w:val="0"/>
        </w:rPr>
        <w:t>.</w:t>
      </w:r>
      <w:r>
        <w:rPr>
          <w:snapToGrid w:val="0"/>
        </w:rPr>
        <w:tab/>
        <w:t>Terms used and effect</w:t>
      </w:r>
      <w:bookmarkEnd w:id="105"/>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ind w:left="890" w:hanging="890"/>
      </w:pPr>
      <w:r>
        <w:tab/>
        <w:t>[Section 52 amended by No. 14 of 1996 s. 4; No. 10 of 1998 s. 9(2); No. 26 of 1999 s. 87; No. 12 of 2001 s. 51; No. 17 of 2005 s. 28(2); No. 28 of 2006 s. 332.]</w:t>
      </w:r>
    </w:p>
    <w:p>
      <w:pPr>
        <w:pStyle w:val="Heading5"/>
        <w:rPr>
          <w:snapToGrid w:val="0"/>
        </w:rPr>
      </w:pPr>
      <w:bookmarkStart w:id="106" w:name="_Toc472001185"/>
      <w:r>
        <w:rPr>
          <w:rStyle w:val="CharSectno"/>
        </w:rPr>
        <w:t>53</w:t>
      </w:r>
      <w:r>
        <w:rPr>
          <w:snapToGrid w:val="0"/>
        </w:rPr>
        <w:t>.</w:t>
      </w:r>
      <w:r>
        <w:rPr>
          <w:snapToGrid w:val="0"/>
        </w:rPr>
        <w:tab/>
        <w:t>Power to make loan agreements</w:t>
      </w:r>
      <w:bookmarkEnd w:id="106"/>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107" w:name="_Toc472001186"/>
      <w:r>
        <w:rPr>
          <w:rStyle w:val="CharSectno"/>
        </w:rPr>
        <w:t>54</w:t>
      </w:r>
      <w:r>
        <w:rPr>
          <w:snapToGrid w:val="0"/>
        </w:rPr>
        <w:t>.</w:t>
      </w:r>
      <w:r>
        <w:rPr>
          <w:snapToGrid w:val="0"/>
        </w:rPr>
        <w:tab/>
        <w:t>Terms and conditions of agreement</w:t>
      </w:r>
      <w:bookmarkEnd w:id="107"/>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108" w:name="_Toc472001187"/>
      <w:r>
        <w:rPr>
          <w:rStyle w:val="CharSectno"/>
        </w:rPr>
        <w:t>55</w:t>
      </w:r>
      <w:r>
        <w:rPr>
          <w:snapToGrid w:val="0"/>
        </w:rPr>
        <w:t>.</w:t>
      </w:r>
      <w:r>
        <w:rPr>
          <w:snapToGrid w:val="0"/>
        </w:rPr>
        <w:tab/>
        <w:t>Floating security and charge</w:t>
      </w:r>
      <w:bookmarkEnd w:id="108"/>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109" w:name="_Toc472001188"/>
      <w:r>
        <w:rPr>
          <w:rStyle w:val="CharSectno"/>
        </w:rPr>
        <w:t>56</w:t>
      </w:r>
      <w:r>
        <w:rPr>
          <w:snapToGrid w:val="0"/>
        </w:rPr>
        <w:t>.</w:t>
      </w:r>
      <w:r>
        <w:rPr>
          <w:snapToGrid w:val="0"/>
        </w:rPr>
        <w:tab/>
        <w:t>Lending institution may give securities</w:t>
      </w:r>
      <w:bookmarkEnd w:id="109"/>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110" w:name="_Toc472001189"/>
      <w:r>
        <w:rPr>
          <w:rStyle w:val="CharSectno"/>
        </w:rPr>
        <w:t>57</w:t>
      </w:r>
      <w:r>
        <w:rPr>
          <w:snapToGrid w:val="0"/>
        </w:rPr>
        <w:t>.</w:t>
      </w:r>
      <w:r>
        <w:rPr>
          <w:snapToGrid w:val="0"/>
        </w:rPr>
        <w:tab/>
        <w:t>Property and assets of lending institution may be released</w:t>
      </w:r>
      <w:bookmarkEnd w:id="110"/>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keepNext/>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111" w:name="_Toc472001190"/>
      <w:r>
        <w:rPr>
          <w:rStyle w:val="CharSectno"/>
        </w:rPr>
        <w:t>58</w:t>
      </w:r>
      <w:r>
        <w:rPr>
          <w:snapToGrid w:val="0"/>
        </w:rPr>
        <w:t>.</w:t>
      </w:r>
      <w:r>
        <w:rPr>
          <w:snapToGrid w:val="0"/>
        </w:rPr>
        <w:tab/>
        <w:t>Power of inspection of affairs of lending institution</w:t>
      </w:r>
      <w:bookmarkEnd w:id="111"/>
    </w:p>
    <w:p>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112" w:name="_Toc472001191"/>
      <w:r>
        <w:rPr>
          <w:rStyle w:val="CharSectno"/>
        </w:rPr>
        <w:t>59</w:t>
      </w:r>
      <w:r>
        <w:rPr>
          <w:snapToGrid w:val="0"/>
        </w:rPr>
        <w:t>.</w:t>
      </w:r>
      <w:r>
        <w:rPr>
          <w:snapToGrid w:val="0"/>
        </w:rPr>
        <w:tab/>
        <w:t>Special powers of lending institutions to make advances of moneys, other than by way of mortgage</w:t>
      </w:r>
      <w:bookmarkEnd w:id="112"/>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113" w:name="_Toc471906401"/>
      <w:bookmarkStart w:id="114" w:name="_Toc472001070"/>
      <w:bookmarkStart w:id="115" w:name="_Toc472001192"/>
      <w:r>
        <w:rPr>
          <w:rStyle w:val="CharPartNo"/>
        </w:rPr>
        <w:t>Part VI</w:t>
      </w:r>
      <w:r>
        <w:rPr>
          <w:rStyle w:val="CharDivNo"/>
        </w:rPr>
        <w:t> </w:t>
      </w:r>
      <w:r>
        <w:t>—</w:t>
      </w:r>
      <w:r>
        <w:rPr>
          <w:rStyle w:val="CharDivText"/>
        </w:rPr>
        <w:t> </w:t>
      </w:r>
      <w:r>
        <w:rPr>
          <w:rStyle w:val="CharPartText"/>
        </w:rPr>
        <w:t>Specialized housing and community facilities</w:t>
      </w:r>
      <w:bookmarkEnd w:id="113"/>
      <w:bookmarkEnd w:id="114"/>
      <w:bookmarkEnd w:id="115"/>
    </w:p>
    <w:p>
      <w:pPr>
        <w:pStyle w:val="Heading5"/>
        <w:rPr>
          <w:snapToGrid w:val="0"/>
        </w:rPr>
      </w:pPr>
      <w:bookmarkStart w:id="116" w:name="_Toc472001193"/>
      <w:r>
        <w:rPr>
          <w:rStyle w:val="CharSectno"/>
        </w:rPr>
        <w:t>60</w:t>
      </w:r>
      <w:r>
        <w:rPr>
          <w:snapToGrid w:val="0"/>
        </w:rPr>
        <w:t>.</w:t>
      </w:r>
      <w:r>
        <w:rPr>
          <w:snapToGrid w:val="0"/>
        </w:rPr>
        <w:tab/>
      </w:r>
      <w:r>
        <w:t>Authority</w:t>
      </w:r>
      <w:r>
        <w:rPr>
          <w:snapToGrid w:val="0"/>
        </w:rPr>
        <w:t xml:space="preserve"> may provide specialized housing</w:t>
      </w:r>
      <w:bookmarkEnd w:id="116"/>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117" w:name="_Toc472001194"/>
      <w:r>
        <w:rPr>
          <w:rStyle w:val="CharSectno"/>
        </w:rPr>
        <w:t>61</w:t>
      </w:r>
      <w:r>
        <w:rPr>
          <w:snapToGrid w:val="0"/>
        </w:rPr>
        <w:t>.</w:t>
      </w:r>
      <w:r>
        <w:rPr>
          <w:snapToGrid w:val="0"/>
        </w:rPr>
        <w:tab/>
        <w:t>Community facilities</w:t>
      </w:r>
      <w:bookmarkEnd w:id="117"/>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118" w:name="_Toc471906404"/>
      <w:bookmarkStart w:id="119" w:name="_Toc472001073"/>
      <w:bookmarkStart w:id="120" w:name="_Toc472001195"/>
      <w:r>
        <w:rPr>
          <w:rStyle w:val="CharPartNo"/>
        </w:rPr>
        <w:t>Part VIIA</w:t>
      </w:r>
      <w:r>
        <w:rPr>
          <w:b w:val="0"/>
        </w:rPr>
        <w:t> </w:t>
      </w:r>
      <w:r>
        <w:t>—</w:t>
      </w:r>
      <w:r>
        <w:rPr>
          <w:b w:val="0"/>
        </w:rPr>
        <w:t> </w:t>
      </w:r>
      <w:r>
        <w:rPr>
          <w:rStyle w:val="CharPartText"/>
        </w:rPr>
        <w:t>Housing on Aboriginal land</w:t>
      </w:r>
      <w:bookmarkEnd w:id="118"/>
      <w:bookmarkEnd w:id="119"/>
      <w:bookmarkEnd w:id="120"/>
    </w:p>
    <w:p>
      <w:pPr>
        <w:pStyle w:val="Footnoteheading"/>
      </w:pPr>
      <w:r>
        <w:tab/>
        <w:t>[Heading inserted by No. 6 of 2010 s. 9.]</w:t>
      </w:r>
    </w:p>
    <w:p>
      <w:pPr>
        <w:pStyle w:val="Heading3"/>
        <w:spacing w:before="180"/>
      </w:pPr>
      <w:bookmarkStart w:id="121" w:name="_Toc471906405"/>
      <w:bookmarkStart w:id="122" w:name="_Toc472001074"/>
      <w:bookmarkStart w:id="123" w:name="_Toc472001196"/>
      <w:r>
        <w:rPr>
          <w:rStyle w:val="CharDivNo"/>
        </w:rPr>
        <w:t>Division 1</w:t>
      </w:r>
      <w:r>
        <w:t> — </w:t>
      </w:r>
      <w:r>
        <w:rPr>
          <w:rStyle w:val="CharDivText"/>
        </w:rPr>
        <w:t>Preliminary matters</w:t>
      </w:r>
      <w:bookmarkEnd w:id="121"/>
      <w:bookmarkEnd w:id="122"/>
      <w:bookmarkEnd w:id="123"/>
    </w:p>
    <w:p>
      <w:pPr>
        <w:pStyle w:val="Footnoteheading"/>
      </w:pPr>
      <w:r>
        <w:tab/>
        <w:t>[Heading inserted by No. 6 of 2010 s. 9.]</w:t>
      </w:r>
    </w:p>
    <w:p>
      <w:pPr>
        <w:pStyle w:val="Heading5"/>
        <w:spacing w:before="180"/>
      </w:pPr>
      <w:bookmarkStart w:id="124" w:name="_Toc472001197"/>
      <w:r>
        <w:rPr>
          <w:rStyle w:val="CharSectno"/>
        </w:rPr>
        <w:t>62A</w:t>
      </w:r>
      <w:r>
        <w:t>.</w:t>
      </w:r>
      <w:r>
        <w:tab/>
        <w:t>Terms used</w:t>
      </w:r>
      <w:bookmarkEnd w:id="124"/>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 amended by No. 30 of 2015 s. 232.]</w:t>
      </w:r>
    </w:p>
    <w:p>
      <w:pPr>
        <w:pStyle w:val="Heading3"/>
        <w:spacing w:before="180"/>
      </w:pPr>
      <w:bookmarkStart w:id="125" w:name="_Toc471906407"/>
      <w:bookmarkStart w:id="126" w:name="_Toc472001076"/>
      <w:bookmarkStart w:id="127" w:name="_Toc472001198"/>
      <w:r>
        <w:rPr>
          <w:rStyle w:val="CharDivNo"/>
        </w:rPr>
        <w:t>Division 2</w:t>
      </w:r>
      <w:r>
        <w:t> — </w:t>
      </w:r>
      <w:r>
        <w:rPr>
          <w:rStyle w:val="CharDivText"/>
        </w:rPr>
        <w:t>Housing management agreements</w:t>
      </w:r>
      <w:bookmarkEnd w:id="125"/>
      <w:bookmarkEnd w:id="126"/>
      <w:bookmarkEnd w:id="127"/>
    </w:p>
    <w:p>
      <w:pPr>
        <w:pStyle w:val="Footnoteheading"/>
      </w:pPr>
      <w:r>
        <w:tab/>
        <w:t>[Heading inserted by No. 6 of 2010 s. 9.]</w:t>
      </w:r>
    </w:p>
    <w:p>
      <w:pPr>
        <w:pStyle w:val="Heading5"/>
        <w:spacing w:before="180"/>
      </w:pPr>
      <w:bookmarkStart w:id="128" w:name="_Toc472001199"/>
      <w:r>
        <w:rPr>
          <w:rStyle w:val="CharSectno"/>
        </w:rPr>
        <w:t>62B</w:t>
      </w:r>
      <w:r>
        <w:t>.</w:t>
      </w:r>
      <w:r>
        <w:tab/>
        <w:t>Authority may enter into housing management agreement</w:t>
      </w:r>
      <w:bookmarkEnd w:id="12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spacing w:before="180"/>
      </w:pPr>
      <w:bookmarkStart w:id="129" w:name="_Toc472001200"/>
      <w:r>
        <w:rPr>
          <w:rStyle w:val="CharSectno"/>
        </w:rPr>
        <w:t>62C</w:t>
      </w:r>
      <w:r>
        <w:t>.</w:t>
      </w:r>
      <w:r>
        <w:tab/>
        <w:t>Wishes of Aboriginal inhabitants to be ascertained</w:t>
      </w:r>
      <w:bookmarkEnd w:id="129"/>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spacing w:before="120"/>
      </w:pPr>
      <w:r>
        <w:tab/>
      </w:r>
      <w:r>
        <w:tab/>
        <w:t>unless the Authority is satisfied that doing so would accord with the wishes of the Aboriginal inhabitants of the Aboriginal land to the extent those wishes can be ascertained and are practicable.</w:t>
      </w:r>
    </w:p>
    <w:p>
      <w:pPr>
        <w:pStyle w:val="Footnotesection"/>
        <w:spacing w:before="60"/>
        <w:ind w:left="890" w:hanging="890"/>
      </w:pPr>
      <w:r>
        <w:tab/>
        <w:t>[Section 62C inserted by No. 6 of 2010 s. 9.]</w:t>
      </w:r>
    </w:p>
    <w:p>
      <w:pPr>
        <w:pStyle w:val="Heading5"/>
      </w:pPr>
      <w:bookmarkStart w:id="130" w:name="_Toc472001201"/>
      <w:r>
        <w:rPr>
          <w:rStyle w:val="CharSectno"/>
        </w:rPr>
        <w:t>62D</w:t>
      </w:r>
      <w:r>
        <w:t>.</w:t>
      </w:r>
      <w:r>
        <w:tab/>
        <w:t>Lots and houses to which housing management agreement applies</w:t>
      </w:r>
      <w:bookmarkEnd w:id="130"/>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131" w:name="_Toc472001202"/>
      <w:r>
        <w:rPr>
          <w:rStyle w:val="CharSectno"/>
        </w:rPr>
        <w:t>62E</w:t>
      </w:r>
      <w:r>
        <w:t>.</w:t>
      </w:r>
      <w:r>
        <w:tab/>
        <w:t>Rent for nominated lots and nominated houses</w:t>
      </w:r>
      <w:bookmarkEnd w:id="131"/>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keepNext/>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132" w:name="_Toc472001203"/>
      <w:r>
        <w:rPr>
          <w:rStyle w:val="CharSectno"/>
        </w:rPr>
        <w:t>62F</w:t>
      </w:r>
      <w:r>
        <w:t>.</w:t>
      </w:r>
      <w:r>
        <w:tab/>
        <w:t>Other terms of housing management agreement</w:t>
      </w:r>
      <w:bookmarkEnd w:id="13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133" w:name="_Toc472001204"/>
      <w:r>
        <w:rPr>
          <w:rStyle w:val="CharSectno"/>
        </w:rPr>
        <w:t>62G</w:t>
      </w:r>
      <w:r>
        <w:t>.</w:t>
      </w:r>
      <w:r>
        <w:tab/>
        <w:t xml:space="preserve">Application of </w:t>
      </w:r>
      <w:r>
        <w:rPr>
          <w:i/>
          <w:iCs/>
        </w:rPr>
        <w:t>Residential Tenancies Act 1987</w:t>
      </w:r>
      <w:bookmarkEnd w:id="133"/>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134" w:name="_Toc472001205"/>
      <w:r>
        <w:rPr>
          <w:rStyle w:val="CharSectno"/>
        </w:rPr>
        <w:t>62H</w:t>
      </w:r>
      <w:r>
        <w:t>.</w:t>
      </w:r>
      <w:r>
        <w:tab/>
        <w:t>No interest in land created, property acquired or compensation payable</w:t>
      </w:r>
      <w:bookmarkEnd w:id="134"/>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keepNext/>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135" w:name="_Toc472001206"/>
      <w:r>
        <w:rPr>
          <w:rStyle w:val="CharSectno"/>
        </w:rPr>
        <w:t>62I</w:t>
      </w:r>
      <w:r>
        <w:t>.</w:t>
      </w:r>
      <w:r>
        <w:tab/>
        <w:t>No fees or charges payable in respect of housing management agreement</w:t>
      </w:r>
      <w:bookmarkEnd w:id="135"/>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136" w:name="_Toc472001207"/>
      <w:r>
        <w:rPr>
          <w:rStyle w:val="CharSectno"/>
        </w:rPr>
        <w:t>62J</w:t>
      </w:r>
      <w:r>
        <w:t>.</w:t>
      </w:r>
      <w:r>
        <w:tab/>
        <w:t>Authority may act through agent</w:t>
      </w:r>
      <w:bookmarkEnd w:id="136"/>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137" w:name="_Toc472001208"/>
      <w:r>
        <w:rPr>
          <w:rStyle w:val="CharSectno"/>
        </w:rPr>
        <w:t>62K</w:t>
      </w:r>
      <w:r>
        <w:t>.</w:t>
      </w:r>
      <w:r>
        <w:tab/>
        <w:t>Delegation: powers and duties in relation to housing management agreement</w:t>
      </w:r>
      <w:bookmarkEnd w:id="137"/>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138" w:name="_Toc471906418"/>
      <w:bookmarkStart w:id="139" w:name="_Toc472001087"/>
      <w:bookmarkStart w:id="140" w:name="_Toc472001209"/>
      <w:r>
        <w:rPr>
          <w:rStyle w:val="CharDivNo"/>
        </w:rPr>
        <w:t>Division 3</w:t>
      </w:r>
      <w:r>
        <w:t> — </w:t>
      </w:r>
      <w:r>
        <w:rPr>
          <w:rStyle w:val="CharDivText"/>
        </w:rPr>
        <w:t>Miscellaneous matters</w:t>
      </w:r>
      <w:bookmarkEnd w:id="138"/>
      <w:bookmarkEnd w:id="139"/>
      <w:bookmarkEnd w:id="140"/>
    </w:p>
    <w:p>
      <w:pPr>
        <w:pStyle w:val="Footnoteheading"/>
      </w:pPr>
      <w:r>
        <w:tab/>
        <w:t>[Heading inserted by No. 6 of 2010 s. 9.]</w:t>
      </w:r>
    </w:p>
    <w:p>
      <w:pPr>
        <w:pStyle w:val="Heading5"/>
      </w:pPr>
      <w:bookmarkStart w:id="141" w:name="_Toc472001210"/>
      <w:r>
        <w:rPr>
          <w:rStyle w:val="CharSectno"/>
        </w:rPr>
        <w:t>62L</w:t>
      </w:r>
      <w:r>
        <w:t>.</w:t>
      </w:r>
      <w:r>
        <w:tab/>
        <w:t>Approval of Minister for Indigenous Affairs, AAPA or ALT not required</w:t>
      </w:r>
      <w:bookmarkEnd w:id="141"/>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142" w:name="_Toc472001211"/>
      <w:r>
        <w:rPr>
          <w:rStyle w:val="CharSectno"/>
        </w:rPr>
        <w:t>62M</w:t>
      </w:r>
      <w:r>
        <w:t>.</w:t>
      </w:r>
      <w:r>
        <w:tab/>
        <w:t xml:space="preserve">Application of </w:t>
      </w:r>
      <w:r>
        <w:rPr>
          <w:i/>
          <w:iCs/>
        </w:rPr>
        <w:t>Land Administration Act 1997</w:t>
      </w:r>
      <w:bookmarkEnd w:id="142"/>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143" w:name="_Toc471906421"/>
      <w:bookmarkStart w:id="144" w:name="_Toc472001090"/>
      <w:bookmarkStart w:id="145" w:name="_Toc472001212"/>
      <w:r>
        <w:rPr>
          <w:rStyle w:val="CharPartNo"/>
        </w:rPr>
        <w:t>Part VII</w:t>
      </w:r>
      <w:r>
        <w:rPr>
          <w:rStyle w:val="CharDivNo"/>
        </w:rPr>
        <w:t> </w:t>
      </w:r>
      <w:r>
        <w:t>—</w:t>
      </w:r>
      <w:r>
        <w:rPr>
          <w:rStyle w:val="CharDivText"/>
        </w:rPr>
        <w:t> </w:t>
      </w:r>
      <w:r>
        <w:rPr>
          <w:rStyle w:val="CharPartText"/>
        </w:rPr>
        <w:t>Finance</w:t>
      </w:r>
      <w:bookmarkEnd w:id="143"/>
      <w:bookmarkEnd w:id="144"/>
      <w:bookmarkEnd w:id="145"/>
    </w:p>
    <w:p>
      <w:pPr>
        <w:pStyle w:val="Heading5"/>
        <w:rPr>
          <w:snapToGrid w:val="0"/>
        </w:rPr>
      </w:pPr>
      <w:bookmarkStart w:id="146" w:name="_Toc472001213"/>
      <w:r>
        <w:rPr>
          <w:rStyle w:val="CharSectno"/>
        </w:rPr>
        <w:t>62</w:t>
      </w:r>
      <w:r>
        <w:rPr>
          <w:snapToGrid w:val="0"/>
        </w:rPr>
        <w:t>.</w:t>
      </w:r>
      <w:r>
        <w:rPr>
          <w:snapToGrid w:val="0"/>
        </w:rPr>
        <w:tab/>
        <w:t>Funds</w:t>
      </w:r>
      <w:bookmarkEnd w:id="146"/>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147" w:name="_Toc472001214"/>
      <w:r>
        <w:rPr>
          <w:rStyle w:val="CharSectno"/>
        </w:rPr>
        <w:t>63</w:t>
      </w:r>
      <w:r>
        <w:rPr>
          <w:snapToGrid w:val="0"/>
        </w:rPr>
        <w:t>.</w:t>
      </w:r>
      <w:r>
        <w:rPr>
          <w:snapToGrid w:val="0"/>
        </w:rPr>
        <w:tab/>
        <w:t>Power to raise money</w:t>
      </w:r>
      <w:bookmarkEnd w:id="147"/>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148" w:name="_Toc472001215"/>
      <w:r>
        <w:rPr>
          <w:rStyle w:val="CharSectno"/>
        </w:rPr>
        <w:t>64</w:t>
      </w:r>
      <w:r>
        <w:rPr>
          <w:snapToGrid w:val="0"/>
        </w:rPr>
        <w:t>.</w:t>
      </w:r>
      <w:r>
        <w:rPr>
          <w:snapToGrid w:val="0"/>
        </w:rPr>
        <w:tab/>
        <w:t>Provisions as to debentures and inscribed stock</w:t>
      </w:r>
      <w:bookmarkEnd w:id="148"/>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149" w:name="_Toc472001216"/>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150" w:name="_Toc471906426"/>
      <w:bookmarkStart w:id="151" w:name="_Toc472001095"/>
      <w:bookmarkStart w:id="152" w:name="_Toc472001217"/>
      <w:r>
        <w:rPr>
          <w:rStyle w:val="CharPartNo"/>
        </w:rPr>
        <w:t>Part VIII</w:t>
      </w:r>
      <w:r>
        <w:rPr>
          <w:rStyle w:val="CharDivNo"/>
        </w:rPr>
        <w:t> </w:t>
      </w:r>
      <w:r>
        <w:t>—</w:t>
      </w:r>
      <w:r>
        <w:rPr>
          <w:rStyle w:val="CharDivText"/>
        </w:rPr>
        <w:t> </w:t>
      </w:r>
      <w:r>
        <w:rPr>
          <w:rStyle w:val="CharPartText"/>
        </w:rPr>
        <w:t>Miscellaneous</w:t>
      </w:r>
      <w:bookmarkEnd w:id="150"/>
      <w:bookmarkEnd w:id="151"/>
      <w:bookmarkEnd w:id="152"/>
    </w:p>
    <w:p>
      <w:pPr>
        <w:pStyle w:val="Heading5"/>
        <w:rPr>
          <w:snapToGrid w:val="0"/>
        </w:rPr>
      </w:pPr>
      <w:bookmarkStart w:id="153" w:name="_Toc472001218"/>
      <w:r>
        <w:rPr>
          <w:rStyle w:val="CharSectno"/>
        </w:rPr>
        <w:t>68</w:t>
      </w:r>
      <w:r>
        <w:rPr>
          <w:snapToGrid w:val="0"/>
        </w:rPr>
        <w:t>.</w:t>
      </w:r>
      <w:r>
        <w:rPr>
          <w:snapToGrid w:val="0"/>
        </w:rPr>
        <w:tab/>
        <w:t>Power to extend time</w:t>
      </w:r>
      <w:bookmarkEnd w:id="153"/>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54" w:name="_Toc472001219"/>
      <w:r>
        <w:rPr>
          <w:rStyle w:val="CharSectno"/>
        </w:rPr>
        <w:t>69</w:t>
      </w:r>
      <w:r>
        <w:t>.</w:t>
      </w:r>
      <w:r>
        <w:tab/>
        <w:t>Protection from personal liability</w:t>
      </w:r>
      <w:bookmarkEnd w:id="15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55" w:name="_Toc472001220"/>
      <w:r>
        <w:rPr>
          <w:rStyle w:val="CharSectno"/>
        </w:rPr>
        <w:t>70</w:t>
      </w:r>
      <w:r>
        <w:rPr>
          <w:snapToGrid w:val="0"/>
        </w:rPr>
        <w:t>.</w:t>
      </w:r>
      <w:r>
        <w:rPr>
          <w:snapToGrid w:val="0"/>
        </w:rPr>
        <w:tab/>
        <w:t>Regulations generally</w:t>
      </w:r>
      <w:bookmarkEnd w:id="155"/>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56" w:name="_Toc472001221"/>
      <w:r>
        <w:rPr>
          <w:rStyle w:val="CharSectno"/>
        </w:rPr>
        <w:t>71</w:t>
      </w:r>
      <w:r>
        <w:rPr>
          <w:snapToGrid w:val="0"/>
        </w:rPr>
        <w:t>.</w:t>
      </w:r>
      <w:r>
        <w:rPr>
          <w:snapToGrid w:val="0"/>
        </w:rPr>
        <w:tab/>
        <w:t>Regulations as to fees</w:t>
      </w:r>
      <w:bookmarkEnd w:id="156"/>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57" w:name="_Toc472001222"/>
      <w:r>
        <w:rPr>
          <w:rStyle w:val="CharSectno"/>
        </w:rPr>
        <w:t>72</w:t>
      </w:r>
      <w:r>
        <w:rPr>
          <w:snapToGrid w:val="0"/>
        </w:rPr>
        <w:t>.</w:t>
      </w:r>
      <w:r>
        <w:rPr>
          <w:snapToGrid w:val="0"/>
        </w:rPr>
        <w:tab/>
        <w:t>Payment of fees and duties</w:t>
      </w:r>
      <w:bookmarkEnd w:id="157"/>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158" w:name="_Toc472001223"/>
      <w:r>
        <w:rPr>
          <w:rStyle w:val="CharSectno"/>
        </w:rPr>
        <w:t>73</w:t>
      </w:r>
      <w:r>
        <w:rPr>
          <w:snapToGrid w:val="0"/>
        </w:rPr>
        <w:t>.</w:t>
      </w:r>
      <w:r>
        <w:rPr>
          <w:snapToGrid w:val="0"/>
        </w:rPr>
        <w:tab/>
        <w:t>Addition of certain amounts to balance of contract price or loan</w:t>
      </w:r>
      <w:bookmarkEnd w:id="158"/>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159" w:name="_Toc471906433"/>
      <w:bookmarkStart w:id="160" w:name="_Toc472001102"/>
      <w:bookmarkStart w:id="161" w:name="_Toc472001224"/>
      <w:r>
        <w:rPr>
          <w:rStyle w:val="CharPartNo"/>
        </w:rPr>
        <w:t>Part IX</w:t>
      </w:r>
      <w:r>
        <w:rPr>
          <w:rStyle w:val="CharDivNo"/>
        </w:rPr>
        <w:t> </w:t>
      </w:r>
      <w:r>
        <w:t>—</w:t>
      </w:r>
      <w:r>
        <w:rPr>
          <w:rStyle w:val="CharDivText"/>
        </w:rPr>
        <w:t> </w:t>
      </w:r>
      <w:r>
        <w:rPr>
          <w:rStyle w:val="CharPartText"/>
        </w:rPr>
        <w:t>Saving and transitional provisions</w:t>
      </w:r>
      <w:bookmarkEnd w:id="159"/>
      <w:bookmarkEnd w:id="160"/>
      <w:bookmarkEnd w:id="161"/>
    </w:p>
    <w:p>
      <w:pPr>
        <w:pStyle w:val="Heading5"/>
        <w:rPr>
          <w:snapToGrid w:val="0"/>
        </w:rPr>
      </w:pPr>
      <w:bookmarkStart w:id="162" w:name="_Toc472001225"/>
      <w:r>
        <w:rPr>
          <w:rStyle w:val="CharSectno"/>
        </w:rPr>
        <w:t>74</w:t>
      </w:r>
      <w:r>
        <w:rPr>
          <w:snapToGrid w:val="0"/>
        </w:rPr>
        <w:t>.</w:t>
      </w:r>
      <w:r>
        <w:rPr>
          <w:snapToGrid w:val="0"/>
        </w:rPr>
        <w:tab/>
        <w:t>Continuity of status and operation</w:t>
      </w:r>
      <w:bookmarkEnd w:id="162"/>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63" w:name="_Toc472001226"/>
      <w:r>
        <w:rPr>
          <w:rStyle w:val="CharSectno"/>
        </w:rPr>
        <w:t>75</w:t>
      </w:r>
      <w:r>
        <w:rPr>
          <w:snapToGrid w:val="0"/>
        </w:rPr>
        <w:t>.</w:t>
      </w:r>
      <w:r>
        <w:rPr>
          <w:snapToGrid w:val="0"/>
        </w:rPr>
        <w:tab/>
        <w:t>Membership of Commission</w:t>
      </w:r>
      <w:bookmarkEnd w:id="163"/>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64" w:name="_Toc472001227"/>
      <w:r>
        <w:rPr>
          <w:rStyle w:val="CharSectno"/>
        </w:rPr>
        <w:t>76</w:t>
      </w:r>
      <w:r>
        <w:rPr>
          <w:snapToGrid w:val="0"/>
        </w:rPr>
        <w:t>.</w:t>
      </w:r>
      <w:r>
        <w:rPr>
          <w:snapToGrid w:val="0"/>
        </w:rPr>
        <w:tab/>
        <w:t>Continuation of provisions relating to earlier Acts and bodies</w:t>
      </w:r>
      <w:bookmarkEnd w:id="164"/>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65" w:name="_Toc472001228"/>
      <w:r>
        <w:rPr>
          <w:rStyle w:val="CharSectno"/>
        </w:rPr>
        <w:t>77</w:t>
      </w:r>
      <w:r>
        <w:rPr>
          <w:snapToGrid w:val="0"/>
        </w:rPr>
        <w:t>.</w:t>
      </w:r>
      <w:r>
        <w:rPr>
          <w:snapToGrid w:val="0"/>
        </w:rPr>
        <w:tab/>
        <w:t>Contracts of sale, mortgages and tenancies</w:t>
      </w:r>
      <w:bookmarkEnd w:id="165"/>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66" w:name="_Toc472001229"/>
      <w:r>
        <w:rPr>
          <w:rStyle w:val="CharSectno"/>
        </w:rPr>
        <w:t>78</w:t>
      </w:r>
      <w:r>
        <w:rPr>
          <w:snapToGrid w:val="0"/>
        </w:rPr>
        <w:t>.</w:t>
      </w:r>
      <w:r>
        <w:rPr>
          <w:snapToGrid w:val="0"/>
        </w:rPr>
        <w:tab/>
        <w:t>Perpetual leases</w:t>
      </w:r>
      <w:bookmarkEnd w:id="16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67" w:name="_Toc472001230"/>
      <w:r>
        <w:rPr>
          <w:rStyle w:val="CharSectno"/>
        </w:rPr>
        <w:t>79</w:t>
      </w:r>
      <w:r>
        <w:rPr>
          <w:snapToGrid w:val="0"/>
        </w:rPr>
        <w:t>.</w:t>
      </w:r>
      <w:r>
        <w:rPr>
          <w:snapToGrid w:val="0"/>
        </w:rPr>
        <w:tab/>
        <w:t>References</w:t>
      </w:r>
      <w:bookmarkEnd w:id="167"/>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68" w:name="_Toc472001231"/>
      <w:r>
        <w:rPr>
          <w:rStyle w:val="CharSectno"/>
        </w:rPr>
        <w:t>80</w:t>
      </w:r>
      <w:r>
        <w:rPr>
          <w:snapToGrid w:val="0"/>
        </w:rPr>
        <w:t>.</w:t>
      </w:r>
      <w:r>
        <w:rPr>
          <w:snapToGrid w:val="0"/>
        </w:rPr>
        <w:tab/>
        <w:t>Construction</w:t>
      </w:r>
      <w:bookmarkEnd w:id="168"/>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69" w:name="_Toc471906441"/>
      <w:bookmarkStart w:id="170" w:name="_Toc472001110"/>
      <w:bookmarkStart w:id="171" w:name="_Toc472001232"/>
      <w:r>
        <w:t>Notes</w:t>
      </w:r>
      <w:bookmarkEnd w:id="169"/>
      <w:bookmarkEnd w:id="170"/>
      <w:bookmarkEnd w:id="171"/>
    </w:p>
    <w:p>
      <w:pPr>
        <w:pStyle w:val="nSubsection"/>
      </w:pPr>
      <w:r>
        <w:rPr>
          <w:vertAlign w:val="superscript"/>
        </w:rPr>
        <w:t>1</w:t>
      </w:r>
      <w:r>
        <w:tab/>
        <w:t xml:space="preserve">This reprint is a compilation as at 2 September 2016 of the </w:t>
      </w:r>
      <w:r>
        <w:rPr>
          <w:i/>
          <w:noProof/>
        </w:rPr>
        <w:t>Housing Act 1980</w:t>
      </w:r>
      <w:r>
        <w:t xml:space="preserve"> and includes the amendments made by the other written laws referred to in the following table</w:t>
      </w:r>
      <w:r>
        <w:rPr>
          <w:snapToGrid w:val="0"/>
        </w:rPr>
        <w:t> </w:t>
      </w:r>
      <w:r>
        <w:rPr>
          <w:snapToGrid w:val="0"/>
          <w:vertAlign w:val="superscript"/>
        </w:rPr>
        <w:t>1a</w:t>
      </w:r>
      <w:r>
        <w:t>.  The table also contains information about any reprint.</w:t>
      </w:r>
    </w:p>
    <w:p>
      <w:pPr>
        <w:pStyle w:val="nHeading3"/>
        <w:rPr>
          <w:snapToGrid w:val="0"/>
        </w:rPr>
      </w:pPr>
      <w:bookmarkStart w:id="172" w:name="_Toc472001233"/>
      <w:r>
        <w:rPr>
          <w:snapToGrid w:val="0"/>
        </w:rPr>
        <w:t>Compilation table</w:t>
      </w:r>
      <w:bookmarkEnd w:id="17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3"/>
        <w:gridCol w:w="2553"/>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Housing Act 1980</w:t>
            </w:r>
          </w:p>
        </w:tc>
        <w:tc>
          <w:tcPr>
            <w:tcW w:w="1134" w:type="dxa"/>
          </w:tcPr>
          <w:p>
            <w:pPr>
              <w:pStyle w:val="nTable"/>
              <w:spacing w:after="40"/>
            </w:pPr>
            <w:r>
              <w:t>58 of 1980</w:t>
            </w:r>
          </w:p>
        </w:tc>
        <w:tc>
          <w:tcPr>
            <w:tcW w:w="1133" w:type="dxa"/>
          </w:tcPr>
          <w:p>
            <w:pPr>
              <w:pStyle w:val="nTable"/>
              <w:spacing w:after="40"/>
            </w:pPr>
            <w:r>
              <w:t>24 Nov 1980</w:t>
            </w:r>
          </w:p>
        </w:tc>
        <w:tc>
          <w:tcPr>
            <w:tcW w:w="2553" w:type="dxa"/>
          </w:tcPr>
          <w:p>
            <w:pPr>
              <w:pStyle w:val="nTable"/>
              <w:spacing w:after="40"/>
            </w:pPr>
            <w:r>
              <w:t xml:space="preserve">1 Jan 1981 (see s. 2 and </w:t>
            </w:r>
            <w:r>
              <w:rPr>
                <w:i/>
              </w:rPr>
              <w:t>Gazette</w:t>
            </w:r>
            <w:r>
              <w:t xml:space="preserve"> 24 Dec 1980 p. 4349)</w:t>
            </w:r>
          </w:p>
        </w:tc>
      </w:tr>
      <w:tr>
        <w:trPr>
          <w:cantSplit/>
        </w:trPr>
        <w:tc>
          <w:tcPr>
            <w:tcW w:w="2267" w:type="dxa"/>
          </w:tcPr>
          <w:p>
            <w:pPr>
              <w:pStyle w:val="nTable"/>
              <w:spacing w:after="40"/>
              <w:ind w:right="113"/>
            </w:pPr>
            <w:r>
              <w:rPr>
                <w:i/>
              </w:rPr>
              <w:t>Companies (Consequential Amendments) Act 1982</w:t>
            </w:r>
            <w:r>
              <w:t xml:space="preserve"> s. 28</w:t>
            </w:r>
          </w:p>
        </w:tc>
        <w:tc>
          <w:tcPr>
            <w:tcW w:w="1134" w:type="dxa"/>
          </w:tcPr>
          <w:p>
            <w:pPr>
              <w:pStyle w:val="nTable"/>
              <w:spacing w:after="40"/>
            </w:pPr>
            <w:r>
              <w:t>10 of 1982</w:t>
            </w:r>
          </w:p>
        </w:tc>
        <w:tc>
          <w:tcPr>
            <w:tcW w:w="1133" w:type="dxa"/>
          </w:tcPr>
          <w:p>
            <w:pPr>
              <w:pStyle w:val="nTable"/>
              <w:spacing w:after="40"/>
            </w:pPr>
            <w:r>
              <w:t>14 May 1982</w:t>
            </w:r>
          </w:p>
        </w:tc>
        <w:tc>
          <w:tcPr>
            <w:tcW w:w="2553" w:type="dxa"/>
          </w:tcPr>
          <w:p>
            <w:pPr>
              <w:pStyle w:val="nTable"/>
              <w:spacing w:after="40"/>
            </w:pPr>
            <w:r>
              <w:t xml:space="preserve">1 Jul 1982 (see s. 2(1) and </w:t>
            </w:r>
            <w:r>
              <w:rPr>
                <w:i/>
                <w:iCs/>
              </w:rPr>
              <w:t>Gazette</w:t>
            </w:r>
            <w:r>
              <w:t xml:space="preserve"> 25 Jun 1982 p. 2079)</w:t>
            </w:r>
          </w:p>
        </w:tc>
      </w:tr>
      <w:tr>
        <w:trPr>
          <w:cantSplit/>
        </w:trPr>
        <w:tc>
          <w:tcPr>
            <w:tcW w:w="2267" w:type="dxa"/>
          </w:tcPr>
          <w:p>
            <w:pPr>
              <w:pStyle w:val="nTable"/>
              <w:spacing w:after="40"/>
              <w:ind w:right="113"/>
              <w:rPr>
                <w:iCs/>
              </w:rPr>
            </w:pPr>
            <w:r>
              <w:rPr>
                <w:i/>
              </w:rPr>
              <w:t>Housing Amendment Act 1983</w:t>
            </w:r>
            <w:r>
              <w:rPr>
                <w:iCs/>
                <w:vertAlign w:val="superscript"/>
              </w:rPr>
              <w:t> 5</w:t>
            </w:r>
          </w:p>
        </w:tc>
        <w:tc>
          <w:tcPr>
            <w:tcW w:w="1134" w:type="dxa"/>
          </w:tcPr>
          <w:p>
            <w:pPr>
              <w:pStyle w:val="nTable"/>
              <w:spacing w:after="40"/>
            </w:pPr>
            <w:r>
              <w:t>62 of 1983</w:t>
            </w:r>
          </w:p>
        </w:tc>
        <w:tc>
          <w:tcPr>
            <w:tcW w:w="1133" w:type="dxa"/>
          </w:tcPr>
          <w:p>
            <w:pPr>
              <w:pStyle w:val="nTable"/>
              <w:spacing w:after="40"/>
            </w:pPr>
            <w:r>
              <w:t>13 Dec 1983</w:t>
            </w:r>
          </w:p>
        </w:tc>
        <w:tc>
          <w:tcPr>
            <w:tcW w:w="2553" w:type="dxa"/>
          </w:tcPr>
          <w:p>
            <w:pPr>
              <w:pStyle w:val="nTable"/>
              <w:spacing w:after="40"/>
            </w:pPr>
            <w:r>
              <w:t xml:space="preserve">Act other than s. 4: </w:t>
            </w:r>
            <w:r>
              <w:br/>
              <w:t>13 Dec 1983 (see s. 2(1));</w:t>
            </w:r>
            <w:r>
              <w:br/>
              <w:t>s. 4: 1 Jan 1984 (see s. 2(2))</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3"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Financial Administration Legislation Amendment Act 1993</w:t>
            </w:r>
            <w:r>
              <w:t xml:space="preserve"> s. 11 and 14(3) </w:t>
            </w:r>
          </w:p>
        </w:tc>
        <w:tc>
          <w:tcPr>
            <w:tcW w:w="1134" w:type="dxa"/>
          </w:tcPr>
          <w:p>
            <w:pPr>
              <w:pStyle w:val="nTable"/>
              <w:spacing w:after="40"/>
            </w:pPr>
            <w:r>
              <w:t>6 of 1993</w:t>
            </w:r>
          </w:p>
        </w:tc>
        <w:tc>
          <w:tcPr>
            <w:tcW w:w="1133" w:type="dxa"/>
          </w:tcPr>
          <w:p>
            <w:pPr>
              <w:pStyle w:val="nTable"/>
              <w:spacing w:after="40"/>
            </w:pPr>
            <w:r>
              <w:t>27 Aug 1993</w:t>
            </w:r>
          </w:p>
        </w:tc>
        <w:tc>
          <w:tcPr>
            <w:tcW w:w="2553" w:type="dxa"/>
          </w:tcPr>
          <w:p>
            <w:pPr>
              <w:pStyle w:val="nTable"/>
              <w:spacing w:after="40"/>
            </w:pPr>
            <w:r>
              <w:t>1 Jul 1993 (see s. 2(1))</w:t>
            </w:r>
          </w:p>
        </w:tc>
      </w:tr>
      <w:tr>
        <w:trPr>
          <w:cantSplit/>
        </w:trPr>
        <w:tc>
          <w:tcPr>
            <w:tcW w:w="2267"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3"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13"/>
            </w:pPr>
            <w:r>
              <w:rPr>
                <w:i/>
              </w:rPr>
              <w:t>Planning Legislation Amendment Act (No. 2) 1994</w:t>
            </w:r>
            <w:r>
              <w:t xml:space="preserve"> s. 46(7)</w:t>
            </w:r>
          </w:p>
        </w:tc>
        <w:tc>
          <w:tcPr>
            <w:tcW w:w="1134" w:type="dxa"/>
          </w:tcPr>
          <w:p>
            <w:pPr>
              <w:pStyle w:val="nTable"/>
              <w:spacing w:after="40"/>
            </w:pPr>
            <w:r>
              <w:t>84 of 1994</w:t>
            </w:r>
          </w:p>
        </w:tc>
        <w:tc>
          <w:tcPr>
            <w:tcW w:w="1133" w:type="dxa"/>
          </w:tcPr>
          <w:p>
            <w:pPr>
              <w:pStyle w:val="nTable"/>
              <w:spacing w:after="40"/>
            </w:pPr>
            <w:r>
              <w:t>13 Jan 1995</w:t>
            </w:r>
          </w:p>
        </w:tc>
        <w:tc>
          <w:tcPr>
            <w:tcW w:w="2553" w:type="dxa"/>
          </w:tcPr>
          <w:p>
            <w:pPr>
              <w:pStyle w:val="nTable"/>
              <w:spacing w:after="40"/>
            </w:pPr>
            <w:r>
              <w:t xml:space="preserve">1 Mar 1995 (see s. 2 and </w:t>
            </w:r>
            <w:r>
              <w:rPr>
                <w:i/>
              </w:rPr>
              <w:t>Gazette</w:t>
            </w:r>
            <w:r>
              <w:t xml:space="preserve"> 21 Feb 1995 p. 567)</w:t>
            </w:r>
          </w:p>
        </w:tc>
      </w:tr>
      <w:tr>
        <w:trPr>
          <w:cantSplit/>
        </w:trPr>
        <w:tc>
          <w:tcPr>
            <w:tcW w:w="2267"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keepNext/>
              <w:keepLines/>
              <w:spacing w:after="40"/>
            </w:pPr>
            <w:r>
              <w:t>73 of 1995</w:t>
            </w:r>
          </w:p>
        </w:tc>
        <w:tc>
          <w:tcPr>
            <w:tcW w:w="1133" w:type="dxa"/>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 </w:t>
            </w:r>
          </w:p>
        </w:tc>
      </w:tr>
      <w:tr>
        <w:trPr>
          <w:cantSplit/>
        </w:trPr>
        <w:tc>
          <w:tcPr>
            <w:tcW w:w="2267"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3" w:type="dxa"/>
          </w:tcPr>
          <w:p>
            <w:pPr>
              <w:pStyle w:val="nTable"/>
              <w:spacing w:after="40"/>
            </w:pPr>
            <w:r>
              <w:t>28 Jun 1996</w:t>
            </w:r>
          </w:p>
        </w:tc>
        <w:tc>
          <w:tcPr>
            <w:tcW w:w="2553" w:type="dxa"/>
          </w:tcPr>
          <w:p>
            <w:pPr>
              <w:pStyle w:val="nTable"/>
              <w:spacing w:after="40"/>
            </w:pPr>
            <w:r>
              <w:t>1 Jul 1996 (see s. 2)</w:t>
            </w:r>
          </w:p>
        </w:tc>
      </w:tr>
      <w:tr>
        <w:trPr>
          <w:cantSplit/>
        </w:trPr>
        <w:tc>
          <w:tcPr>
            <w:tcW w:w="2267"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3"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rPr>
          <w:cantSplit/>
        </w:trPr>
        <w:tc>
          <w:tcPr>
            <w:tcW w:w="2267" w:type="dxa"/>
          </w:tcPr>
          <w:p>
            <w:pPr>
              <w:pStyle w:val="nTable"/>
              <w:spacing w:after="40"/>
              <w:ind w:right="113"/>
            </w:pPr>
            <w:r>
              <w:rPr>
                <w:i/>
              </w:rPr>
              <w:t>Financial Legislation Amendment Act 1996</w:t>
            </w:r>
            <w:r>
              <w:t xml:space="preserve"> s. 64</w:t>
            </w:r>
          </w:p>
        </w:tc>
        <w:tc>
          <w:tcPr>
            <w:tcW w:w="1134" w:type="dxa"/>
          </w:tcPr>
          <w:p>
            <w:pPr>
              <w:pStyle w:val="nTable"/>
              <w:keepNext/>
              <w:spacing w:after="40"/>
            </w:pPr>
            <w:r>
              <w:t>49 of 1996</w:t>
            </w:r>
          </w:p>
        </w:tc>
        <w:tc>
          <w:tcPr>
            <w:tcW w:w="1133" w:type="dxa"/>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7" w:type="dxa"/>
          </w:tcPr>
          <w:p>
            <w:pPr>
              <w:pStyle w:val="nTable"/>
              <w:spacing w:after="40"/>
              <w:ind w:right="113"/>
            </w:pPr>
            <w:r>
              <w:rPr>
                <w:i/>
              </w:rPr>
              <w:t>Transfer of Land Amendment Act 1996</w:t>
            </w:r>
            <w:r>
              <w:t xml:space="preserve"> s. 153(1)</w:t>
            </w:r>
          </w:p>
        </w:tc>
        <w:tc>
          <w:tcPr>
            <w:tcW w:w="1134" w:type="dxa"/>
          </w:tcPr>
          <w:p>
            <w:pPr>
              <w:pStyle w:val="nTable"/>
              <w:spacing w:after="40"/>
            </w:pPr>
            <w:r>
              <w:t>81 of 1996</w:t>
            </w:r>
          </w:p>
        </w:tc>
        <w:tc>
          <w:tcPr>
            <w:tcW w:w="1133" w:type="dxa"/>
          </w:tcPr>
          <w:p>
            <w:pPr>
              <w:pStyle w:val="nTable"/>
              <w:spacing w:after="40"/>
            </w:pPr>
            <w:r>
              <w:t>14 Nov 1996</w:t>
            </w:r>
          </w:p>
        </w:tc>
        <w:tc>
          <w:tcPr>
            <w:tcW w:w="2553" w:type="dxa"/>
          </w:tcPr>
          <w:p>
            <w:pPr>
              <w:pStyle w:val="nTable"/>
              <w:spacing w:after="40"/>
            </w:pPr>
            <w:r>
              <w:t>14 Nov 1996 (see s. 2(1))</w:t>
            </w:r>
          </w:p>
        </w:tc>
      </w:tr>
      <w:tr>
        <w:trPr>
          <w:cantSplit/>
        </w:trPr>
        <w:tc>
          <w:tcPr>
            <w:tcW w:w="2267" w:type="dxa"/>
          </w:tcPr>
          <w:p>
            <w:pPr>
              <w:pStyle w:val="nTable"/>
              <w:spacing w:after="40"/>
              <w:ind w:right="113"/>
            </w:pPr>
            <w:r>
              <w:rPr>
                <w:i/>
              </w:rPr>
              <w:t>Acts Amendment (Land Administration) Act 1997</w:t>
            </w:r>
            <w:r>
              <w:t xml:space="preserve"> Pt. 33</w:t>
            </w:r>
          </w:p>
        </w:tc>
        <w:tc>
          <w:tcPr>
            <w:tcW w:w="1134" w:type="dxa"/>
          </w:tcPr>
          <w:p>
            <w:pPr>
              <w:pStyle w:val="nTable"/>
              <w:spacing w:after="40"/>
            </w:pPr>
            <w:r>
              <w:t>31 of 1997</w:t>
            </w:r>
          </w:p>
        </w:tc>
        <w:tc>
          <w:tcPr>
            <w:tcW w:w="1133"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13"/>
            </w:pPr>
            <w:r>
              <w:rPr>
                <w:i/>
              </w:rPr>
              <w:t>Statutes (Repeals and Minor Amendments) Act (No. 2) 1998</w:t>
            </w:r>
            <w:r>
              <w:t xml:space="preserve"> s. 9(2)</w:t>
            </w:r>
          </w:p>
        </w:tc>
        <w:tc>
          <w:tcPr>
            <w:tcW w:w="1134" w:type="dxa"/>
          </w:tcPr>
          <w:p>
            <w:pPr>
              <w:pStyle w:val="nTable"/>
              <w:spacing w:after="40"/>
            </w:pPr>
            <w:r>
              <w:t>10 of 1998</w:t>
            </w:r>
          </w:p>
        </w:tc>
        <w:tc>
          <w:tcPr>
            <w:tcW w:w="1133" w:type="dxa"/>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4"/>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7" w:type="dxa"/>
          </w:tcPr>
          <w:p>
            <w:pPr>
              <w:pStyle w:val="nTable"/>
              <w:spacing w:after="40"/>
            </w:pPr>
            <w:r>
              <w:rPr>
                <w:i/>
              </w:rPr>
              <w:t>Acts Amendment and Repeal (Financial Sector Reform) Act 1999</w:t>
            </w:r>
            <w:r>
              <w:t xml:space="preserve"> s. 87</w:t>
            </w:r>
          </w:p>
        </w:tc>
        <w:tc>
          <w:tcPr>
            <w:tcW w:w="1134" w:type="dxa"/>
          </w:tcPr>
          <w:p>
            <w:pPr>
              <w:pStyle w:val="nTable"/>
              <w:spacing w:after="40"/>
            </w:pPr>
            <w:r>
              <w:t>26 of 1999</w:t>
            </w:r>
          </w:p>
        </w:tc>
        <w:tc>
          <w:tcPr>
            <w:tcW w:w="1133" w:type="dxa"/>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7" w:type="dxa"/>
          </w:tcPr>
          <w:p>
            <w:pPr>
              <w:pStyle w:val="nTable"/>
              <w:spacing w:after="40"/>
              <w:ind w:right="113"/>
              <w:rPr>
                <w:i/>
              </w:rPr>
            </w:pPr>
            <w:r>
              <w:rPr>
                <w:i/>
              </w:rPr>
              <w:t xml:space="preserve">Building Societies Amendment Act 2001 </w:t>
            </w:r>
            <w:r>
              <w:t>s. 49 and 51</w:t>
            </w:r>
          </w:p>
        </w:tc>
        <w:tc>
          <w:tcPr>
            <w:tcW w:w="1134" w:type="dxa"/>
          </w:tcPr>
          <w:p>
            <w:pPr>
              <w:pStyle w:val="nTable"/>
              <w:spacing w:after="40"/>
            </w:pPr>
            <w:r>
              <w:t>12 of 2001</w:t>
            </w:r>
          </w:p>
        </w:tc>
        <w:tc>
          <w:tcPr>
            <w:tcW w:w="1133" w:type="dxa"/>
          </w:tcPr>
          <w:p>
            <w:pPr>
              <w:pStyle w:val="nTable"/>
              <w:spacing w:after="40"/>
            </w:pPr>
            <w:r>
              <w:t>13 Jul 2001</w:t>
            </w:r>
          </w:p>
        </w:tc>
        <w:tc>
          <w:tcPr>
            <w:tcW w:w="2553" w:type="dxa"/>
          </w:tcPr>
          <w:p>
            <w:pPr>
              <w:pStyle w:val="nTable"/>
              <w:spacing w:after="40"/>
            </w:pPr>
            <w:r>
              <w:t>13 Jul 2001 (see s. 2)</w:t>
            </w:r>
          </w:p>
        </w:tc>
      </w:tr>
      <w:tr>
        <w:trPr>
          <w:cantSplit/>
        </w:trPr>
        <w:tc>
          <w:tcPr>
            <w:tcW w:w="2267" w:type="dxa"/>
          </w:tcPr>
          <w:p>
            <w:pPr>
              <w:pStyle w:val="nTable"/>
              <w:spacing w:after="40"/>
              <w:ind w:right="170"/>
              <w:rPr>
                <w:i/>
              </w:rPr>
            </w:pPr>
            <w:r>
              <w:rPr>
                <w:i/>
              </w:rPr>
              <w:t>Corporations (Consequential Amendments) Act (No. 2) 2003</w:t>
            </w:r>
            <w:r>
              <w:t xml:space="preserve"> Pt. 10</w:t>
            </w:r>
          </w:p>
        </w:tc>
        <w:tc>
          <w:tcPr>
            <w:tcW w:w="1134" w:type="dxa"/>
          </w:tcPr>
          <w:p>
            <w:pPr>
              <w:pStyle w:val="nTable"/>
              <w:spacing w:after="40"/>
            </w:pPr>
            <w:r>
              <w:t>20 of 2003</w:t>
            </w:r>
          </w:p>
        </w:tc>
        <w:tc>
          <w:tcPr>
            <w:tcW w:w="1133"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29</w:t>
            </w:r>
          </w:p>
        </w:tc>
        <w:tc>
          <w:tcPr>
            <w:tcW w:w="1134" w:type="dxa"/>
          </w:tcPr>
          <w:p>
            <w:pPr>
              <w:pStyle w:val="nTable"/>
              <w:spacing w:after="40"/>
            </w:pPr>
            <w:r>
              <w:t>28 of 2003</w:t>
            </w:r>
          </w:p>
        </w:tc>
        <w:tc>
          <w:tcPr>
            <w:tcW w:w="1133"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iCs/>
              </w:rPr>
              <w:t>Housing Societies Repeal Act 2005</w:t>
            </w:r>
            <w:r>
              <w:t xml:space="preserve"> s. 28</w:t>
            </w:r>
          </w:p>
        </w:tc>
        <w:tc>
          <w:tcPr>
            <w:tcW w:w="1134" w:type="dxa"/>
          </w:tcPr>
          <w:p>
            <w:pPr>
              <w:pStyle w:val="nTable"/>
              <w:spacing w:after="40"/>
            </w:pPr>
            <w:r>
              <w:t>17 of 2005</w:t>
            </w:r>
          </w:p>
        </w:tc>
        <w:tc>
          <w:tcPr>
            <w:tcW w:w="1133" w:type="dxa"/>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7"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3"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7" w:type="dxa"/>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6</w:t>
            </w:r>
          </w:p>
        </w:tc>
        <w:tc>
          <w:tcPr>
            <w:tcW w:w="1134" w:type="dxa"/>
          </w:tcPr>
          <w:p>
            <w:pPr>
              <w:pStyle w:val="nTable"/>
              <w:spacing w:after="40"/>
              <w:rPr>
                <w:snapToGrid w:val="0"/>
              </w:rPr>
            </w:pPr>
            <w:r>
              <w:rPr>
                <w:snapToGrid w:val="0"/>
              </w:rPr>
              <w:t>28 of 2006</w:t>
            </w:r>
          </w:p>
        </w:tc>
        <w:tc>
          <w:tcPr>
            <w:tcW w:w="1133"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7" w:type="dxa"/>
          </w:tcPr>
          <w:p>
            <w:pPr>
              <w:pStyle w:val="nTable"/>
              <w:spacing w:after="40"/>
              <w:ind w:right="170"/>
              <w:rPr>
                <w:i/>
                <w:snapToGrid w:val="0"/>
              </w:rPr>
            </w:pPr>
            <w:r>
              <w:rPr>
                <w:i/>
                <w:snapToGrid w:val="0"/>
              </w:rPr>
              <w:t>Land Information Authority Act 2006</w:t>
            </w:r>
            <w:r>
              <w:rPr>
                <w:iCs/>
                <w:snapToGrid w:val="0"/>
              </w:rPr>
              <w:t xml:space="preserve"> s. 137</w:t>
            </w:r>
          </w:p>
        </w:tc>
        <w:tc>
          <w:tcPr>
            <w:tcW w:w="1134" w:type="dxa"/>
          </w:tcPr>
          <w:p>
            <w:pPr>
              <w:pStyle w:val="nTable"/>
              <w:spacing w:after="40"/>
              <w:rPr>
                <w:snapToGrid w:val="0"/>
              </w:rPr>
            </w:pPr>
            <w:r>
              <w:rPr>
                <w:snapToGrid w:val="0"/>
              </w:rPr>
              <w:t>60 of 2006</w:t>
            </w:r>
          </w:p>
        </w:tc>
        <w:tc>
          <w:tcPr>
            <w:tcW w:w="1133" w:type="dxa"/>
          </w:tcPr>
          <w:p>
            <w:pPr>
              <w:pStyle w:val="nTable"/>
              <w:spacing w:after="40"/>
            </w:pPr>
            <w:r>
              <w:rPr>
                <w:snapToGrid w:val="0"/>
              </w:rPr>
              <w:t>16 Nov 2006</w:t>
            </w:r>
          </w:p>
        </w:tc>
        <w:tc>
          <w:tcPr>
            <w:tcW w:w="2553" w:type="dxa"/>
          </w:tcPr>
          <w:p>
            <w:pPr>
              <w:pStyle w:val="nTable"/>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tcPr>
          <w:p>
            <w:pPr>
              <w:pStyle w:val="nTable"/>
              <w:spacing w:after="40"/>
              <w:rPr>
                <w:snapToGrid w:val="0"/>
              </w:rPr>
            </w:pPr>
            <w:r>
              <w:rPr>
                <w:snapToGrid w:val="0"/>
              </w:rPr>
              <w:t xml:space="preserve">77 of 2006 </w:t>
            </w:r>
          </w:p>
        </w:tc>
        <w:tc>
          <w:tcPr>
            <w:tcW w:w="1133" w:type="dxa"/>
          </w:tcPr>
          <w:p>
            <w:pPr>
              <w:pStyle w:val="nTable"/>
              <w:spacing w:after="40"/>
              <w:rPr>
                <w:snapToGrid w:val="0"/>
              </w:rPr>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17</w:t>
            </w:r>
          </w:p>
        </w:tc>
        <w:tc>
          <w:tcPr>
            <w:tcW w:w="1134" w:type="dxa"/>
          </w:tcPr>
          <w:p>
            <w:pPr>
              <w:pStyle w:val="nTable"/>
              <w:spacing w:after="40"/>
            </w:pPr>
            <w:r>
              <w:t>12 of 2008</w:t>
            </w:r>
          </w:p>
        </w:tc>
        <w:tc>
          <w:tcPr>
            <w:tcW w:w="1133" w:type="dxa"/>
          </w:tcPr>
          <w:p>
            <w:pPr>
              <w:pStyle w:val="nTable"/>
              <w:spacing w:after="40"/>
            </w:pPr>
            <w:r>
              <w:t>14 Apr 2008</w:t>
            </w:r>
          </w:p>
        </w:tc>
        <w:tc>
          <w:tcPr>
            <w:tcW w:w="2553" w:type="dxa"/>
          </w:tcPr>
          <w:p>
            <w:pPr>
              <w:pStyle w:val="nTable"/>
              <w:spacing w:after="40"/>
            </w:pPr>
            <w:r>
              <w:t>1 Jul 2008 (see s. 2(d))</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3" w:type="dxa"/>
          </w:tcPr>
          <w:p>
            <w:pPr>
              <w:pStyle w:val="nTable"/>
              <w:spacing w:after="40"/>
            </w:pPr>
            <w:r>
              <w:t>3 Dec 2009</w:t>
            </w:r>
          </w:p>
        </w:tc>
        <w:tc>
          <w:tcPr>
            <w:tcW w:w="2553" w:type="dxa"/>
          </w:tcPr>
          <w:p>
            <w:pPr>
              <w:pStyle w:val="nTable"/>
              <w:spacing w:after="40"/>
            </w:pPr>
            <w:r>
              <w:t>4 Dec 2009 (see s. 2(b))</w:t>
            </w:r>
          </w:p>
        </w:tc>
      </w:tr>
      <w:tr>
        <w:trPr>
          <w:cantSplit/>
        </w:trPr>
        <w:tc>
          <w:tcPr>
            <w:tcW w:w="2267" w:type="dxa"/>
          </w:tcPr>
          <w:p>
            <w:pPr>
              <w:pStyle w:val="nTable"/>
              <w:spacing w:after="40"/>
              <w:ind w:right="113"/>
              <w:rPr>
                <w:i/>
              </w:rPr>
            </w:pPr>
            <w:r>
              <w:rPr>
                <w:i/>
                <w:snapToGrid w:val="0"/>
              </w:rPr>
              <w:t xml:space="preserve">Aboriginal Housing Legislation Amendment Act 2010 </w:t>
            </w:r>
            <w:r>
              <w:rPr>
                <w:iCs/>
                <w:snapToGrid w:val="0"/>
              </w:rPr>
              <w:t>Pt. 2</w:t>
            </w:r>
          </w:p>
        </w:tc>
        <w:tc>
          <w:tcPr>
            <w:tcW w:w="1134" w:type="dxa"/>
          </w:tcPr>
          <w:p>
            <w:pPr>
              <w:pStyle w:val="nTable"/>
              <w:spacing w:after="40"/>
            </w:pPr>
            <w:r>
              <w:t>6 of 2010</w:t>
            </w:r>
          </w:p>
        </w:tc>
        <w:tc>
          <w:tcPr>
            <w:tcW w:w="1133" w:type="dxa"/>
          </w:tcPr>
          <w:p>
            <w:pPr>
              <w:pStyle w:val="nTable"/>
              <w:spacing w:after="40"/>
            </w:pPr>
            <w:r>
              <w:t>25 May 2010</w:t>
            </w:r>
          </w:p>
        </w:tc>
        <w:tc>
          <w:tcPr>
            <w:tcW w:w="2553" w:type="dxa"/>
          </w:tcPr>
          <w:p>
            <w:pPr>
              <w:pStyle w:val="nTable"/>
              <w:spacing w:after="40"/>
            </w:pPr>
            <w:r>
              <w:t xml:space="preserve">1 Jul 2010 (see s. 2(b) and </w:t>
            </w:r>
            <w:r>
              <w:rPr>
                <w:i/>
                <w:iCs/>
              </w:rPr>
              <w:t>Gazette</w:t>
            </w:r>
            <w:r>
              <w:t xml:space="preserve"> 22 Jun 2010 p. 2767)</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r>
              <w:rPr>
                <w:iCs/>
                <w:snapToGrid w:val="0"/>
                <w:vertAlign w:val="superscript"/>
              </w:rPr>
              <w:t> 7</w:t>
            </w:r>
          </w:p>
        </w:tc>
        <w:tc>
          <w:tcPr>
            <w:tcW w:w="1134" w:type="dxa"/>
          </w:tcPr>
          <w:p>
            <w:pPr>
              <w:pStyle w:val="nTable"/>
              <w:spacing w:after="40"/>
              <w:rPr>
                <w:snapToGrid w:val="0"/>
              </w:rPr>
            </w:pPr>
            <w:r>
              <w:rPr>
                <w:snapToGrid w:val="0"/>
              </w:rPr>
              <w:t>19 of 2010 (as amended by No. 17 of 2014 s. 39(4))</w:t>
            </w:r>
          </w:p>
        </w:tc>
        <w:tc>
          <w:tcPr>
            <w:tcW w:w="1133"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7" w:type="dxa"/>
          </w:tcPr>
          <w:p>
            <w:pPr>
              <w:pStyle w:val="nTable"/>
              <w:spacing w:after="40"/>
              <w:ind w:right="113"/>
              <w:rPr>
                <w:i/>
                <w:snapToGrid w:val="0"/>
              </w:rPr>
            </w:pPr>
            <w:r>
              <w:rPr>
                <w:i/>
                <w:snapToGrid w:val="0"/>
              </w:rPr>
              <w:t xml:space="preserve">Residential Tenancies Amendment Act 2011 </w:t>
            </w:r>
            <w:r>
              <w:rPr>
                <w:snapToGrid w:val="0"/>
              </w:rPr>
              <w:t>Pt. 5 Div. 2</w:t>
            </w:r>
          </w:p>
        </w:tc>
        <w:tc>
          <w:tcPr>
            <w:tcW w:w="1134" w:type="dxa"/>
          </w:tcPr>
          <w:p>
            <w:pPr>
              <w:pStyle w:val="nTable"/>
              <w:spacing w:after="40"/>
              <w:rPr>
                <w:snapToGrid w:val="0"/>
              </w:rPr>
            </w:pPr>
            <w:r>
              <w:rPr>
                <w:snapToGrid w:val="0"/>
              </w:rPr>
              <w:t>60 of 2011</w:t>
            </w:r>
          </w:p>
        </w:tc>
        <w:tc>
          <w:tcPr>
            <w:tcW w:w="1133" w:type="dxa"/>
          </w:tcPr>
          <w:p>
            <w:pPr>
              <w:pStyle w:val="nTable"/>
              <w:spacing w:after="40"/>
              <w:rPr>
                <w:snapToGrid w:val="0"/>
              </w:rPr>
            </w:pPr>
            <w:r>
              <w:t>14 Dec 2011</w:t>
            </w:r>
          </w:p>
        </w:tc>
        <w:tc>
          <w:tcPr>
            <w:tcW w:w="2553"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218</w:t>
            </w:r>
          </w:p>
        </w:tc>
        <w:tc>
          <w:tcPr>
            <w:tcW w:w="1134" w:type="dxa"/>
          </w:tcPr>
          <w:p>
            <w:pPr>
              <w:pStyle w:val="nTable"/>
              <w:spacing w:after="40"/>
              <w:rPr>
                <w:snapToGrid w:val="0"/>
              </w:rPr>
            </w:pPr>
            <w:r>
              <w:rPr>
                <w:snapToGrid w:val="0"/>
              </w:rPr>
              <w:t>25 of 2012</w:t>
            </w:r>
          </w:p>
        </w:tc>
        <w:tc>
          <w:tcPr>
            <w:tcW w:w="1133" w:type="dxa"/>
          </w:tcPr>
          <w:p>
            <w:pPr>
              <w:pStyle w:val="nTable"/>
              <w:spacing w:after="40"/>
            </w:pPr>
            <w:r>
              <w:t>3 Sep 2012</w:t>
            </w:r>
          </w:p>
        </w:tc>
        <w:tc>
          <w:tcPr>
            <w:tcW w:w="2553"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tcPr>
          <w:p>
            <w:pPr>
              <w:pStyle w:val="nTable"/>
              <w:spacing w:after="40"/>
              <w:ind w:right="113"/>
              <w:rPr>
                <w:i/>
                <w:snapToGrid w:val="0"/>
              </w:rPr>
            </w:pPr>
            <w:r>
              <w:rPr>
                <w:i/>
                <w:snapToGrid w:val="0"/>
              </w:rPr>
              <w:t>Statutes (Repeals and Minor Amendments) Act 2014</w:t>
            </w:r>
            <w:r>
              <w:rPr>
                <w:snapToGrid w:val="0"/>
              </w:rPr>
              <w:t xml:space="preserve"> s. 26</w:t>
            </w:r>
          </w:p>
        </w:tc>
        <w:tc>
          <w:tcPr>
            <w:tcW w:w="1134" w:type="dxa"/>
          </w:tcPr>
          <w:p>
            <w:pPr>
              <w:pStyle w:val="nTable"/>
              <w:spacing w:after="40"/>
              <w:rPr>
                <w:snapToGrid w:val="0"/>
              </w:rPr>
            </w:pPr>
            <w:r>
              <w:rPr>
                <w:snapToGrid w:val="0"/>
              </w:rPr>
              <w:t>17 of 2014</w:t>
            </w:r>
          </w:p>
        </w:tc>
        <w:tc>
          <w:tcPr>
            <w:tcW w:w="1133" w:type="dxa"/>
          </w:tcPr>
          <w:p>
            <w:pPr>
              <w:pStyle w:val="nTable"/>
              <w:spacing w:after="40"/>
            </w:pPr>
            <w:r>
              <w:t>2 Jul 2014</w:t>
            </w:r>
          </w:p>
        </w:tc>
        <w:tc>
          <w:tcPr>
            <w:tcW w:w="2553"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ind w:right="113"/>
              <w:rPr>
                <w:i/>
                <w:snapToGrid w:val="0"/>
              </w:rPr>
            </w:pPr>
            <w:r>
              <w:rPr>
                <w:i/>
                <w:noProof/>
              </w:rPr>
              <w:t xml:space="preserve">Associations Incorporation Act 2015 </w:t>
            </w:r>
            <w:r>
              <w:rPr>
                <w:noProof/>
              </w:rPr>
              <w:t>s. 232</w:t>
            </w:r>
          </w:p>
        </w:tc>
        <w:tc>
          <w:tcPr>
            <w:tcW w:w="1134" w:type="dxa"/>
          </w:tcPr>
          <w:p>
            <w:pPr>
              <w:pStyle w:val="nTable"/>
              <w:keepNext/>
              <w:spacing w:after="40"/>
            </w:pPr>
            <w:r>
              <w:t>30 of 2015</w:t>
            </w:r>
          </w:p>
        </w:tc>
        <w:tc>
          <w:tcPr>
            <w:tcW w:w="1133" w:type="dxa"/>
          </w:tcPr>
          <w:p>
            <w:pPr>
              <w:pStyle w:val="nTable"/>
              <w:spacing w:after="40"/>
            </w:pPr>
            <w:r>
              <w:t>2 Nov 2015</w:t>
            </w:r>
          </w:p>
        </w:tc>
        <w:tc>
          <w:tcPr>
            <w:tcW w:w="2553"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Housing Act 1980</w:t>
            </w:r>
            <w:r>
              <w:rPr>
                <w:b/>
                <w:snapToGrid w:val="0"/>
              </w:rPr>
              <w:t xml:space="preserve"> as at 2 Sep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73" w:name="_Toc472001234"/>
      <w:r>
        <w:t>Provisions that have not come into operation</w:t>
      </w:r>
      <w:bookmarkEnd w:id="1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120"/>
        <w:gridCol w:w="14"/>
        <w:gridCol w:w="1134"/>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s. 101 and Pt. 5 Div. 9</w:t>
            </w:r>
            <w:r>
              <w:rPr>
                <w:vertAlign w:val="superscript"/>
              </w:rPr>
              <w:t> 8</w:t>
            </w:r>
          </w:p>
        </w:tc>
        <w:tc>
          <w:tcPr>
            <w:tcW w:w="1145" w:type="dxa"/>
            <w:gridSpan w:val="2"/>
            <w:tcBorders>
              <w:top w:val="nil"/>
              <w:bottom w:val="single" w:sz="4" w:space="0" w:color="auto"/>
            </w:tcBorders>
          </w:tcPr>
          <w:p>
            <w:pPr>
              <w:pStyle w:val="nTable"/>
              <w:spacing w:after="40"/>
            </w:pPr>
            <w:r>
              <w:t>19 of 2016</w:t>
            </w:r>
          </w:p>
        </w:tc>
        <w:tc>
          <w:tcPr>
            <w:tcW w:w="1148" w:type="dxa"/>
            <w:gridSpan w:val="2"/>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9: </w:t>
            </w:r>
            <w:r>
              <w:rPr>
                <w:snapToGrid w:val="0"/>
              </w:rPr>
              <w:t>to be proclaimed (see s. 2(1)(c))</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6</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keepNext/>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keepNext/>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keepNext/>
      </w:pPr>
      <w:r>
        <w:rPr>
          <w:b/>
        </w:rPr>
        <w:tab/>
      </w:r>
      <w:r>
        <w:rPr>
          <w:rStyle w:val="CharDefText"/>
        </w:rPr>
        <w:t>former body</w:t>
      </w:r>
      <w:r>
        <w:t xml:space="preserve"> means —</w:t>
      </w:r>
    </w:p>
    <w:p>
      <w:pPr>
        <w:pStyle w:val="nzDefpara"/>
        <w:keepNext/>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7</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rPr>
          <w:snapToGrid w:val="0"/>
        </w:rPr>
      </w:pPr>
      <w:r>
        <w:rPr>
          <w:snapToGrid w:val="0"/>
          <w:vertAlign w:val="superscript"/>
        </w:rPr>
        <w:t>8</w:t>
      </w:r>
      <w:r>
        <w:rPr>
          <w:snapToGrid w:val="0"/>
        </w:rPr>
        <w:tab/>
        <w:t xml:space="preserve">On the date as at which this reprint was prepared, the </w:t>
      </w:r>
      <w:r>
        <w:rPr>
          <w:i/>
        </w:rPr>
        <w:t>Public Health (Consequential Provisions) Act 2016</w:t>
      </w:r>
      <w:r>
        <w:t xml:space="preserve"> s. 101 and Pt. 5 Div. 9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Housing Act 1980</w:t>
            </w:r>
          </w:p>
        </w:tc>
        <w:tc>
          <w:tcPr>
            <w:tcW w:w="3402" w:type="dxa"/>
          </w:tcPr>
          <w:p>
            <w:pPr>
              <w:pStyle w:val="TableAm"/>
              <w:rPr>
                <w:sz w:val="20"/>
              </w:rPr>
            </w:pPr>
            <w:r>
              <w:rPr>
                <w:sz w:val="20"/>
              </w:rPr>
              <w:t xml:space="preserve">s. 5(1) def. of </w:t>
            </w:r>
            <w:r>
              <w:rPr>
                <w:b/>
                <w:i/>
                <w:sz w:val="20"/>
              </w:rPr>
              <w:t>local government</w:t>
            </w:r>
          </w:p>
        </w:tc>
      </w:tr>
    </w:tbl>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9</w:t>
      </w:r>
      <w:r>
        <w:t> — </w:t>
      </w:r>
      <w:r>
        <w:rPr>
          <w:rStyle w:val="CharDivText"/>
          <w:i/>
        </w:rPr>
        <w:t>Housing Act 1980</w:t>
      </w:r>
      <w:r>
        <w:rPr>
          <w:rStyle w:val="CharDivText"/>
        </w:rPr>
        <w:t xml:space="preserve"> amended</w:t>
      </w:r>
    </w:p>
    <w:p>
      <w:pPr>
        <w:pStyle w:val="nzHeading5"/>
      </w:pPr>
      <w:r>
        <w:rPr>
          <w:rStyle w:val="CharSectno"/>
        </w:rPr>
        <w:t>294</w:t>
      </w:r>
      <w:r>
        <w:t>.</w:t>
      </w:r>
      <w:r>
        <w:tab/>
        <w:t xml:space="preserve">Act </w:t>
      </w:r>
      <w:r>
        <w:rPr>
          <w:iCs/>
        </w:rPr>
        <w:t>amended</w:t>
      </w:r>
    </w:p>
    <w:p>
      <w:pPr>
        <w:pStyle w:val="nzSubsection"/>
      </w:pPr>
      <w:r>
        <w:tab/>
      </w:r>
      <w:r>
        <w:tab/>
        <w:t xml:space="preserve">This Division amends the </w:t>
      </w:r>
      <w:r>
        <w:rPr>
          <w:i/>
        </w:rPr>
        <w:t>Housing Act 1980</w:t>
      </w:r>
      <w:r>
        <w:t>.</w:t>
      </w:r>
    </w:p>
    <w:p>
      <w:pPr>
        <w:pStyle w:val="nzHeading5"/>
      </w:pPr>
      <w:r>
        <w:rPr>
          <w:rStyle w:val="CharSectno"/>
        </w:rPr>
        <w:t>295</w:t>
      </w:r>
      <w:r>
        <w:t>.</w:t>
      </w:r>
      <w:r>
        <w:tab/>
        <w:t>Section 5 amended</w:t>
      </w:r>
    </w:p>
    <w:p>
      <w:pPr>
        <w:pStyle w:val="nzSubsection"/>
      </w:pPr>
      <w:r>
        <w:tab/>
      </w:r>
      <w:r>
        <w:tab/>
        <w:t xml:space="preserve">In section 5(1) delete the definition of </w:t>
      </w:r>
      <w:r>
        <w:rPr>
          <w:b/>
          <w:bCs/>
          <w:i/>
          <w:iCs/>
        </w:rPr>
        <w:t>local government</w:t>
      </w:r>
      <w:r>
        <w:t>.</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75" w:name="_Toc471906444"/>
      <w:bookmarkStart w:id="176" w:name="_Toc472001113"/>
      <w:bookmarkStart w:id="177" w:name="_Toc472001235"/>
      <w:r>
        <w:rPr>
          <w:sz w:val="28"/>
        </w:rPr>
        <w:t>Defined terms</w:t>
      </w:r>
      <w:bookmarkEnd w:id="175"/>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38"/>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 w:name="WAFER_20170111123338" w:val="RemoveTocBookmarks,RemoveUnusedBookmarks,RemoveLanguageTags,UsedStyles,ResetPageSize"/>
    <w:docVar w:name="WAFER_20170111123338_GUID" w:val="0fbc9c72-f949-4a4c-9312-3221e07ec7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6039-61F7-4B02-B347-20C491B0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19226</Words>
  <Characters>91325</Characters>
  <Application>Microsoft Office Word</Application>
  <DocSecurity>0</DocSecurity>
  <Lines>2536</Lines>
  <Paragraphs>1399</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1980 - 04-a0-01</dc:title>
  <dc:subject/>
  <dc:creator/>
  <cp:keywords/>
  <dc:description/>
  <cp:lastModifiedBy>svcMRProcess</cp:lastModifiedBy>
  <cp:revision>4</cp:revision>
  <cp:lastPrinted>2016-09-02T08:11:00Z</cp:lastPrinted>
  <dcterms:created xsi:type="dcterms:W3CDTF">2018-09-03T01:50:00Z</dcterms:created>
  <dcterms:modified xsi:type="dcterms:W3CDTF">2018-09-03T01:50:00Z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2016-09-01T16:00:00Z</vt:filetime>
  </property>
  <property fmtid="{D5CDD505-2E9C-101B-9397-08002B2CF9AE}" pid="6" name="ReprintNo">
    <vt:lpwstr>4</vt:lpwstr>
  </property>
  <property fmtid="{D5CDD505-2E9C-101B-9397-08002B2CF9AE}" pid="7" name="AsAtDate">
    <vt:lpwstr>02 Sep 2016</vt:lpwstr>
  </property>
  <property fmtid="{D5CDD505-2E9C-101B-9397-08002B2CF9AE}" pid="8" name="Suffix">
    <vt:lpwstr>04-a0-01</vt:lpwstr>
  </property>
  <property fmtid="{D5CDD505-2E9C-101B-9397-08002B2CF9AE}" pid="9" name="CommencementDate">
    <vt:lpwstr>20160902</vt:lpwstr>
  </property>
</Properties>
</file>