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Licensed Surveyors Act 1909</w:t>
      </w:r>
      <w:r>
        <w:rPr>
          <w:sz w:val="48"/>
        </w:rPr>
        <w:fldChar w:fldCharType="end"/>
      </w:r>
    </w:p>
    <w:p>
      <w:pPr>
        <w:pStyle w:val="ReprintNo"/>
      </w:pPr>
      <w:r>
        <w:t>Reprint 6:  The Act as at 16 September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000BDE" w:rsidRDefault="00000BD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000BDE" w:rsidRDefault="00000BD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000BDE" w:rsidRDefault="00000BD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000BDE" w:rsidRDefault="00000BD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September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Licensed Surveyors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_Toc462752349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References to licensed surveyor</w:t>
      </w:r>
      <w:r>
        <w:tab/>
      </w:r>
      <w:r>
        <w:fldChar w:fldCharType="begin"/>
      </w:r>
      <w:r>
        <w:instrText xml:space="preserve"> PAGEREF _Toc462752350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_Toc462752351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Board</w:t>
      </w:r>
      <w:r>
        <w:tab/>
      </w:r>
      <w:r>
        <w:fldChar w:fldCharType="begin"/>
      </w:r>
      <w:r>
        <w:instrText xml:space="preserve"> PAGEREF _Toc462752352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Rules</w:t>
      </w:r>
      <w:r>
        <w:tab/>
      </w:r>
      <w:r>
        <w:fldChar w:fldCharType="begin"/>
      </w:r>
      <w:r>
        <w:instrText xml:space="preserve"> PAGEREF _Toc462752353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Secretary and other officers</w:t>
      </w:r>
      <w:r>
        <w:tab/>
      </w:r>
      <w:r>
        <w:fldChar w:fldCharType="begin"/>
      </w:r>
      <w:r>
        <w:instrText xml:space="preserve"> PAGEREF _Toc462752354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Persons entitled to be licensed</w:t>
      </w:r>
      <w:r>
        <w:tab/>
      </w:r>
      <w:r>
        <w:fldChar w:fldCharType="begin"/>
      </w:r>
      <w:r>
        <w:instrText xml:space="preserve"> PAGEREF _Toc462752355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may require the attendance of certain persons</w:t>
      </w:r>
      <w:r>
        <w:tab/>
      </w:r>
      <w:r>
        <w:fldChar w:fldCharType="begin"/>
      </w:r>
      <w:r>
        <w:instrText xml:space="preserve"> PAGEREF _Toc462752356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Powers of investigation</w:t>
      </w:r>
      <w:r>
        <w:tab/>
      </w:r>
      <w:r>
        <w:fldChar w:fldCharType="begin"/>
      </w:r>
      <w:r>
        <w:instrText xml:space="preserve"> PAGEREF _Toc462752357 \h </w:instrText>
      </w:r>
      <w:r>
        <w:fldChar w:fldCharType="separate"/>
      </w:r>
      <w:r>
        <w:t>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Incriminating information, questions, or documents</w:t>
      </w:r>
      <w:r>
        <w:tab/>
      </w:r>
      <w:r>
        <w:fldChar w:fldCharType="begin"/>
      </w:r>
      <w:r>
        <w:instrText xml:space="preserve"> PAGEREF _Toc462752358 \h </w:instrText>
      </w:r>
      <w:r>
        <w:fldChar w:fldCharType="separate"/>
      </w:r>
      <w:r>
        <w:t>11</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Failure to comply with investigation</w:t>
      </w:r>
      <w:r>
        <w:tab/>
      </w:r>
      <w:r>
        <w:fldChar w:fldCharType="begin"/>
      </w:r>
      <w:r>
        <w:instrText xml:space="preserve"> PAGEREF _Toc462752359 \h </w:instrText>
      </w:r>
      <w:r>
        <w:fldChar w:fldCharType="separate"/>
      </w:r>
      <w:r>
        <w:t>11</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Obstruction of investigator</w:t>
      </w:r>
      <w:r>
        <w:tab/>
      </w:r>
      <w:r>
        <w:fldChar w:fldCharType="begin"/>
      </w:r>
      <w:r>
        <w:instrText xml:space="preserve"> PAGEREF _Toc462752360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Certificates of competency</w:t>
      </w:r>
      <w:r>
        <w:tab/>
      </w:r>
      <w:r>
        <w:fldChar w:fldCharType="begin"/>
      </w:r>
      <w:r>
        <w:instrText xml:space="preserve"> PAGEREF _Toc462752361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Reciprocity</w:t>
      </w:r>
      <w:r>
        <w:tab/>
      </w:r>
      <w:r>
        <w:fldChar w:fldCharType="begin"/>
      </w:r>
      <w:r>
        <w:instrText xml:space="preserve"> PAGEREF _Toc462752362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Licences</w:t>
      </w:r>
      <w:r>
        <w:tab/>
      </w:r>
      <w:r>
        <w:fldChar w:fldCharType="begin"/>
      </w:r>
      <w:r>
        <w:instrText xml:space="preserve"> PAGEREF _Toc462752363 \h </w:instrText>
      </w:r>
      <w:r>
        <w:fldChar w:fldCharType="separate"/>
      </w:r>
      <w:r>
        <w:t>15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Practising certificates</w:t>
      </w:r>
      <w:r>
        <w:tab/>
      </w:r>
      <w:r>
        <w:fldChar w:fldCharType="begin"/>
      </w:r>
      <w:r>
        <w:instrText xml:space="preserve"> PAGEREF _Toc462752364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Continuing education</w:t>
      </w:r>
      <w:r>
        <w:tab/>
      </w:r>
      <w:r>
        <w:fldChar w:fldCharType="begin"/>
      </w:r>
      <w:r>
        <w:instrText xml:space="preserve"> PAGEREF _Toc462752365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Register of licensed surveyors</w:t>
      </w:r>
      <w:r>
        <w:tab/>
      </w:r>
      <w:r>
        <w:fldChar w:fldCharType="begin"/>
      </w:r>
      <w:r>
        <w:instrText xml:space="preserve"> PAGEREF _Toc462752366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Copy of register to be published</w:t>
      </w:r>
      <w:r>
        <w:tab/>
      </w:r>
      <w:r>
        <w:fldChar w:fldCharType="begin"/>
      </w:r>
      <w:r>
        <w:instrText xml:space="preserve"> PAGEREF _Toc462752367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entries to be erased or corrected</w:t>
      </w:r>
      <w:r>
        <w:tab/>
      </w:r>
      <w:r>
        <w:fldChar w:fldCharType="begin"/>
      </w:r>
      <w:r>
        <w:instrText xml:space="preserve"> PAGEREF _Toc462752368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Practising as licensed surveyor</w:t>
      </w:r>
      <w:r>
        <w:tab/>
      </w:r>
      <w:r>
        <w:fldChar w:fldCharType="begin"/>
      </w:r>
      <w:r>
        <w:instrText xml:space="preserve"> PAGEREF _Toc462752369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Surveyor may enter upon lands</w:t>
      </w:r>
      <w:r>
        <w:tab/>
      </w:r>
      <w:r>
        <w:fldChar w:fldCharType="begin"/>
      </w:r>
      <w:r>
        <w:instrText xml:space="preserve"> PAGEREF _Toc462752370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Plan to be approved by Surveyor General</w:t>
      </w:r>
      <w:r>
        <w:tab/>
      </w:r>
      <w:r>
        <w:fldChar w:fldCharType="begin"/>
      </w:r>
      <w:r>
        <w:instrText xml:space="preserve"> PAGEREF _Toc462752371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Surveyors to correct errors at their own expense</w:t>
      </w:r>
      <w:r>
        <w:tab/>
      </w:r>
      <w:r>
        <w:fldChar w:fldCharType="begin"/>
      </w:r>
      <w:r>
        <w:instrText xml:space="preserve"> PAGEREF _Toc462752372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Surveyor not to be interested</w:t>
      </w:r>
      <w:r>
        <w:tab/>
      </w:r>
      <w:r>
        <w:fldChar w:fldCharType="begin"/>
      </w:r>
      <w:r>
        <w:instrText xml:space="preserve"> PAGEREF _Toc462752373 \h </w:instrText>
      </w:r>
      <w:r>
        <w:fldChar w:fldCharType="separate"/>
      </w:r>
      <w:r>
        <w:t>21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Cancellation of licence or practising certificate at request of licensed surveyor</w:t>
      </w:r>
      <w:r>
        <w:tab/>
      </w:r>
      <w:r>
        <w:fldChar w:fldCharType="begin"/>
      </w:r>
      <w:r>
        <w:instrText xml:space="preserve"> PAGEREF _Toc462752374 \h </w:instrText>
      </w:r>
      <w:r>
        <w:fldChar w:fldCharType="separate"/>
      </w:r>
      <w:r>
        <w:t>21</w:t>
      </w:r>
      <w:r>
        <w:fldChar w:fldCharType="end"/>
      </w:r>
    </w:p>
    <w:p>
      <w:pPr>
        <w:pStyle w:val="TOC8"/>
        <w:rPr>
          <w:rFonts w:asciiTheme="minorHAnsi" w:eastAsiaTheme="minorEastAsia" w:hAnsiTheme="minorHAnsi" w:cstheme="minorBidi"/>
          <w:szCs w:val="22"/>
        </w:rPr>
      </w:pPr>
      <w:r>
        <w:t>20B.</w:t>
      </w:r>
      <w:r>
        <w:tab/>
        <w:t>Disciplinary proceedings against licensed surveyors</w:t>
      </w:r>
      <w:r>
        <w:tab/>
      </w:r>
      <w:r>
        <w:fldChar w:fldCharType="begin"/>
      </w:r>
      <w:r>
        <w:instrText xml:space="preserve"> PAGEREF _Toc462752375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Board to deal with misconduct</w:t>
      </w:r>
      <w:r>
        <w:tab/>
      </w:r>
      <w:r>
        <w:fldChar w:fldCharType="begin"/>
      </w:r>
      <w:r>
        <w:instrText xml:space="preserve"> PAGEREF _Toc462752376 \h </w:instrText>
      </w:r>
      <w:r>
        <w:fldChar w:fldCharType="separate"/>
      </w:r>
      <w:r>
        <w:t>22</w:t>
      </w:r>
      <w:r>
        <w:fldChar w:fldCharType="end"/>
      </w:r>
    </w:p>
    <w:p>
      <w:pPr>
        <w:pStyle w:val="TOC8"/>
        <w:rPr>
          <w:rFonts w:asciiTheme="minorHAnsi" w:eastAsiaTheme="minorEastAsia" w:hAnsiTheme="minorHAnsi" w:cstheme="minorBidi"/>
          <w:szCs w:val="22"/>
        </w:rPr>
      </w:pPr>
      <w:r>
        <w:t>21AA.</w:t>
      </w:r>
      <w:r>
        <w:tab/>
        <w:t>Suspension of licence by State Administrative Tribunal</w:t>
      </w:r>
      <w:r>
        <w:tab/>
      </w:r>
      <w:r>
        <w:fldChar w:fldCharType="begin"/>
      </w:r>
      <w:r>
        <w:instrText xml:space="preserve"> PAGEREF _Toc462752377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Alteration and removal of licence or practising certificate conditions</w:t>
      </w:r>
      <w:r>
        <w:tab/>
      </w:r>
      <w:r>
        <w:fldChar w:fldCharType="begin"/>
      </w:r>
      <w:r>
        <w:instrText xml:space="preserve"> PAGEREF _Toc462752378 \h </w:instrText>
      </w:r>
      <w:r>
        <w:fldChar w:fldCharType="separate"/>
      </w:r>
      <w:r>
        <w:t>27</w:t>
      </w:r>
      <w:r>
        <w:fldChar w:fldCharType="end"/>
      </w:r>
    </w:p>
    <w:p>
      <w:pPr>
        <w:pStyle w:val="TOC8"/>
        <w:rPr>
          <w:rFonts w:asciiTheme="minorHAnsi" w:eastAsiaTheme="minorEastAsia" w:hAnsiTheme="minorHAnsi" w:cstheme="minorBidi"/>
          <w:szCs w:val="22"/>
        </w:rPr>
      </w:pPr>
      <w:r>
        <w:t>22.</w:t>
      </w:r>
      <w:r>
        <w:tab/>
        <w:t>Charge against surveyor</w:t>
      </w:r>
      <w:r>
        <w:tab/>
      </w:r>
      <w:r>
        <w:fldChar w:fldCharType="begin"/>
      </w:r>
      <w:r>
        <w:instrText xml:space="preserve"> PAGEREF _Toc462752379 \h </w:instrText>
      </w:r>
      <w:r>
        <w:fldChar w:fldCharType="separate"/>
      </w:r>
      <w:r>
        <w:t>27</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Application to State Administrative Tribunal for review</w:t>
      </w:r>
      <w:r>
        <w:tab/>
      </w:r>
      <w:r>
        <w:fldChar w:fldCharType="begin"/>
      </w:r>
      <w:r>
        <w:instrText xml:space="preserve"> PAGEREF _Toc462752380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_Toc462752381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Board may sue and be sued</w:t>
      </w:r>
      <w:r>
        <w:tab/>
      </w:r>
      <w:r>
        <w:fldChar w:fldCharType="begin"/>
      </w:r>
      <w:r>
        <w:instrText xml:space="preserve"> PAGEREF _Toc462752382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Protection from liability for wrongdoing</w:t>
      </w:r>
      <w:r>
        <w:tab/>
      </w:r>
      <w:r>
        <w:fldChar w:fldCharType="begin"/>
      </w:r>
      <w:r>
        <w:instrText xml:space="preserve"> PAGEREF _Toc462752383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of funds</w:t>
      </w:r>
      <w:r>
        <w:tab/>
      </w:r>
      <w:r>
        <w:fldChar w:fldCharType="begin"/>
      </w:r>
      <w:r>
        <w:instrText xml:space="preserve"> PAGEREF _Toc462752384 \h </w:instrText>
      </w:r>
      <w:r>
        <w:fldChar w:fldCharType="separate"/>
      </w:r>
      <w:r>
        <w:t>29</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Accounts</w:t>
      </w:r>
      <w:r>
        <w:tab/>
      </w:r>
      <w:r>
        <w:fldChar w:fldCharType="begin"/>
      </w:r>
      <w:r>
        <w:instrText xml:space="preserve"> PAGEREF _Toc462752385 \h </w:instrText>
      </w:r>
      <w:r>
        <w:fldChar w:fldCharType="separate"/>
      </w:r>
      <w:r>
        <w:t>29</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Audit</w:t>
      </w:r>
      <w:r>
        <w:tab/>
      </w:r>
      <w:r>
        <w:fldChar w:fldCharType="begin"/>
      </w:r>
      <w:r>
        <w:instrText xml:space="preserve"> PAGEREF _Toc462752386 \h </w:instrText>
      </w:r>
      <w:r>
        <w:fldChar w:fldCharType="separate"/>
      </w:r>
      <w:r>
        <w:t>30</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Annual report</w:t>
      </w:r>
      <w:r>
        <w:tab/>
      </w:r>
      <w:r>
        <w:fldChar w:fldCharType="begin"/>
      </w:r>
      <w:r>
        <w:instrText xml:space="preserve"> PAGEREF _Toc462752387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_Toc462752388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Professional indemnity insurance</w:t>
      </w:r>
      <w:r>
        <w:tab/>
      </w:r>
      <w:r>
        <w:fldChar w:fldCharType="begin"/>
      </w:r>
      <w:r>
        <w:instrText xml:space="preserve"> PAGEREF _Toc462752389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Evidence</w:t>
      </w:r>
      <w:r>
        <w:tab/>
      </w:r>
      <w:r>
        <w:fldChar w:fldCharType="begin"/>
      </w:r>
      <w:r>
        <w:instrText xml:space="preserve"> PAGEREF _Toc462752390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Proceedings for offences</w:t>
      </w:r>
      <w:r>
        <w:tab/>
      </w:r>
      <w:r>
        <w:fldChar w:fldCharType="begin"/>
      </w:r>
      <w:r>
        <w:instrText xml:space="preserve"> PAGEREF _Toc462752391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Rules for the conduct of the Board</w:t>
      </w:r>
    </w:p>
    <w:p>
      <w:pPr>
        <w:pStyle w:val="TOC8"/>
        <w:rPr>
          <w:rFonts w:asciiTheme="minorHAnsi" w:eastAsiaTheme="minorEastAsia" w:hAnsiTheme="minorHAnsi" w:cstheme="minorBidi"/>
          <w:szCs w:val="22"/>
        </w:rPr>
      </w:pPr>
      <w:r>
        <w:t>1</w:t>
      </w:r>
      <w:r>
        <w:rPr>
          <w:snapToGrid w:val="0"/>
        </w:rPr>
        <w:t>.</w:t>
      </w:r>
      <w:r>
        <w:rPr>
          <w:snapToGrid w:val="0"/>
        </w:rPr>
        <w:tab/>
        <w:t>Chairman</w:t>
      </w:r>
      <w:r>
        <w:tab/>
      </w:r>
      <w:r>
        <w:fldChar w:fldCharType="begin"/>
      </w:r>
      <w:r>
        <w:instrText xml:space="preserve"> PAGEREF _Toc462752393 \h </w:instrText>
      </w:r>
      <w:r>
        <w:fldChar w:fldCharType="separate"/>
      </w:r>
      <w:r>
        <w:t>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documents</w:t>
      </w:r>
      <w:r>
        <w:tab/>
      </w:r>
      <w:r>
        <w:fldChar w:fldCharType="begin"/>
      </w:r>
      <w:r>
        <w:instrText xml:space="preserve"> PAGEREF _Toc462752394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Quorum</w:t>
      </w:r>
      <w:r>
        <w:tab/>
      </w:r>
      <w:r>
        <w:fldChar w:fldCharType="begin"/>
      </w:r>
      <w:r>
        <w:instrText xml:space="preserve"> PAGEREF _Toc462752395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to preside</w:t>
      </w:r>
      <w:r>
        <w:tab/>
      </w:r>
      <w:r>
        <w:fldChar w:fldCharType="begin"/>
      </w:r>
      <w:r>
        <w:instrText xml:space="preserve"> PAGEREF _Toc462752396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Voting</w:t>
      </w:r>
      <w:r>
        <w:tab/>
      </w:r>
      <w:r>
        <w:fldChar w:fldCharType="begin"/>
      </w:r>
      <w:r>
        <w:instrText xml:space="preserve"> PAGEREF _Toc462752397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 of meetings</w:t>
      </w:r>
      <w:r>
        <w:tab/>
      </w:r>
      <w:r>
        <w:fldChar w:fldCharType="begin"/>
      </w:r>
      <w:r>
        <w:instrText xml:space="preserve"> PAGEREF _Toc462752398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meeting</w:t>
      </w:r>
      <w:r>
        <w:tab/>
      </w:r>
      <w:r>
        <w:fldChar w:fldCharType="begin"/>
      </w:r>
      <w:r>
        <w:instrText xml:space="preserve"> PAGEREF _Toc462752399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refusal or neglect to act or non</w:t>
      </w:r>
      <w:r>
        <w:rPr>
          <w:snapToGrid w:val="0"/>
        </w:rPr>
        <w:noBreakHyphen/>
        <w:t>attendance</w:t>
      </w:r>
      <w:r>
        <w:tab/>
      </w:r>
      <w:r>
        <w:fldChar w:fldCharType="begin"/>
      </w:r>
      <w:r>
        <w:instrText xml:space="preserve"> PAGEREF _Toc462752400 \h </w:instrText>
      </w:r>
      <w:r>
        <w:fldChar w:fldCharType="separate"/>
      </w:r>
      <w:r>
        <w:t>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Validity not affected by vacancy etc.</w:t>
      </w:r>
      <w:r>
        <w:tab/>
      </w:r>
      <w:r>
        <w:fldChar w:fldCharType="begin"/>
      </w:r>
      <w:r>
        <w:instrText xml:space="preserve"> PAGEREF _Toc462752401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Form of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_Toc462752404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_Toc462752405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September 2016</w:t>
            </w:r>
          </w:p>
        </w:tc>
      </w:tr>
    </w:tbl>
    <w:p>
      <w:pPr>
        <w:pStyle w:val="WA"/>
        <w:spacing w:before="12"/>
      </w:pPr>
      <w:r>
        <w:t>Western Australia</w:t>
      </w:r>
    </w:p>
    <w:p>
      <w:pPr>
        <w:pStyle w:val="NameofActReg"/>
        <w:spacing w:before="960" w:after="1200"/>
      </w:pPr>
      <w:r>
        <w:t xml:space="preserve">Licensed Surveyors Act 1909 </w:t>
      </w:r>
    </w:p>
    <w:p>
      <w:pPr>
        <w:pStyle w:val="LongTitle"/>
        <w:spacing w:after="480"/>
        <w:rPr>
          <w:snapToGrid w:val="0"/>
        </w:rPr>
      </w:pPr>
      <w:r>
        <w:rPr>
          <w:snapToGrid w:val="0"/>
        </w:rPr>
        <w:t xml:space="preserve">An Act to provide for the registration and licensing of land surveyors; to control the practice of such surveyors, and for other purposes incidental thereto. </w:t>
      </w:r>
    </w:p>
    <w:p>
      <w:pPr>
        <w:pStyle w:val="Heading5"/>
        <w:rPr>
          <w:snapToGrid w:val="0"/>
        </w:rPr>
      </w:pPr>
      <w:bookmarkStart w:id="3" w:name="_Toc462752349"/>
      <w:r>
        <w:rPr>
          <w:rStyle w:val="CharSectno"/>
        </w:rPr>
        <w:t>1</w:t>
      </w:r>
      <w:r>
        <w:rPr>
          <w:snapToGrid w:val="0"/>
        </w:rPr>
        <w:t>.</w:t>
      </w:r>
      <w:r>
        <w:rPr>
          <w:snapToGrid w:val="0"/>
        </w:rPr>
        <w:tab/>
        <w:t>Short title and commencement</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4" w:name="_Toc462752350"/>
      <w:r>
        <w:rPr>
          <w:rStyle w:val="CharSectno"/>
        </w:rPr>
        <w:t>2</w:t>
      </w:r>
      <w:r>
        <w:rPr>
          <w:snapToGrid w:val="0"/>
        </w:rPr>
        <w:t>.</w:t>
      </w:r>
      <w:r>
        <w:rPr>
          <w:snapToGrid w:val="0"/>
        </w:rPr>
        <w:tab/>
        <w:t>References to licensed surveyor</w:t>
      </w:r>
      <w:bookmarkEnd w:id="4"/>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pageBreakBefore/>
        <w:spacing w:before="0"/>
        <w:rPr>
          <w:snapToGrid w:val="0"/>
        </w:rPr>
      </w:pPr>
      <w:bookmarkStart w:id="5" w:name="_Toc462752351"/>
      <w:r>
        <w:rPr>
          <w:rStyle w:val="CharSectno"/>
        </w:rPr>
        <w:t>3</w:t>
      </w:r>
      <w:r>
        <w:rPr>
          <w:snapToGrid w:val="0"/>
        </w:rPr>
        <w:t>.</w:t>
      </w:r>
      <w:r>
        <w:rPr>
          <w:snapToGrid w:val="0"/>
        </w:rPr>
        <w:tab/>
        <w:t>Terms used</w:t>
      </w:r>
      <w:bookmarkEnd w:id="5"/>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pPr>
      <w:r>
        <w:rPr>
          <w:b/>
        </w:rPr>
        <w:tab/>
      </w:r>
      <w:r>
        <w:rPr>
          <w:rStyle w:val="CharDefText"/>
        </w:rPr>
        <w:t>authorised survey</w:t>
      </w:r>
      <w:r>
        <w:rPr>
          <w:b/>
        </w:rPr>
        <w:t xml:space="preserve"> </w:t>
      </w:r>
      <w:r>
        <w:t>— A survey of land authorised or required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pPr>
      <w:r>
        <w:tab/>
        <w:t>(i)</w:t>
      </w:r>
      <w:r>
        <w:tab/>
        <w:t>involves the placement, replacement or relocation of any survey mark; or</w:t>
      </w:r>
    </w:p>
    <w:p>
      <w:pPr>
        <w:pStyle w:val="Defsubpara"/>
      </w:pPr>
      <w:r>
        <w:tab/>
        <w:t>(ii)</w:t>
      </w:r>
      <w: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pPr>
      <w:r>
        <w:tab/>
        <w:t>(i)</w:t>
      </w:r>
      <w: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pPr>
      <w:r>
        <w:tab/>
        <w:t>(ii)</w:t>
      </w:r>
      <w: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r>
      <w:r>
        <w:rPr>
          <w:rStyle w:val="CharDefText"/>
        </w:rPr>
        <w:t>Board</w:t>
      </w:r>
      <w:r>
        <w:rPr>
          <w:b/>
        </w:rPr>
        <w:t xml:space="preserve"> </w:t>
      </w:r>
      <w:r>
        <w:t>— The Land Surveyors Licensing Board constituted under this Act.</w:t>
      </w:r>
    </w:p>
    <w:p>
      <w:pPr>
        <w:pStyle w:val="Defstart"/>
      </w:pPr>
      <w:r>
        <w:rPr>
          <w:b/>
        </w:rPr>
        <w:tab/>
      </w:r>
      <w:r>
        <w:rPr>
          <w:rStyle w:val="CharDefText"/>
        </w:rPr>
        <w:t>Institute</w:t>
      </w:r>
      <w:r>
        <w:rPr>
          <w:b/>
        </w:rPr>
        <w:t xml:space="preserve"> </w:t>
      </w:r>
      <w:r>
        <w:t>— The Institution of Surveyors, Australia, Western Australia Division Inc.</w:t>
      </w:r>
    </w:p>
    <w:p>
      <w:pPr>
        <w:pStyle w:val="Defstart"/>
      </w:pPr>
      <w:r>
        <w:rPr>
          <w:b/>
        </w:rPr>
        <w:tab/>
      </w:r>
      <w:r>
        <w:rPr>
          <w:rStyle w:val="CharDefText"/>
        </w:rPr>
        <w:t>licence</w:t>
      </w:r>
      <w:r>
        <w:rPr>
          <w:b/>
        </w:rPr>
        <w:t xml:space="preserve"> </w:t>
      </w:r>
      <w:r>
        <w:t>— A licence issued under this Act.</w:t>
      </w:r>
    </w:p>
    <w:p>
      <w:pPr>
        <w:pStyle w:val="Defstart"/>
      </w:pPr>
      <w:r>
        <w:rPr>
          <w:b/>
        </w:rPr>
        <w:tab/>
      </w:r>
      <w:r>
        <w:rPr>
          <w:rStyle w:val="CharDefText"/>
        </w:rPr>
        <w:t>licensed surveyor</w:t>
      </w:r>
      <w:r>
        <w:rPr>
          <w:b/>
        </w:rPr>
        <w:t xml:space="preserve"> </w:t>
      </w:r>
      <w:r>
        <w:t>— A surveyor licensed under this Act.</w:t>
      </w:r>
    </w:p>
    <w:p>
      <w:pPr>
        <w:pStyle w:val="Defstart"/>
      </w:pPr>
      <w:r>
        <w:rPr>
          <w:b/>
        </w:rPr>
        <w:tab/>
      </w:r>
      <w:r>
        <w:rPr>
          <w:rStyle w:val="CharDefText"/>
        </w:rPr>
        <w:t>practising certificate</w:t>
      </w:r>
      <w:r>
        <w:rPr>
          <w:b/>
        </w:rPr>
        <w:t xml:space="preserve"> </w:t>
      </w:r>
      <w:r>
        <w:t>— A practising certificate issued under section 11A.</w:t>
      </w:r>
    </w:p>
    <w:p>
      <w:pPr>
        <w:pStyle w:val="Defstart"/>
      </w:pPr>
      <w:r>
        <w:rPr>
          <w:b/>
        </w:rPr>
        <w:tab/>
      </w:r>
      <w:r>
        <w:rPr>
          <w:rStyle w:val="CharDefText"/>
        </w:rPr>
        <w:t>prescribed</w:t>
      </w:r>
      <w:r>
        <w:rPr>
          <w:b/>
        </w:rPr>
        <w:t xml:space="preserve"> </w:t>
      </w:r>
      <w:r>
        <w:t>— Prescribed by this Act or the regulations made thereunder.</w:t>
      </w:r>
    </w:p>
    <w:p>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r>
      <w:r>
        <w:rPr>
          <w:rStyle w:val="CharDefText"/>
        </w:rPr>
        <w:t>register</w:t>
      </w:r>
      <w:r>
        <w:rPr>
          <w:b/>
        </w:rPr>
        <w:t xml:space="preserve"> </w:t>
      </w:r>
      <w:r>
        <w:t>— The register of licensed surveyors directed by this Act to be kept.</w:t>
      </w:r>
    </w:p>
    <w:p>
      <w:pPr>
        <w:pStyle w:val="Defstart"/>
      </w:pPr>
      <w:r>
        <w:rPr>
          <w:b/>
        </w:rPr>
        <w:tab/>
      </w:r>
      <w:r>
        <w:rPr>
          <w:rStyle w:val="CharDefText"/>
        </w:rPr>
        <w:t>secretary</w:t>
      </w:r>
      <w:r>
        <w:rPr>
          <w:b/>
        </w:rPr>
        <w:t xml:space="preserve"> </w:t>
      </w:r>
      <w:r>
        <w:t>— The secretary to the Board.</w:t>
      </w:r>
    </w:p>
    <w:p>
      <w:pPr>
        <w:pStyle w:val="Defstart"/>
      </w:pPr>
      <w:r>
        <w:rPr>
          <w:b/>
        </w:rPr>
        <w:tab/>
      </w:r>
      <w:r>
        <w:rPr>
          <w:rStyle w:val="CharDefText"/>
        </w:rPr>
        <w:t>standard period</w:t>
      </w:r>
      <w:r>
        <w:t>, in relation to a practising certificate, means such period or periods, each not exceeding 3 years and expiring at the end of a calendar year, as is or are prescribed.</w:t>
      </w:r>
    </w:p>
    <w:p>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No. 60 of 2006 s. 143(2).] </w:t>
      </w:r>
    </w:p>
    <w:p>
      <w:pPr>
        <w:pStyle w:val="Heading5"/>
        <w:spacing w:before="260"/>
        <w:rPr>
          <w:snapToGrid w:val="0"/>
        </w:rPr>
      </w:pPr>
      <w:bookmarkStart w:id="6" w:name="_Toc462752352"/>
      <w:r>
        <w:rPr>
          <w:rStyle w:val="CharSectno"/>
        </w:rPr>
        <w:t>4</w:t>
      </w:r>
      <w:r>
        <w:rPr>
          <w:snapToGrid w:val="0"/>
        </w:rPr>
        <w:t>.</w:t>
      </w:r>
      <w:r>
        <w:rPr>
          <w:snapToGrid w:val="0"/>
        </w:rPr>
        <w:tab/>
        <w:t>Constitution of Board</w:t>
      </w:r>
      <w:bookmarkEnd w:id="6"/>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rPr>
      </w:pPr>
      <w:r>
        <w:rPr>
          <w:snapToGrid w:val="0"/>
        </w:rPr>
        <w:tab/>
        <w:t>(6)</w:t>
      </w:r>
      <w:r>
        <w:rPr>
          <w:snapToGrid w:val="0"/>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7" w:name="_Toc462752353"/>
      <w:r>
        <w:rPr>
          <w:rStyle w:val="CharSectno"/>
        </w:rPr>
        <w:t>5</w:t>
      </w:r>
      <w:r>
        <w:rPr>
          <w:snapToGrid w:val="0"/>
        </w:rPr>
        <w:t>.</w:t>
      </w:r>
      <w:r>
        <w:rPr>
          <w:snapToGrid w:val="0"/>
        </w:rPr>
        <w:tab/>
        <w:t>Rules</w:t>
      </w:r>
      <w:bookmarkEnd w:id="7"/>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8" w:name="_Toc462752354"/>
      <w:r>
        <w:rPr>
          <w:rStyle w:val="CharSectno"/>
        </w:rPr>
        <w:t>6</w:t>
      </w:r>
      <w:r>
        <w:rPr>
          <w:snapToGrid w:val="0"/>
        </w:rPr>
        <w:t>.</w:t>
      </w:r>
      <w:r>
        <w:rPr>
          <w:snapToGrid w:val="0"/>
        </w:rPr>
        <w:tab/>
        <w:t>Secretary and other officers</w:t>
      </w:r>
      <w:bookmarkEnd w:id="8"/>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rPr>
      </w:pPr>
      <w:r>
        <w:rPr>
          <w:snapToGrid w:val="0"/>
        </w:rPr>
        <w:tab/>
        <w:t>(2)</w:t>
      </w:r>
      <w:r>
        <w:rPr>
          <w:snapToGrid w:val="0"/>
        </w:rPr>
        <w:tab/>
        <w:t>All such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9" w:name="_Toc462752355"/>
      <w:r>
        <w:rPr>
          <w:rStyle w:val="CharSectno"/>
        </w:rPr>
        <w:t>7</w:t>
      </w:r>
      <w:r>
        <w:rPr>
          <w:snapToGrid w:val="0"/>
        </w:rPr>
        <w:t>.</w:t>
      </w:r>
      <w:r>
        <w:rPr>
          <w:snapToGrid w:val="0"/>
        </w:rPr>
        <w:tab/>
        <w:t>Persons entitled to be licensed</w:t>
      </w:r>
      <w:bookmarkEnd w:id="9"/>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 and</w:t>
      </w:r>
    </w:p>
    <w:p>
      <w:pPr>
        <w:pStyle w:val="Indenta"/>
      </w:pPr>
      <w:r>
        <w:tab/>
        <w:t>(aa)</w:t>
      </w:r>
      <w:r>
        <w:tab/>
        <w:t>has not, during the period of 10 years before making the application, been convicted of, or served any part of a term of imprisonment for, an offence in Western Australia or elsewhere involving fraud or dishonesty; and</w:t>
      </w:r>
    </w:p>
    <w:p>
      <w:pPr>
        <w:pStyle w:val="Indenta"/>
      </w:pPr>
      <w:r>
        <w:tab/>
        <w:t>(ab)</w:t>
      </w:r>
      <w:r>
        <w:tab/>
        <w:t>is not bound in relation to an offence referred to in paragraph (aa) by a bail undertaking; and</w:t>
      </w:r>
    </w:p>
    <w:p>
      <w:pPr>
        <w:pStyle w:val="Indenta"/>
      </w:pPr>
      <w:r>
        <w:tab/>
        <w:t>(ac)</w:t>
      </w:r>
      <w:r>
        <w:tab/>
        <w:t>does not have a charge pending in relation to an offence referred to in paragraph (aa); and</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10" w:name="_Toc462752356"/>
      <w:r>
        <w:rPr>
          <w:rStyle w:val="CharSectno"/>
        </w:rPr>
        <w:t>8</w:t>
      </w:r>
      <w:r>
        <w:rPr>
          <w:snapToGrid w:val="0"/>
        </w:rPr>
        <w:t>.</w:t>
      </w:r>
      <w:r>
        <w:rPr>
          <w:snapToGrid w:val="0"/>
        </w:rPr>
        <w:tab/>
        <w:t>Board may require the attendance of certain persons</w:t>
      </w:r>
      <w:bookmarkEnd w:id="10"/>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11" w:name="_Toc462752357"/>
      <w:r>
        <w:rPr>
          <w:rStyle w:val="CharSectno"/>
        </w:rPr>
        <w:t>8A</w:t>
      </w:r>
      <w:r>
        <w:rPr>
          <w:snapToGrid w:val="0"/>
        </w:rPr>
        <w:t>.</w:t>
      </w:r>
      <w:r>
        <w:rPr>
          <w:snapToGrid w:val="0"/>
        </w:rPr>
        <w:tab/>
        <w:t>Powers of investigation</w:t>
      </w:r>
      <w:bookmarkEnd w:id="11"/>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 and</w:t>
      </w:r>
    </w:p>
    <w:p>
      <w:pPr>
        <w:pStyle w:val="Indenta"/>
        <w:rPr>
          <w:snapToGrid w:val="0"/>
        </w:rPr>
      </w:pPr>
      <w:r>
        <w:rPr>
          <w:snapToGrid w:val="0"/>
        </w:rPr>
        <w:tab/>
        <w:t>(b)</w:t>
      </w:r>
      <w:r>
        <w:rPr>
          <w:snapToGrid w:val="0"/>
        </w:rPr>
        <w:tab/>
        <w:t>require any person to produce any document to the investigator; and</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 and</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 and</w:t>
      </w:r>
    </w:p>
    <w:p>
      <w:pPr>
        <w:pStyle w:val="Indenti"/>
        <w:rPr>
          <w:snapToGrid w:val="0"/>
        </w:rPr>
      </w:pPr>
      <w:r>
        <w:rPr>
          <w:snapToGrid w:val="0"/>
        </w:rPr>
        <w:tab/>
        <w:t>(ii)</w:t>
      </w:r>
      <w:r>
        <w:rPr>
          <w:snapToGrid w:val="0"/>
        </w:rPr>
        <w:tab/>
        <w:t>be given at or sent or delivered to any place specified in the requirement; and</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 and</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12" w:name="_Toc462752358"/>
      <w:r>
        <w:rPr>
          <w:rStyle w:val="CharSectno"/>
        </w:rPr>
        <w:t>8B</w:t>
      </w:r>
      <w:r>
        <w:rPr>
          <w:snapToGrid w:val="0"/>
        </w:rPr>
        <w:t>.</w:t>
      </w:r>
      <w:r>
        <w:rPr>
          <w:snapToGrid w:val="0"/>
        </w:rPr>
        <w:tab/>
        <w:t>Incriminating information, questions, or documents</w:t>
      </w:r>
      <w:bookmarkEnd w:id="12"/>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 or</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spacing w:before="180"/>
        <w:rPr>
          <w:snapToGrid w:val="0"/>
        </w:rPr>
      </w:pPr>
      <w:bookmarkStart w:id="13" w:name="_Toc462752359"/>
      <w:r>
        <w:rPr>
          <w:rStyle w:val="CharSectno"/>
        </w:rPr>
        <w:t>8C</w:t>
      </w:r>
      <w:r>
        <w:rPr>
          <w:snapToGrid w:val="0"/>
        </w:rPr>
        <w:t>.</w:t>
      </w:r>
      <w:r>
        <w:rPr>
          <w:snapToGrid w:val="0"/>
        </w:rPr>
        <w:tab/>
        <w:t>Failure to comply with investigation</w:t>
      </w:r>
      <w:bookmarkEnd w:id="13"/>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 or</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 or</w:t>
      </w:r>
    </w:p>
    <w:p>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 amended by No. 2 of 2008 s. 66.]</w:t>
      </w:r>
    </w:p>
    <w:p>
      <w:pPr>
        <w:pStyle w:val="Heading5"/>
        <w:rPr>
          <w:snapToGrid w:val="0"/>
        </w:rPr>
      </w:pPr>
      <w:bookmarkStart w:id="14" w:name="_Toc462752360"/>
      <w:r>
        <w:rPr>
          <w:rStyle w:val="CharSectno"/>
        </w:rPr>
        <w:t>8D</w:t>
      </w:r>
      <w:r>
        <w:rPr>
          <w:snapToGrid w:val="0"/>
        </w:rPr>
        <w:t>.</w:t>
      </w:r>
      <w:r>
        <w:rPr>
          <w:snapToGrid w:val="0"/>
        </w:rPr>
        <w:tab/>
        <w:t>Obstruction of investigator</w:t>
      </w:r>
      <w:bookmarkEnd w:id="14"/>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15" w:name="_Toc462752361"/>
      <w:r>
        <w:rPr>
          <w:rStyle w:val="CharSectno"/>
        </w:rPr>
        <w:t>9</w:t>
      </w:r>
      <w:r>
        <w:rPr>
          <w:snapToGrid w:val="0"/>
        </w:rPr>
        <w:t>.</w:t>
      </w:r>
      <w:r>
        <w:rPr>
          <w:snapToGrid w:val="0"/>
        </w:rPr>
        <w:tab/>
        <w:t>Certificates of competency</w:t>
      </w:r>
      <w:bookmarkEnd w:id="15"/>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subsection (1a) </w:t>
      </w:r>
      <w:r>
        <w:rPr>
          <w:rStyle w:val="CharDefText"/>
        </w:rPr>
        <w:t>prescribed date</w:t>
      </w:r>
      <w:r>
        <w:rPr>
          <w:snapToGrid w:val="0"/>
        </w:rPr>
        <w:t xml:space="preserve"> means 31 March 1979 or such later date as is prescribed.</w:t>
      </w:r>
    </w:p>
    <w:p>
      <w:pPr>
        <w:pStyle w:val="Subsection"/>
        <w:rPr>
          <w:snapToGrid w:val="0"/>
        </w:rPr>
      </w:pPr>
      <w:r>
        <w:rPr>
          <w:snapToGrid w:val="0"/>
        </w:rPr>
        <w:tab/>
        <w:t>(2)</w:t>
      </w:r>
      <w:r>
        <w:rPr>
          <w:snapToGrid w:val="0"/>
        </w:rPr>
        <w:tab/>
        <w:t>No person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The Board,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Such certificate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16" w:name="_Toc462752362"/>
      <w:r>
        <w:rPr>
          <w:rStyle w:val="CharSectno"/>
        </w:rPr>
        <w:t>10</w:t>
      </w:r>
      <w:r>
        <w:rPr>
          <w:snapToGrid w:val="0"/>
        </w:rPr>
        <w:t>.</w:t>
      </w:r>
      <w:r>
        <w:rPr>
          <w:snapToGrid w:val="0"/>
        </w:rPr>
        <w:tab/>
        <w:t>Reciprocity</w:t>
      </w:r>
      <w:bookmarkEnd w:id="16"/>
      <w:r>
        <w:rPr>
          <w:snapToGrid w:val="0"/>
        </w:rPr>
        <w:t xml:space="preserve"> </w:t>
      </w:r>
    </w:p>
    <w:p>
      <w:pPr>
        <w:pStyle w:val="Subsection"/>
        <w:rPr>
          <w:snapToGrid w:val="0"/>
        </w:rPr>
      </w:pPr>
      <w:r>
        <w:rPr>
          <w:snapToGrid w:val="0"/>
        </w:rPr>
        <w:tab/>
        <w:t>(1A)</w:t>
      </w:r>
      <w:r>
        <w:rPr>
          <w:snapToGrid w:val="0"/>
        </w:rPr>
        <w:tab/>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(1B)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rPr>
        <w:tab/>
        <w:t>(2)</w:t>
      </w:r>
      <w:r>
        <w:rPr>
          <w:snapToGrid w:val="0"/>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by No. 14 of 1958 s. 2; No. 79 of 1996 s. 9; No. 19 of 2010 s. 51.] </w:t>
      </w:r>
    </w:p>
    <w:p>
      <w:pPr>
        <w:pStyle w:val="Heading5"/>
        <w:spacing w:before="180"/>
        <w:rPr>
          <w:snapToGrid w:val="0"/>
        </w:rPr>
      </w:pPr>
      <w:bookmarkStart w:id="17" w:name="_Toc462752363"/>
      <w:r>
        <w:rPr>
          <w:rStyle w:val="CharSectno"/>
        </w:rPr>
        <w:t>11</w:t>
      </w:r>
      <w:r>
        <w:rPr>
          <w:snapToGrid w:val="0"/>
        </w:rPr>
        <w:t>.</w:t>
      </w:r>
      <w:r>
        <w:rPr>
          <w:snapToGrid w:val="0"/>
        </w:rPr>
        <w:tab/>
        <w:t>Licences</w:t>
      </w:r>
      <w:bookmarkEnd w:id="17"/>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spacing w:before="180"/>
        <w:rPr>
          <w:snapToGrid w:val="0"/>
        </w:rPr>
      </w:pPr>
      <w:bookmarkStart w:id="18" w:name="_Toc462752364"/>
      <w:r>
        <w:rPr>
          <w:rStyle w:val="CharSectno"/>
        </w:rPr>
        <w:t>11A</w:t>
      </w:r>
      <w:r>
        <w:rPr>
          <w:snapToGrid w:val="0"/>
        </w:rPr>
        <w:t>.</w:t>
      </w:r>
      <w:r>
        <w:rPr>
          <w:snapToGrid w:val="0"/>
        </w:rPr>
        <w:tab/>
        <w:t>Practising certificates</w:t>
      </w:r>
      <w:bookmarkEnd w:id="18"/>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spacing w:before="120"/>
        <w:rPr>
          <w:snapToGrid w:val="0"/>
        </w:rPr>
      </w:pPr>
      <w:r>
        <w:rPr>
          <w:snapToGrid w:val="0"/>
        </w:rPr>
        <w:tab/>
      </w:r>
      <w:r>
        <w:rPr>
          <w:snapToGrid w:val="0"/>
        </w:rPr>
        <w:tab/>
        <w:t>whichever is the later.</w:t>
      </w:r>
    </w:p>
    <w:p>
      <w:pPr>
        <w:pStyle w:val="Subsection"/>
        <w:spacing w:before="120"/>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 and</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19" w:name="_Toc462752365"/>
      <w:r>
        <w:rPr>
          <w:rStyle w:val="CharSectno"/>
        </w:rPr>
        <w:t>11B</w:t>
      </w:r>
      <w:r>
        <w:rPr>
          <w:snapToGrid w:val="0"/>
        </w:rPr>
        <w:t>.</w:t>
      </w:r>
      <w:r>
        <w:rPr>
          <w:snapToGrid w:val="0"/>
        </w:rPr>
        <w:tab/>
        <w:t>Continuing education</w:t>
      </w:r>
      <w:bookmarkEnd w:id="19"/>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spacing w:before="120"/>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 or</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 or</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rPr>
        <w:tab/>
        <w:t>(3)</w:t>
      </w:r>
      <w:r>
        <w:rPr>
          <w:snapToGrid w:val="0"/>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specified</w:t>
      </w:r>
      <w:r>
        <w:t xml:space="preserve"> means specified in writing by the Board.</w:t>
      </w:r>
    </w:p>
    <w:p>
      <w:pPr>
        <w:pStyle w:val="Footnotesection"/>
      </w:pPr>
      <w:r>
        <w:tab/>
        <w:t xml:space="preserve">[Section 11B inserted by No. 79 of 1996 s. 10.] </w:t>
      </w:r>
    </w:p>
    <w:p>
      <w:pPr>
        <w:pStyle w:val="Heading5"/>
        <w:rPr>
          <w:snapToGrid w:val="0"/>
        </w:rPr>
      </w:pPr>
      <w:bookmarkStart w:id="20" w:name="_Toc462752366"/>
      <w:r>
        <w:rPr>
          <w:rStyle w:val="CharSectno"/>
        </w:rPr>
        <w:t>12</w:t>
      </w:r>
      <w:r>
        <w:rPr>
          <w:snapToGrid w:val="0"/>
        </w:rPr>
        <w:t>.</w:t>
      </w:r>
      <w:r>
        <w:rPr>
          <w:snapToGrid w:val="0"/>
        </w:rPr>
        <w:tab/>
        <w:t>Register of licensed surveyors</w:t>
      </w:r>
      <w:bookmarkEnd w:id="20"/>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The register shall be open to inspection by any person on payment of the prescribed fee.</w:t>
      </w:r>
    </w:p>
    <w:p>
      <w:pPr>
        <w:pStyle w:val="Heading5"/>
        <w:rPr>
          <w:snapToGrid w:val="0"/>
        </w:rPr>
      </w:pPr>
      <w:bookmarkStart w:id="21" w:name="_Toc462752367"/>
      <w:r>
        <w:rPr>
          <w:rStyle w:val="CharSectno"/>
        </w:rPr>
        <w:t>13</w:t>
      </w:r>
      <w:r>
        <w:rPr>
          <w:snapToGrid w:val="0"/>
        </w:rPr>
        <w:t>.</w:t>
      </w:r>
      <w:r>
        <w:rPr>
          <w:snapToGrid w:val="0"/>
        </w:rPr>
        <w:tab/>
        <w:t>Copy of register to be published</w:t>
      </w:r>
      <w:bookmarkEnd w:id="21"/>
      <w:r>
        <w:rPr>
          <w:snapToGrid w:val="0"/>
        </w:rPr>
        <w:t xml:space="preserve"> </w:t>
      </w:r>
    </w:p>
    <w:p>
      <w:pPr>
        <w:pStyle w:val="Subsection"/>
        <w:spacing w:before="120"/>
        <w:rPr>
          <w:snapToGrid w:val="0"/>
        </w:rPr>
      </w:pPr>
      <w:r>
        <w:rPr>
          <w:snapToGrid w:val="0"/>
        </w:rPr>
        <w:tab/>
        <w:t>(1)</w:t>
      </w:r>
      <w:r>
        <w:rPr>
          <w:snapToGrid w:val="0"/>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rPr>
        <w:t xml:space="preserve"> </w:t>
      </w:r>
    </w:p>
    <w:p>
      <w:pPr>
        <w:pStyle w:val="Subsection"/>
        <w:spacing w:before="120"/>
        <w:rPr>
          <w:snapToGrid w:val="0"/>
        </w:rPr>
      </w:pPr>
      <w:r>
        <w:rPr>
          <w:snapToGrid w:val="0"/>
        </w:rPr>
        <w:tab/>
        <w:t>(2)</w:t>
      </w:r>
      <w:r>
        <w:rPr>
          <w:snapToGrid w:val="0"/>
        </w:rPr>
        <w:tab/>
        <w:t xml:space="preserve">A copy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 or</w:t>
      </w:r>
    </w:p>
    <w:p>
      <w:pPr>
        <w:pStyle w:val="Indenta"/>
        <w:rPr>
          <w:snapToGrid w:val="0"/>
        </w:rPr>
      </w:pPr>
      <w:r>
        <w:rPr>
          <w:snapToGrid w:val="0"/>
        </w:rPr>
        <w:tab/>
        <w:t>(b)</w:t>
      </w:r>
      <w:r>
        <w:rPr>
          <w:snapToGrid w:val="0"/>
        </w:rPr>
        <w:tab/>
        <w:t>holds or does not hold a practising certificate; or</w:t>
      </w:r>
    </w:p>
    <w:p>
      <w:pPr>
        <w:pStyle w:val="Indenta"/>
        <w:rPr>
          <w:snapToGrid w:val="0"/>
        </w:rPr>
      </w:pPr>
      <w:r>
        <w:rPr>
          <w:snapToGrid w:val="0"/>
        </w:rPr>
        <w:tab/>
        <w:t>(c)</w:t>
      </w:r>
      <w:r>
        <w:rPr>
          <w:snapToGrid w:val="0"/>
        </w:rPr>
        <w:tab/>
        <w:t>possesses the qualifications therein mentioned; or</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22" w:name="_Toc462752368"/>
      <w:r>
        <w:rPr>
          <w:rStyle w:val="CharSectno"/>
        </w:rPr>
        <w:t>14</w:t>
      </w:r>
      <w:r>
        <w:rPr>
          <w:snapToGrid w:val="0"/>
        </w:rPr>
        <w:t>.</w:t>
      </w:r>
      <w:r>
        <w:rPr>
          <w:snapToGrid w:val="0"/>
        </w:rPr>
        <w:tab/>
        <w:t>Certain entries to be erased or corrected</w:t>
      </w:r>
      <w:bookmarkEnd w:id="22"/>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Deleted by No. 79 of 1996 s. 13.] </w:t>
      </w:r>
    </w:p>
    <w:p>
      <w:pPr>
        <w:pStyle w:val="Heading5"/>
        <w:rPr>
          <w:snapToGrid w:val="0"/>
        </w:rPr>
      </w:pPr>
      <w:bookmarkStart w:id="23" w:name="_Toc462752369"/>
      <w:r>
        <w:rPr>
          <w:rStyle w:val="CharSectno"/>
        </w:rPr>
        <w:t>16</w:t>
      </w:r>
      <w:r>
        <w:rPr>
          <w:snapToGrid w:val="0"/>
        </w:rPr>
        <w:t>.</w:t>
      </w:r>
      <w:r>
        <w:rPr>
          <w:snapToGrid w:val="0"/>
        </w:rPr>
        <w:tab/>
        <w:t>Practising as licensed surveyor</w:t>
      </w:r>
      <w:bookmarkEnd w:id="23"/>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deleted]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24" w:name="_Toc462752370"/>
      <w:r>
        <w:rPr>
          <w:rStyle w:val="CharSectno"/>
        </w:rPr>
        <w:t>17</w:t>
      </w:r>
      <w:r>
        <w:rPr>
          <w:snapToGrid w:val="0"/>
        </w:rPr>
        <w:t>.</w:t>
      </w:r>
      <w:r>
        <w:rPr>
          <w:snapToGrid w:val="0"/>
        </w:rPr>
        <w:tab/>
        <w:t>Surveyor may enter upon lands</w:t>
      </w:r>
      <w:bookmarkEnd w:id="24"/>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25" w:name="_Toc462752371"/>
      <w:r>
        <w:rPr>
          <w:rStyle w:val="CharSectno"/>
        </w:rPr>
        <w:t>18</w:t>
      </w:r>
      <w:r>
        <w:rPr>
          <w:snapToGrid w:val="0"/>
        </w:rPr>
        <w:t>.</w:t>
      </w:r>
      <w:r>
        <w:rPr>
          <w:snapToGrid w:val="0"/>
        </w:rPr>
        <w:tab/>
        <w:t>Plan to be approved by Surveyor General</w:t>
      </w:r>
      <w:bookmarkEnd w:id="25"/>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w:t>
      </w:r>
      <w:r>
        <w:rPr>
          <w:b/>
          <w:i/>
          <w:snapToGrid w:val="0"/>
        </w:rPr>
        <w:t>authorised survey</w:t>
      </w:r>
      <w:r>
        <w:rPr>
          <w:snapToGrid w:val="0"/>
        </w:rPr>
        <w:t xml:space="preserve">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No. 60 of 2006 s. 143(3).] </w:t>
      </w:r>
    </w:p>
    <w:p>
      <w:pPr>
        <w:pStyle w:val="Heading5"/>
        <w:rPr>
          <w:snapToGrid w:val="0"/>
        </w:rPr>
      </w:pPr>
      <w:bookmarkStart w:id="26" w:name="_Toc462752372"/>
      <w:r>
        <w:rPr>
          <w:rStyle w:val="CharSectno"/>
        </w:rPr>
        <w:t>19</w:t>
      </w:r>
      <w:r>
        <w:rPr>
          <w:snapToGrid w:val="0"/>
        </w:rPr>
        <w:t>.</w:t>
      </w:r>
      <w:r>
        <w:rPr>
          <w:snapToGrid w:val="0"/>
        </w:rPr>
        <w:tab/>
        <w:t>Surveyors to correct errors at their own expense</w:t>
      </w:r>
      <w:bookmarkEnd w:id="26"/>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(the</w:t>
      </w:r>
      <w:r>
        <w:rPr>
          <w:rStyle w:val="CharDefText"/>
        </w:rPr>
        <w:t xml:space="preserve"> person at fault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keepNext/>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t>(3)</w:t>
      </w:r>
      <w:r>
        <w:rPr>
          <w:snapToGrid w:val="0"/>
        </w:rPr>
        <w:tab/>
        <w:t>A request for the correction of a survey shall be made within 12 years from the date of the lodgment of the plan of such survey with the Surveyor General or other authority.</w:t>
      </w:r>
    </w:p>
    <w:p>
      <w:pPr>
        <w:pStyle w:val="Footnotesection"/>
      </w:pPr>
      <w:r>
        <w:tab/>
        <w:t>[Section 19 amended by No. 79 of 1996 s. 17; No. 19 of 2010 s. 51.]</w:t>
      </w:r>
    </w:p>
    <w:p>
      <w:pPr>
        <w:pStyle w:val="Heading5"/>
        <w:rPr>
          <w:snapToGrid w:val="0"/>
        </w:rPr>
      </w:pPr>
      <w:bookmarkStart w:id="27" w:name="_Toc462752373"/>
      <w:r>
        <w:rPr>
          <w:rStyle w:val="CharSectno"/>
        </w:rPr>
        <w:t>20</w:t>
      </w:r>
      <w:r>
        <w:rPr>
          <w:snapToGrid w:val="0"/>
        </w:rPr>
        <w:t>.</w:t>
      </w:r>
      <w:r>
        <w:rPr>
          <w:snapToGrid w:val="0"/>
        </w:rPr>
        <w:tab/>
        <w:t>Surveyor not to be interested</w:t>
      </w:r>
      <w:bookmarkEnd w:id="27"/>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28" w:name="_Toc462752374"/>
      <w:r>
        <w:rPr>
          <w:rStyle w:val="CharSectno"/>
        </w:rPr>
        <w:t>20A</w:t>
      </w:r>
      <w:r>
        <w:rPr>
          <w:snapToGrid w:val="0"/>
        </w:rPr>
        <w:t>.</w:t>
      </w:r>
      <w:r>
        <w:rPr>
          <w:snapToGrid w:val="0"/>
        </w:rPr>
        <w:tab/>
        <w:t>Cancellation of licence or practising certificate at request of licensed surveyor</w:t>
      </w:r>
      <w:bookmarkEnd w:id="28"/>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rPr>
      </w:pPr>
      <w:r>
        <w:rPr>
          <w:snapToGrid w:val="0"/>
        </w:rPr>
        <w:tab/>
        <w:t>(b)</w:t>
      </w:r>
      <w:r>
        <w:rPr>
          <w:snapToGrid w:val="0"/>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rPr>
      </w:pPr>
      <w:r>
        <w:rPr>
          <w:snapToGrid w:val="0"/>
        </w:rPr>
        <w:tab/>
        <w:t>(4)</w:t>
      </w:r>
      <w:r>
        <w:rPr>
          <w:snapToGrid w:val="0"/>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29" w:name="_Toc462752375"/>
      <w:r>
        <w:rPr>
          <w:rStyle w:val="CharSectno"/>
        </w:rPr>
        <w:t>20B</w:t>
      </w:r>
      <w:r>
        <w:t>.</w:t>
      </w:r>
      <w:r>
        <w:tab/>
        <w:t>Disciplinary proceedings against licensed surveyors</w:t>
      </w:r>
      <w:bookmarkEnd w:id="29"/>
    </w:p>
    <w:p>
      <w:pPr>
        <w:pStyle w:val="Subsection"/>
        <w:rPr>
          <w:snapToGrid w:val="0"/>
        </w:rPr>
      </w:pPr>
      <w:r>
        <w:rPr>
          <w:snapToGrid w:val="0"/>
        </w:rPr>
        <w:tab/>
      </w:r>
      <w:r>
        <w:rPr>
          <w:snapToGrid w:val="0"/>
        </w:rPr>
        <w:tab/>
        <w:t>The Board may allege to the State Administrative Tribunal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30" w:name="_Toc462752376"/>
      <w:r>
        <w:rPr>
          <w:rStyle w:val="CharSectno"/>
        </w:rPr>
        <w:t>21</w:t>
      </w:r>
      <w:r>
        <w:rPr>
          <w:snapToGrid w:val="0"/>
        </w:rPr>
        <w:t>.</w:t>
      </w:r>
      <w:r>
        <w:rPr>
          <w:snapToGrid w:val="0"/>
        </w:rPr>
        <w:tab/>
        <w:t>Power of Board to deal with misconduct</w:t>
      </w:r>
      <w:bookmarkEnd w:id="30"/>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rPr>
      </w:pPr>
      <w:r>
        <w:rPr>
          <w:snapToGrid w:val="0"/>
        </w:rPr>
        <w:tab/>
        <w:t>(d)</w:t>
      </w:r>
      <w:r>
        <w:rPr>
          <w:snapToGrid w:val="0"/>
        </w:rPr>
        <w:tab/>
        <w:t>after being licensed under this Act, or any repealed Act relating to the licensing of surveyors, he has been convicted of any</w:t>
      </w:r>
      <w:r>
        <w:t xml:space="preserve"> indictable offence</w:t>
      </w:r>
      <w:r>
        <w:rPr>
          <w:snapToGrid w:val="0"/>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rPr>
      </w:pPr>
      <w:r>
        <w:rPr>
          <w:snapToGrid w:val="0"/>
        </w:rPr>
        <w:tab/>
        <w:t>(fa)</w:t>
      </w:r>
      <w:r>
        <w:rPr>
          <w:snapToGrid w:val="0"/>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 or</w:t>
      </w:r>
    </w:p>
    <w:p>
      <w:pPr>
        <w:pStyle w:val="Indenta"/>
        <w:rPr>
          <w:snapToGrid w:val="0"/>
        </w:rPr>
      </w:pPr>
      <w:r>
        <w:rPr>
          <w:snapToGrid w:val="0"/>
        </w:rPr>
        <w:tab/>
        <w:t>(b)</w:t>
      </w:r>
      <w:r>
        <w:rPr>
          <w:snapToGrid w:val="0"/>
        </w:rPr>
        <w:tab/>
        <w:t>imposing on that person a fine not exceeding $1 000; or</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 or</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 or</w:t>
      </w:r>
    </w:p>
    <w:p>
      <w:pPr>
        <w:pStyle w:val="Indenta"/>
        <w:rPr>
          <w:snapToGrid w:val="0"/>
        </w:rPr>
      </w:pPr>
      <w:r>
        <w:rPr>
          <w:snapToGrid w:val="0"/>
        </w:rPr>
        <w:tab/>
        <w:t>(f)</w:t>
      </w:r>
      <w:r>
        <w:rPr>
          <w:snapToGrid w:val="0"/>
        </w:rPr>
        <w:tab/>
        <w:t>if that person is still a licensed surveyor, cancelling his licence; or</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spacing w:before="120"/>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 and</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deleted]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 or</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 or</w:t>
      </w:r>
    </w:p>
    <w:p>
      <w:pPr>
        <w:pStyle w:val="Indenta"/>
        <w:rPr>
          <w:snapToGrid w:val="0"/>
        </w:rPr>
      </w:pPr>
      <w:r>
        <w:rPr>
          <w:snapToGrid w:val="0"/>
        </w:rPr>
        <w:tab/>
        <w:t>(c)</w:t>
      </w:r>
      <w:r>
        <w:rPr>
          <w:snapToGrid w:val="0"/>
        </w:rPr>
        <w:tab/>
        <w:t>who held a licence cancelled under subsection (1aa)(f), order that the Board issue a fresh licence to that person; or</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rPr>
      </w:pPr>
      <w:r>
        <w:rPr>
          <w:snapToGrid w:val="0"/>
        </w:rPr>
        <w:tab/>
        <w:t>(b)</w:t>
      </w:r>
      <w:r>
        <w:rPr>
          <w:snapToGrid w:val="0"/>
        </w:rPr>
        <w:tab/>
        <w:t>the granting of any application referred to in subsection (6).</w:t>
      </w:r>
    </w:p>
    <w:p>
      <w:pPr>
        <w:pStyle w:val="Subsection"/>
        <w:spacing w:before="120"/>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spacing w:before="120"/>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spacing w:before="120"/>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spacing w:before="180"/>
      </w:pPr>
      <w:bookmarkStart w:id="31" w:name="_Toc462752377"/>
      <w:r>
        <w:rPr>
          <w:rStyle w:val="CharSectno"/>
        </w:rPr>
        <w:t>21AA</w:t>
      </w:r>
      <w:r>
        <w:t>.</w:t>
      </w:r>
      <w:r>
        <w:tab/>
        <w:t>Suspension of licence by State Administrative Tribunal</w:t>
      </w:r>
      <w:bookmarkEnd w:id="31"/>
    </w:p>
    <w:p>
      <w:pPr>
        <w:pStyle w:val="Subsection"/>
        <w:spacing w:before="120"/>
        <w:rPr>
          <w:snapToGrid w:val="0"/>
        </w:rPr>
      </w:pPr>
      <w:r>
        <w:rPr>
          <w:snapToGrid w:val="0"/>
        </w:rPr>
        <w:tab/>
        <w:t>(1)</w:t>
      </w:r>
      <w:r>
        <w:rPr>
          <w:snapToGrid w:val="0"/>
        </w:rPr>
        <w:tab/>
        <w:t>Where the State Administrative Tribunal makes an order against a licensed surveyor or the holder of a practising certificate and payment is not made in accordance with the order or the order is otherwise not complied with or is breached, the State Administrative Tribunal may order that the person’s licence or practising certificate be suspended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21AA inserted by No. 55 of 2004 s. 653.]</w:t>
      </w:r>
    </w:p>
    <w:p>
      <w:pPr>
        <w:pStyle w:val="Heading5"/>
        <w:spacing w:before="180"/>
        <w:rPr>
          <w:snapToGrid w:val="0"/>
        </w:rPr>
      </w:pPr>
      <w:bookmarkStart w:id="32" w:name="_Toc462752378"/>
      <w:r>
        <w:rPr>
          <w:rStyle w:val="CharSectno"/>
        </w:rPr>
        <w:t>21A</w:t>
      </w:r>
      <w:r>
        <w:rPr>
          <w:snapToGrid w:val="0"/>
        </w:rPr>
        <w:t>.</w:t>
      </w:r>
      <w:r>
        <w:rPr>
          <w:snapToGrid w:val="0"/>
        </w:rPr>
        <w:tab/>
        <w:t>Alteration and removal of licence or practising certificate conditions</w:t>
      </w:r>
      <w:bookmarkEnd w:id="32"/>
      <w:r>
        <w:rPr>
          <w:snapToGrid w:val="0"/>
        </w:rPr>
        <w:t xml:space="preserve"> </w:t>
      </w:r>
    </w:p>
    <w:p>
      <w:pPr>
        <w:pStyle w:val="Subsection"/>
        <w:spacing w:before="100"/>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spacing w:before="80"/>
        <w:ind w:left="890" w:hanging="890"/>
      </w:pPr>
      <w:r>
        <w:tab/>
        <w:t>[Section 21A inserted by No. 79 of 1996 s. 20.]</w:t>
      </w:r>
    </w:p>
    <w:p>
      <w:pPr>
        <w:pStyle w:val="Heading5"/>
        <w:spacing w:before="180"/>
      </w:pPr>
      <w:bookmarkStart w:id="33" w:name="_Toc462752379"/>
      <w:r>
        <w:rPr>
          <w:rStyle w:val="CharSectno"/>
        </w:rPr>
        <w:t>22</w:t>
      </w:r>
      <w:r>
        <w:t>.</w:t>
      </w:r>
      <w:r>
        <w:tab/>
        <w:t>Charge against surveyor</w:t>
      </w:r>
      <w:bookmarkEnd w:id="33"/>
      <w:r>
        <w:t xml:space="preserve"> </w:t>
      </w:r>
    </w:p>
    <w:p>
      <w:pPr>
        <w:pStyle w:val="Subsection"/>
        <w:spacing w:before="120"/>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spacing w:before="120"/>
        <w:rPr>
          <w:snapToGrid w:val="0"/>
        </w:rPr>
      </w:pPr>
      <w:r>
        <w:rPr>
          <w:snapToGrid w:val="0"/>
        </w:rPr>
        <w:tab/>
        <w:t>(2)</w:t>
      </w:r>
      <w:r>
        <w:rPr>
          <w:snapToGrid w:val="0"/>
        </w:rPr>
        <w:tab/>
        <w:t>Subsection (1) does not prevent the Board from commencing an investigation on its own initiative.</w:t>
      </w:r>
    </w:p>
    <w:p>
      <w:pPr>
        <w:pStyle w:val="Footnotesection"/>
        <w:spacing w:before="80"/>
        <w:ind w:left="890" w:hanging="890"/>
      </w:pPr>
      <w:r>
        <w:tab/>
        <w:t>[Section 22 inserted by No. 55 of 2004 s. 654.]</w:t>
      </w:r>
    </w:p>
    <w:p>
      <w:pPr>
        <w:pStyle w:val="Heading5"/>
        <w:rPr>
          <w:snapToGrid w:val="0"/>
        </w:rPr>
      </w:pPr>
      <w:bookmarkStart w:id="34" w:name="_Toc462752380"/>
      <w:r>
        <w:rPr>
          <w:rStyle w:val="CharSectno"/>
        </w:rPr>
        <w:t>22A</w:t>
      </w:r>
      <w:r>
        <w:rPr>
          <w:snapToGrid w:val="0"/>
        </w:rPr>
        <w:t>.</w:t>
      </w:r>
      <w:r>
        <w:rPr>
          <w:snapToGrid w:val="0"/>
        </w:rPr>
        <w:tab/>
        <w:t>Application to State Administrative Tribunal for review</w:t>
      </w:r>
      <w:bookmarkEnd w:id="34"/>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spacing w:before="180"/>
        <w:rPr>
          <w:snapToGrid w:val="0"/>
        </w:rPr>
      </w:pPr>
      <w:bookmarkStart w:id="35" w:name="_Toc462752381"/>
      <w:r>
        <w:rPr>
          <w:rStyle w:val="CharSectno"/>
        </w:rPr>
        <w:t>23</w:t>
      </w:r>
      <w:r>
        <w:rPr>
          <w:snapToGrid w:val="0"/>
        </w:rPr>
        <w:t>.</w:t>
      </w:r>
      <w:r>
        <w:rPr>
          <w:snapToGrid w:val="0"/>
        </w:rPr>
        <w:tab/>
        <w:t>Offences</w:t>
      </w:r>
      <w:bookmarkEnd w:id="35"/>
      <w:r>
        <w:rPr>
          <w:snapToGrid w:val="0"/>
        </w:rPr>
        <w:t xml:space="preserve"> </w:t>
      </w:r>
    </w:p>
    <w:p>
      <w:pPr>
        <w:pStyle w:val="Subsection"/>
        <w:keepNext/>
        <w:spacing w:before="120"/>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spacing w:before="80"/>
        <w:ind w:left="890" w:hanging="890"/>
      </w:pPr>
      <w:r>
        <w:tab/>
        <w:t xml:space="preserve">[Section 23 amended by No. 113 of 1965 s. 8; No. 107 of 1976 s. 8; No. 79 of 1996 s. 23.] </w:t>
      </w:r>
    </w:p>
    <w:p>
      <w:pPr>
        <w:pStyle w:val="Heading5"/>
        <w:rPr>
          <w:snapToGrid w:val="0"/>
        </w:rPr>
      </w:pPr>
      <w:bookmarkStart w:id="36" w:name="_Toc462752382"/>
      <w:r>
        <w:rPr>
          <w:rStyle w:val="CharSectno"/>
        </w:rPr>
        <w:t>24</w:t>
      </w:r>
      <w:r>
        <w:rPr>
          <w:snapToGrid w:val="0"/>
        </w:rPr>
        <w:t>.</w:t>
      </w:r>
      <w:r>
        <w:rPr>
          <w:snapToGrid w:val="0"/>
        </w:rPr>
        <w:tab/>
        <w:t>Board may sue and be sued</w:t>
      </w:r>
      <w:bookmarkEnd w:id="36"/>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r>
        <w:tab/>
        <w:t xml:space="preserve">[Section 24 amended by No. 84 of 2004 s. 80.] </w:t>
      </w:r>
    </w:p>
    <w:p>
      <w:pPr>
        <w:pStyle w:val="Heading5"/>
        <w:rPr>
          <w:snapToGrid w:val="0"/>
        </w:rPr>
      </w:pPr>
      <w:bookmarkStart w:id="37" w:name="_Toc462752383"/>
      <w:r>
        <w:rPr>
          <w:rStyle w:val="CharSectno"/>
        </w:rPr>
        <w:t>24A</w:t>
      </w:r>
      <w:r>
        <w:rPr>
          <w:snapToGrid w:val="0"/>
        </w:rPr>
        <w:t>.</w:t>
      </w:r>
      <w:r>
        <w:rPr>
          <w:snapToGrid w:val="0"/>
        </w:rPr>
        <w:tab/>
        <w:t>Protection from liability for wrongdoing</w:t>
      </w:r>
      <w:bookmarkEnd w:id="3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38" w:name="_Toc462752384"/>
      <w:r>
        <w:rPr>
          <w:rStyle w:val="CharSectno"/>
        </w:rPr>
        <w:t>25</w:t>
      </w:r>
      <w:r>
        <w:rPr>
          <w:snapToGrid w:val="0"/>
        </w:rPr>
        <w:t>.</w:t>
      </w:r>
      <w:r>
        <w:rPr>
          <w:snapToGrid w:val="0"/>
        </w:rPr>
        <w:tab/>
        <w:t>Application of funds</w:t>
      </w:r>
      <w:bookmarkEnd w:id="38"/>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spacing w:before="180"/>
        <w:rPr>
          <w:snapToGrid w:val="0"/>
        </w:rPr>
      </w:pPr>
      <w:bookmarkStart w:id="39" w:name="_Toc462752385"/>
      <w:r>
        <w:rPr>
          <w:rStyle w:val="CharSectno"/>
        </w:rPr>
        <w:t>25A</w:t>
      </w:r>
      <w:r>
        <w:rPr>
          <w:snapToGrid w:val="0"/>
        </w:rPr>
        <w:t>.</w:t>
      </w:r>
      <w:r>
        <w:rPr>
          <w:snapToGrid w:val="0"/>
        </w:rPr>
        <w:tab/>
        <w:t>Accounts</w:t>
      </w:r>
      <w:bookmarkEnd w:id="39"/>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40" w:name="_Toc462752386"/>
      <w:r>
        <w:rPr>
          <w:rStyle w:val="CharSectno"/>
        </w:rPr>
        <w:t>25B</w:t>
      </w:r>
      <w:r>
        <w:rPr>
          <w:snapToGrid w:val="0"/>
        </w:rPr>
        <w:t>.</w:t>
      </w:r>
      <w:r>
        <w:rPr>
          <w:snapToGrid w:val="0"/>
        </w:rPr>
        <w:tab/>
        <w:t>Audit</w:t>
      </w:r>
      <w:bookmarkEnd w:id="40"/>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41" w:name="_Toc462752387"/>
      <w:r>
        <w:rPr>
          <w:rStyle w:val="CharSectno"/>
        </w:rPr>
        <w:t>25C</w:t>
      </w:r>
      <w:r>
        <w:rPr>
          <w:snapToGrid w:val="0"/>
        </w:rPr>
        <w:t>.</w:t>
      </w:r>
      <w:r>
        <w:rPr>
          <w:snapToGrid w:val="0"/>
        </w:rPr>
        <w:tab/>
        <w:t>Annual report</w:t>
      </w:r>
      <w:bookmarkEnd w:id="41"/>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42" w:name="_Toc462752388"/>
      <w:r>
        <w:rPr>
          <w:rStyle w:val="CharSectno"/>
        </w:rPr>
        <w:t>26</w:t>
      </w:r>
      <w:r>
        <w:rPr>
          <w:snapToGrid w:val="0"/>
        </w:rPr>
        <w:t>.</w:t>
      </w:r>
      <w:r>
        <w:rPr>
          <w:snapToGrid w:val="0"/>
        </w:rPr>
        <w:tab/>
        <w:t>Regulations</w:t>
      </w:r>
      <w:bookmarkEnd w:id="42"/>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43" w:name="_Toc462752389"/>
      <w:r>
        <w:rPr>
          <w:rStyle w:val="CharSectno"/>
        </w:rPr>
        <w:t>26A</w:t>
      </w:r>
      <w:r>
        <w:rPr>
          <w:snapToGrid w:val="0"/>
        </w:rPr>
        <w:t>.</w:t>
      </w:r>
      <w:r>
        <w:rPr>
          <w:snapToGrid w:val="0"/>
        </w:rPr>
        <w:tab/>
        <w:t>Professional indemnity insurance</w:t>
      </w:r>
      <w:bookmarkEnd w:id="43"/>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 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 and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 and</w:t>
      </w:r>
    </w:p>
    <w:p>
      <w:pPr>
        <w:pStyle w:val="Indenta"/>
        <w:rPr>
          <w:snapToGrid w:val="0"/>
        </w:rPr>
      </w:pPr>
      <w:r>
        <w:rPr>
          <w:snapToGrid w:val="0"/>
        </w:rPr>
        <w:tab/>
        <w:t>(g)</w:t>
      </w:r>
      <w:r>
        <w:rPr>
          <w:snapToGrid w:val="0"/>
        </w:rPr>
        <w:tab/>
        <w:t>empower the Board to vary or revoke any exemption made by the Board under those regulations; and</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44" w:name="_Toc462752390"/>
      <w:r>
        <w:rPr>
          <w:rStyle w:val="CharSectno"/>
        </w:rPr>
        <w:t>27</w:t>
      </w:r>
      <w:r>
        <w:rPr>
          <w:snapToGrid w:val="0"/>
        </w:rPr>
        <w:t>.</w:t>
      </w:r>
      <w:r>
        <w:rPr>
          <w:snapToGrid w:val="0"/>
        </w:rPr>
        <w:tab/>
        <w:t>Evidence</w:t>
      </w:r>
      <w:bookmarkEnd w:id="44"/>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Deleted by No. 79 of 1996 s. 27.] </w:t>
      </w:r>
    </w:p>
    <w:p>
      <w:pPr>
        <w:pStyle w:val="Heading5"/>
        <w:rPr>
          <w:snapToGrid w:val="0"/>
        </w:rPr>
      </w:pPr>
      <w:bookmarkStart w:id="45" w:name="_Toc462752391"/>
      <w:r>
        <w:rPr>
          <w:rStyle w:val="CharSectno"/>
        </w:rPr>
        <w:t>30</w:t>
      </w:r>
      <w:r>
        <w:rPr>
          <w:snapToGrid w:val="0"/>
        </w:rPr>
        <w:t>.</w:t>
      </w:r>
      <w:r>
        <w:rPr>
          <w:snapToGrid w:val="0"/>
        </w:rPr>
        <w:tab/>
        <w:t>Proceedings for offences</w:t>
      </w:r>
      <w:bookmarkEnd w:id="45"/>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6" w:name="_Toc449969352"/>
      <w:bookmarkStart w:id="47" w:name="_Toc462752392"/>
      <w:r>
        <w:rPr>
          <w:rStyle w:val="CharSchNo"/>
        </w:rPr>
        <w:t>Second Schedule</w:t>
      </w:r>
      <w:r>
        <w:rPr>
          <w:rStyle w:val="CharSDivNo"/>
        </w:rPr>
        <w:t> </w:t>
      </w:r>
      <w:r>
        <w:t>—</w:t>
      </w:r>
      <w:r>
        <w:rPr>
          <w:rStyle w:val="CharSDivText"/>
        </w:rPr>
        <w:t> </w:t>
      </w:r>
      <w:r>
        <w:rPr>
          <w:rStyle w:val="CharSchText"/>
        </w:rPr>
        <w:t>Rules for the conduct of the Board</w:t>
      </w:r>
      <w:bookmarkEnd w:id="46"/>
      <w:bookmarkEnd w:id="47"/>
    </w:p>
    <w:p>
      <w:pPr>
        <w:pStyle w:val="yShoulderClause"/>
        <w:rPr>
          <w:snapToGrid w:val="0"/>
        </w:rPr>
      </w:pPr>
      <w:r>
        <w:rPr>
          <w:snapToGrid w:val="0"/>
        </w:rPr>
        <w:t>[s. 5.]</w:t>
      </w:r>
    </w:p>
    <w:p>
      <w:pPr>
        <w:pStyle w:val="yFootnotesection"/>
      </w:pPr>
      <w:r>
        <w:tab/>
        <w:t>[Heading amended by No. 19 of 2010 s. 4.]</w:t>
      </w:r>
    </w:p>
    <w:p>
      <w:pPr>
        <w:pStyle w:val="yHeading5"/>
        <w:rPr>
          <w:snapToGrid w:val="0"/>
        </w:rPr>
      </w:pPr>
      <w:bookmarkStart w:id="48" w:name="_Toc462752393"/>
      <w:r>
        <w:rPr>
          <w:rStyle w:val="CharSClsNo"/>
        </w:rPr>
        <w:t>1</w:t>
      </w:r>
      <w:r>
        <w:rPr>
          <w:snapToGrid w:val="0"/>
        </w:rPr>
        <w:t>.</w:t>
      </w:r>
      <w:r>
        <w:rPr>
          <w:snapToGrid w:val="0"/>
        </w:rPr>
        <w:tab/>
        <w:t>Chairman</w:t>
      </w:r>
      <w:bookmarkEnd w:id="48"/>
    </w:p>
    <w:p>
      <w:pPr>
        <w:pStyle w:val="ySubsection"/>
        <w:rPr>
          <w:snapToGrid w:val="0"/>
        </w:rPr>
      </w:pPr>
      <w:r>
        <w:rPr>
          <w:snapToGrid w:val="0"/>
        </w:rPr>
        <w:tab/>
      </w:r>
      <w:r>
        <w:rPr>
          <w:snapToGrid w:val="0"/>
        </w:rPr>
        <w:tab/>
        <w:t>The chairman shall be the executive officer of the Board.</w:t>
      </w:r>
    </w:p>
    <w:p>
      <w:pPr>
        <w:pStyle w:val="yFootnotesection"/>
      </w:pPr>
      <w:r>
        <w:tab/>
        <w:t>[Clause 1 amended by No. 19 of 2010 s. 51.]</w:t>
      </w:r>
    </w:p>
    <w:p>
      <w:pPr>
        <w:pStyle w:val="yHeading5"/>
        <w:rPr>
          <w:snapToGrid w:val="0"/>
        </w:rPr>
      </w:pPr>
      <w:bookmarkStart w:id="49" w:name="_Toc462752394"/>
      <w:r>
        <w:rPr>
          <w:rStyle w:val="CharSClsNo"/>
        </w:rPr>
        <w:t>2</w:t>
      </w:r>
      <w:r>
        <w:rPr>
          <w:snapToGrid w:val="0"/>
        </w:rPr>
        <w:t>.</w:t>
      </w:r>
      <w:r>
        <w:rPr>
          <w:snapToGrid w:val="0"/>
        </w:rPr>
        <w:tab/>
        <w:t>Execution of documents</w:t>
      </w:r>
      <w:bookmarkEnd w:id="49"/>
    </w:p>
    <w:p>
      <w:pPr>
        <w:pStyle w:val="ySubsection"/>
        <w:rPr>
          <w:snapToGrid w:val="0"/>
          <w:spacing w:val="-4"/>
        </w:rPr>
      </w:pPr>
      <w:r>
        <w:rPr>
          <w:snapToGrid w:val="0"/>
          <w:spacing w:val="-4"/>
        </w:rPr>
        <w:tab/>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Footnotesection"/>
      </w:pPr>
      <w:r>
        <w:tab/>
        <w:t>[Clause 2 amended by No. 19 of 2010 s. 51.]</w:t>
      </w:r>
    </w:p>
    <w:p>
      <w:pPr>
        <w:pStyle w:val="yHeading5"/>
        <w:rPr>
          <w:snapToGrid w:val="0"/>
        </w:rPr>
      </w:pPr>
      <w:bookmarkStart w:id="50" w:name="_Toc462752395"/>
      <w:r>
        <w:rPr>
          <w:rStyle w:val="CharSClsNo"/>
        </w:rPr>
        <w:t>3</w:t>
      </w:r>
      <w:r>
        <w:rPr>
          <w:snapToGrid w:val="0"/>
        </w:rPr>
        <w:t>.</w:t>
      </w:r>
      <w:r>
        <w:rPr>
          <w:snapToGrid w:val="0"/>
        </w:rPr>
        <w:tab/>
        <w:t>Quorum</w:t>
      </w:r>
      <w:bookmarkEnd w:id="50"/>
    </w:p>
    <w:p>
      <w:pPr>
        <w:pStyle w:val="ySubsection"/>
        <w:rPr>
          <w:snapToGrid w:val="0"/>
        </w:rPr>
      </w:pPr>
      <w:r>
        <w:rPr>
          <w:snapToGrid w:val="0"/>
        </w:rPr>
        <w:tab/>
      </w:r>
      <w:r>
        <w:rPr>
          <w:snapToGrid w:val="0"/>
        </w:rPr>
        <w:tab/>
        <w:t>No business shall be transacted at any meeting of the Board unless at least 3 of the members are present when such business is transacted.</w:t>
      </w:r>
    </w:p>
    <w:p>
      <w:pPr>
        <w:pStyle w:val="yFootnotesection"/>
      </w:pPr>
      <w:r>
        <w:tab/>
        <w:t>[Clause 3 amended by No. 19 of 2010 s. 51.]</w:t>
      </w:r>
    </w:p>
    <w:p>
      <w:pPr>
        <w:pStyle w:val="yHeading5"/>
        <w:rPr>
          <w:snapToGrid w:val="0"/>
        </w:rPr>
      </w:pPr>
      <w:bookmarkStart w:id="51" w:name="_Toc462752396"/>
      <w:r>
        <w:rPr>
          <w:rStyle w:val="CharSClsNo"/>
        </w:rPr>
        <w:t>4</w:t>
      </w:r>
      <w:r>
        <w:rPr>
          <w:snapToGrid w:val="0"/>
        </w:rPr>
        <w:t>.</w:t>
      </w:r>
      <w:r>
        <w:rPr>
          <w:snapToGrid w:val="0"/>
        </w:rPr>
        <w:tab/>
        <w:t>Chairman to preside</w:t>
      </w:r>
      <w:bookmarkEnd w:id="51"/>
    </w:p>
    <w:p>
      <w:pPr>
        <w:pStyle w:val="ySubsection"/>
        <w:rPr>
          <w:snapToGrid w:val="0"/>
        </w:rPr>
      </w:pPr>
      <w:r>
        <w:rPr>
          <w:snapToGrid w:val="0"/>
        </w:rPr>
        <w:tab/>
        <w:t>(1)</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t>(2)</w:t>
      </w:r>
      <w:r>
        <w:rPr>
          <w:snapToGrid w:val="0"/>
        </w:rPr>
        <w:tab/>
        <w:t>The chairman, or, in his absence, the chairman for the day, shall have a vote, and, when there is an equal division of votes upon any question, shall have a second or casting vote.</w:t>
      </w:r>
    </w:p>
    <w:p>
      <w:pPr>
        <w:pStyle w:val="yFootnotesection"/>
      </w:pPr>
      <w:r>
        <w:tab/>
        <w:t>[Clause 4 amended by No. 19 of 2010 s. 51.]</w:t>
      </w:r>
    </w:p>
    <w:p>
      <w:pPr>
        <w:pStyle w:val="yHeading5"/>
        <w:rPr>
          <w:snapToGrid w:val="0"/>
        </w:rPr>
      </w:pPr>
      <w:bookmarkStart w:id="52" w:name="_Toc462752397"/>
      <w:r>
        <w:rPr>
          <w:rStyle w:val="CharSClsNo"/>
        </w:rPr>
        <w:t>5</w:t>
      </w:r>
      <w:r>
        <w:rPr>
          <w:snapToGrid w:val="0"/>
        </w:rPr>
        <w:t>.</w:t>
      </w:r>
      <w:r>
        <w:rPr>
          <w:snapToGrid w:val="0"/>
        </w:rPr>
        <w:tab/>
        <w:t>Voting</w:t>
      </w:r>
      <w:bookmarkEnd w:id="52"/>
    </w:p>
    <w:p>
      <w:pPr>
        <w:pStyle w:val="ySubsection"/>
        <w:rPr>
          <w:snapToGrid w:val="0"/>
        </w:rPr>
      </w:pPr>
      <w:r>
        <w:rPr>
          <w:snapToGrid w:val="0"/>
        </w:rPr>
        <w:tab/>
        <w:t>(1)</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t>(2)</w:t>
      </w:r>
      <w:r>
        <w:rPr>
          <w:snapToGrid w:val="0"/>
        </w:rPr>
        <w:tab/>
        <w:t>At all meetings, save as herein otherwise provided, all members present shall vote.</w:t>
      </w:r>
    </w:p>
    <w:p>
      <w:pPr>
        <w:pStyle w:val="ySubsection"/>
        <w:rPr>
          <w:snapToGrid w:val="0"/>
        </w:rPr>
      </w:pPr>
      <w:r>
        <w:rPr>
          <w:snapToGrid w:val="0"/>
        </w:rPr>
        <w:tab/>
        <w:t>(3)</w:t>
      </w:r>
      <w:r>
        <w:rPr>
          <w:snapToGrid w:val="0"/>
        </w:rPr>
        <w:tab/>
        <w:t>If a member refuses to vote, his vote shall be counted for the negative.</w:t>
      </w:r>
    </w:p>
    <w:p>
      <w:pPr>
        <w:pStyle w:val="yFootnotesection"/>
      </w:pPr>
      <w:r>
        <w:tab/>
        <w:t>[Clause 5 amended by No. 19 of 2010 s. 51.]</w:t>
      </w:r>
    </w:p>
    <w:p>
      <w:pPr>
        <w:pStyle w:val="yHeading5"/>
        <w:rPr>
          <w:snapToGrid w:val="0"/>
        </w:rPr>
      </w:pPr>
      <w:bookmarkStart w:id="53" w:name="_Toc462752398"/>
      <w:r>
        <w:rPr>
          <w:rStyle w:val="CharSClsNo"/>
        </w:rPr>
        <w:t>6</w:t>
      </w:r>
      <w:r>
        <w:rPr>
          <w:snapToGrid w:val="0"/>
        </w:rPr>
        <w:t>.</w:t>
      </w:r>
      <w:r>
        <w:rPr>
          <w:snapToGrid w:val="0"/>
        </w:rPr>
        <w:tab/>
        <w:t>Adjournment of meetings</w:t>
      </w:r>
      <w:bookmarkEnd w:id="53"/>
    </w:p>
    <w:p>
      <w:pPr>
        <w:pStyle w:val="ySubsection"/>
        <w:rPr>
          <w:snapToGrid w:val="0"/>
        </w:rPr>
      </w:pPr>
      <w:r>
        <w:rPr>
          <w:snapToGrid w:val="0"/>
        </w:rPr>
        <w:tab/>
        <w:t>(1)</w:t>
      </w:r>
      <w:r>
        <w:rPr>
          <w:snapToGrid w:val="0"/>
        </w:rPr>
        <w:tab/>
        <w:t>The members present at a meeting may, from time to time, adjourn the meeting.</w:t>
      </w:r>
    </w:p>
    <w:p>
      <w:pPr>
        <w:pStyle w:val="ySubsection"/>
        <w:rPr>
          <w:rFonts w:ascii="Times" w:hAnsi="Times"/>
          <w:snapToGrid w:val="0"/>
        </w:rPr>
      </w:pPr>
      <w:r>
        <w:rPr>
          <w:snapToGrid w:val="0"/>
          <w:spacing w:val="-6"/>
        </w:rPr>
        <w:tab/>
        <w:t>(2)</w:t>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t>(3)</w:t>
      </w:r>
      <w:r>
        <w:rPr>
          <w:snapToGrid w:val="0"/>
        </w:rPr>
        <w:tab/>
        <w:t>Nothing in this clause shall be construed to prevent the adjournment of any meeting to a later hour of the same day on which such meeting was appointed to be held.</w:t>
      </w:r>
    </w:p>
    <w:p>
      <w:pPr>
        <w:pStyle w:val="yFootnotesection"/>
      </w:pPr>
      <w:r>
        <w:tab/>
        <w:t>[Clause 6 amended by No. 19 of 2010 s. 51.]</w:t>
      </w:r>
    </w:p>
    <w:p>
      <w:pPr>
        <w:pStyle w:val="yHeading5"/>
        <w:rPr>
          <w:snapToGrid w:val="0"/>
        </w:rPr>
      </w:pPr>
      <w:bookmarkStart w:id="54" w:name="_Toc462752399"/>
      <w:r>
        <w:rPr>
          <w:rStyle w:val="CharSClsNo"/>
        </w:rPr>
        <w:t>7</w:t>
      </w:r>
      <w:r>
        <w:rPr>
          <w:snapToGrid w:val="0"/>
        </w:rPr>
        <w:t>.</w:t>
      </w:r>
      <w:r>
        <w:rPr>
          <w:snapToGrid w:val="0"/>
        </w:rPr>
        <w:tab/>
        <w:t>Notice of meeting</w:t>
      </w:r>
      <w:bookmarkEnd w:id="54"/>
    </w:p>
    <w:p>
      <w:pPr>
        <w:pStyle w:val="ySubsection"/>
        <w:rPr>
          <w:snapToGrid w:val="0"/>
        </w:rPr>
      </w:pPr>
      <w:r>
        <w:rPr>
          <w:snapToGrid w:val="0"/>
        </w:rPr>
        <w:tab/>
      </w:r>
      <w:r>
        <w:rPr>
          <w:snapToGrid w:val="0"/>
        </w:rPr>
        <w:tab/>
        <w:t>All notices of any meeting shall be in writing, and shall be delivered or sent by post or otherwise to the address of each of the members previous to the meeting.</w:t>
      </w:r>
    </w:p>
    <w:p>
      <w:pPr>
        <w:pStyle w:val="yFootnotesection"/>
      </w:pPr>
      <w:r>
        <w:tab/>
        <w:t>[Clause 7 amended by No. 19 of 2010 s. 51.]</w:t>
      </w:r>
    </w:p>
    <w:p>
      <w:pPr>
        <w:pStyle w:val="yHeading5"/>
        <w:rPr>
          <w:snapToGrid w:val="0"/>
        </w:rPr>
      </w:pPr>
      <w:bookmarkStart w:id="55" w:name="_Toc462752400"/>
      <w:r>
        <w:rPr>
          <w:rStyle w:val="CharSClsNo"/>
        </w:rPr>
        <w:t>8</w:t>
      </w:r>
      <w:r>
        <w:rPr>
          <w:snapToGrid w:val="0"/>
        </w:rPr>
        <w:t>.</w:t>
      </w:r>
      <w:r>
        <w:rPr>
          <w:snapToGrid w:val="0"/>
        </w:rPr>
        <w:tab/>
        <w:t>Effect of refusal or neglect to act or non</w:t>
      </w:r>
      <w:r>
        <w:rPr>
          <w:snapToGrid w:val="0"/>
        </w:rPr>
        <w:noBreakHyphen/>
        <w:t>attendance</w:t>
      </w:r>
      <w:bookmarkEnd w:id="55"/>
    </w:p>
    <w:p>
      <w:pPr>
        <w:pStyle w:val="ySubsection"/>
        <w:rPr>
          <w:snapToGrid w:val="0"/>
        </w:rPr>
      </w:pPr>
      <w:r>
        <w:rPr>
          <w:snapToGrid w:val="0"/>
        </w:rPr>
        <w:tab/>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Footnotesection"/>
      </w:pPr>
      <w:r>
        <w:tab/>
        <w:t>[Clause 8 amended by No. 19 of 2010 s. 51.]</w:t>
      </w:r>
    </w:p>
    <w:p>
      <w:pPr>
        <w:pStyle w:val="yHeading5"/>
        <w:rPr>
          <w:snapToGrid w:val="0"/>
        </w:rPr>
      </w:pPr>
      <w:bookmarkStart w:id="56" w:name="_Toc462752401"/>
      <w:r>
        <w:rPr>
          <w:rStyle w:val="CharSClsNo"/>
        </w:rPr>
        <w:t>9</w:t>
      </w:r>
      <w:r>
        <w:rPr>
          <w:snapToGrid w:val="0"/>
        </w:rPr>
        <w:t>.</w:t>
      </w:r>
      <w:r>
        <w:rPr>
          <w:snapToGrid w:val="0"/>
        </w:rPr>
        <w:tab/>
        <w:t>Validity not affected by vacancy etc.</w:t>
      </w:r>
      <w:bookmarkEnd w:id="56"/>
    </w:p>
    <w:p>
      <w:pPr>
        <w:pStyle w:val="ySubsection"/>
        <w:rPr>
          <w:snapToGrid w:val="0"/>
        </w:rPr>
      </w:pPr>
      <w:r>
        <w:rPr>
          <w:snapToGrid w:val="0"/>
        </w:rPr>
        <w:tab/>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Footnotesection"/>
      </w:pPr>
      <w:r>
        <w:tab/>
        <w:t>[Clause 9 amended by No. 19 of 2010 s. 51.]</w:t>
      </w:r>
    </w:p>
    <w:p>
      <w:pPr>
        <w:pStyle w:val="yScheduleHeading"/>
      </w:pPr>
      <w:bookmarkStart w:id="57" w:name="_Toc449969362"/>
      <w:bookmarkStart w:id="58" w:name="_Toc462752402"/>
      <w:r>
        <w:rPr>
          <w:rStyle w:val="CharSchNo"/>
        </w:rPr>
        <w:t>Third Schedule</w:t>
      </w:r>
      <w:r>
        <w:t xml:space="preserve"> — </w:t>
      </w:r>
      <w:r>
        <w:rPr>
          <w:rStyle w:val="CharSchText"/>
        </w:rPr>
        <w:t>Form of declaration</w:t>
      </w:r>
      <w:bookmarkEnd w:id="57"/>
      <w:bookmarkEnd w:id="58"/>
    </w:p>
    <w:p>
      <w:pPr>
        <w:pStyle w:val="yShoulderClause"/>
        <w:rPr>
          <w:snapToGrid w:val="0"/>
        </w:rPr>
      </w:pPr>
      <w:r>
        <w:rPr>
          <w:snapToGrid w:val="0"/>
        </w:rPr>
        <w:t>[s.</w:t>
      </w:r>
      <w:r>
        <w:rPr>
          <w:rStyle w:val="CharSchText"/>
        </w:rPr>
        <w:t> </w:t>
      </w:r>
      <w:r>
        <w:rPr>
          <w:snapToGrid w:val="0"/>
        </w:rPr>
        <w:t>7.]</w:t>
      </w:r>
    </w:p>
    <w:p>
      <w:pPr>
        <w:pStyle w:val="yFootnotesection"/>
      </w:pPr>
      <w:r>
        <w:tab/>
        <w:t>[Heading amended by No. 19 of 2010 s. 4.]</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0" w:name="_Toc449969363"/>
      <w:bookmarkStart w:id="61" w:name="_Toc462752403"/>
      <w:r>
        <w:t>Notes</w:t>
      </w:r>
      <w:bookmarkEnd w:id="60"/>
      <w:bookmarkEnd w:id="61"/>
    </w:p>
    <w:p>
      <w:pPr>
        <w:pStyle w:val="nSubsection"/>
      </w:pPr>
      <w:r>
        <w:rPr>
          <w:vertAlign w:val="superscript"/>
        </w:rPr>
        <w:t>1</w:t>
      </w:r>
      <w:r>
        <w:tab/>
        <w:t xml:space="preserve">This reprint is a compilation as at 16 September 2016 of the </w:t>
      </w:r>
      <w:r>
        <w:rPr>
          <w:i/>
        </w:rPr>
        <w:t xml:space="preserve">Licensed Surveyors Act 1909 </w:t>
      </w:r>
      <w:r>
        <w:t>and includes the amendments made by the other written laws referred to in the following table</w:t>
      </w:r>
      <w:r>
        <w:rPr>
          <w:vertAlign w:val="superscript"/>
        </w:rPr>
        <w:t> </w:t>
      </w:r>
      <w:r>
        <w:rPr>
          <w:snapToGrid w:val="0"/>
          <w:vertAlign w:val="superscript"/>
        </w:rPr>
        <w:t>1a, 2</w:t>
      </w:r>
      <w:r>
        <w:t>.  The table also contains information about any reprint.</w:t>
      </w:r>
    </w:p>
    <w:p>
      <w:pPr>
        <w:pStyle w:val="nHeading3"/>
        <w:rPr>
          <w:snapToGrid w:val="0"/>
        </w:rPr>
      </w:pPr>
      <w:bookmarkStart w:id="62" w:name="_Toc462752404"/>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Licensed Surveyors Act 1909</w:t>
            </w:r>
          </w:p>
        </w:tc>
        <w:tc>
          <w:tcPr>
            <w:tcW w:w="1134" w:type="dxa"/>
          </w:tcPr>
          <w:p>
            <w:pPr>
              <w:pStyle w:val="nTable"/>
              <w:spacing w:after="40"/>
            </w:pPr>
            <w:r>
              <w:t xml:space="preserve">25 of 1909 </w:t>
            </w:r>
            <w:r>
              <w:rPr>
                <w:color w:val="000000"/>
              </w:rPr>
              <w:t>(9 Edw. VII No. 21)</w:t>
            </w:r>
          </w:p>
        </w:tc>
        <w:tc>
          <w:tcPr>
            <w:tcW w:w="1136" w:type="dxa"/>
          </w:tcPr>
          <w:p>
            <w:pPr>
              <w:pStyle w:val="nTable"/>
              <w:spacing w:after="40"/>
            </w:pPr>
            <w:r>
              <w:t>29 Oct 1909</w:t>
            </w:r>
          </w:p>
        </w:tc>
        <w:tc>
          <w:tcPr>
            <w:tcW w:w="2551" w:type="dxa"/>
          </w:tcPr>
          <w:p>
            <w:pPr>
              <w:pStyle w:val="nTable"/>
              <w:spacing w:after="40"/>
            </w:pPr>
            <w:r>
              <w:t>1 Jan 1910 (see s. 1)</w:t>
            </w:r>
          </w:p>
        </w:tc>
      </w:tr>
      <w:tr>
        <w:trPr>
          <w:cantSplit/>
        </w:trPr>
        <w:tc>
          <w:tcPr>
            <w:tcW w:w="2268" w:type="dxa"/>
          </w:tcPr>
          <w:p>
            <w:pPr>
              <w:pStyle w:val="nTable"/>
              <w:spacing w:after="40"/>
              <w:rPr>
                <w:i/>
              </w:rPr>
            </w:pPr>
            <w:r>
              <w:rPr>
                <w:i/>
              </w:rPr>
              <w:t>Licensed Surveyors Act Amendment Act 1940</w:t>
            </w:r>
          </w:p>
        </w:tc>
        <w:tc>
          <w:tcPr>
            <w:tcW w:w="1134" w:type="dxa"/>
          </w:tcPr>
          <w:p>
            <w:pPr>
              <w:pStyle w:val="nTable"/>
              <w:spacing w:after="40"/>
            </w:pPr>
            <w:r>
              <w:t xml:space="preserve">16 of 1940 </w:t>
            </w:r>
            <w:r>
              <w:rPr>
                <w:color w:val="000000"/>
              </w:rPr>
              <w:t>(4 Geo. VI No. 16)</w:t>
            </w:r>
          </w:p>
        </w:tc>
        <w:tc>
          <w:tcPr>
            <w:tcW w:w="1136" w:type="dxa"/>
          </w:tcPr>
          <w:p>
            <w:pPr>
              <w:pStyle w:val="nTable"/>
              <w:spacing w:after="40"/>
            </w:pPr>
            <w:r>
              <w:t>12 Nov 1940</w:t>
            </w:r>
          </w:p>
        </w:tc>
        <w:tc>
          <w:tcPr>
            <w:tcW w:w="2551" w:type="dxa"/>
          </w:tcPr>
          <w:p>
            <w:pPr>
              <w:pStyle w:val="nTable"/>
              <w:spacing w:after="40"/>
            </w:pPr>
            <w:r>
              <w:t>12 Nov 1940</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approved 2 Jul 1956 in Vol. 10 of Reprinted Acts</w:t>
            </w:r>
            <w:r>
              <w:t xml:space="preserve"> (includes amendments listed above)</w:t>
            </w:r>
          </w:p>
        </w:tc>
      </w:tr>
      <w:tr>
        <w:trPr>
          <w:cantSplit/>
        </w:trPr>
        <w:tc>
          <w:tcPr>
            <w:tcW w:w="2268" w:type="dxa"/>
          </w:tcPr>
          <w:p>
            <w:pPr>
              <w:pStyle w:val="nTable"/>
              <w:spacing w:after="40"/>
              <w:rPr>
                <w:i/>
              </w:rPr>
            </w:pPr>
            <w:r>
              <w:rPr>
                <w:i/>
              </w:rPr>
              <w:t>Licensed Surveyors Act Amendment Act 1958</w:t>
            </w:r>
          </w:p>
        </w:tc>
        <w:tc>
          <w:tcPr>
            <w:tcW w:w="1134" w:type="dxa"/>
          </w:tcPr>
          <w:p>
            <w:pPr>
              <w:pStyle w:val="nTable"/>
              <w:spacing w:after="40"/>
            </w:pPr>
            <w:r>
              <w:t xml:space="preserve">14 of 1958 </w:t>
            </w:r>
            <w:r>
              <w:rPr>
                <w:color w:val="000000"/>
              </w:rPr>
              <w:t>(7 Eliz. II No. 14)</w:t>
            </w:r>
          </w:p>
        </w:tc>
        <w:tc>
          <w:tcPr>
            <w:tcW w:w="1136" w:type="dxa"/>
          </w:tcPr>
          <w:p>
            <w:pPr>
              <w:pStyle w:val="nTable"/>
              <w:spacing w:after="40"/>
            </w:pPr>
            <w:r>
              <w:t>6 Oct 1958</w:t>
            </w:r>
          </w:p>
        </w:tc>
        <w:tc>
          <w:tcPr>
            <w:tcW w:w="2551" w:type="dxa"/>
          </w:tcPr>
          <w:p>
            <w:pPr>
              <w:pStyle w:val="nTable"/>
              <w:spacing w:after="40"/>
            </w:pPr>
            <w:r>
              <w:t>6 Oct 1958</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approved 1 Sep 1975 </w:t>
            </w:r>
            <w:r>
              <w:t>(includes amendments listed above)</w:t>
            </w:r>
          </w:p>
        </w:tc>
      </w:tr>
      <w:tr>
        <w:trPr>
          <w:cantSplit/>
        </w:trPr>
        <w:tc>
          <w:tcPr>
            <w:tcW w:w="2268" w:type="dxa"/>
          </w:tcPr>
          <w:p>
            <w:pPr>
              <w:pStyle w:val="nTable"/>
              <w:spacing w:after="40"/>
              <w:rPr>
                <w:i/>
              </w:rPr>
            </w:pPr>
            <w:r>
              <w:rPr>
                <w:i/>
              </w:rPr>
              <w:t>Licensed Surveyors Act Amendment Act 1976</w:t>
            </w:r>
          </w:p>
        </w:tc>
        <w:tc>
          <w:tcPr>
            <w:tcW w:w="1134" w:type="dxa"/>
          </w:tcPr>
          <w:p>
            <w:pPr>
              <w:pStyle w:val="nTable"/>
              <w:spacing w:after="40"/>
            </w:pPr>
            <w:r>
              <w:t>107 of 1976</w:t>
            </w:r>
          </w:p>
        </w:tc>
        <w:tc>
          <w:tcPr>
            <w:tcW w:w="1136" w:type="dxa"/>
          </w:tcPr>
          <w:p>
            <w:pPr>
              <w:pStyle w:val="nTable"/>
              <w:spacing w:after="40"/>
            </w:pPr>
            <w:r>
              <w:t>17 Nov 1976</w:t>
            </w:r>
          </w:p>
        </w:tc>
        <w:tc>
          <w:tcPr>
            <w:tcW w:w="2551" w:type="dxa"/>
          </w:tcPr>
          <w:p>
            <w:pPr>
              <w:pStyle w:val="nTable"/>
              <w:spacing w:after="40"/>
            </w:pPr>
            <w:r>
              <w:t>Act other than s. 7-9: 17 Nov 1976 (see s. 2(1));</w:t>
            </w:r>
            <w:r>
              <w:br/>
              <w:t xml:space="preserve">s. 7-9: 1 Jan 1977 (see s. 2(2) and </w:t>
            </w:r>
            <w:r>
              <w:rPr>
                <w:i/>
              </w:rPr>
              <w:t>Gazette</w:t>
            </w:r>
            <w:r>
              <w:t xml:space="preserve"> 31 Dec 1976 p. 5127</w:t>
            </w:r>
            <w:r>
              <w:noBreakHyphen/>
              <w:t>8)</w:t>
            </w:r>
          </w:p>
        </w:tc>
      </w:tr>
      <w:tr>
        <w:trPr>
          <w:cantSplit/>
        </w:trPr>
        <w:tc>
          <w:tcPr>
            <w:tcW w:w="2268" w:type="dxa"/>
          </w:tcPr>
          <w:p>
            <w:pPr>
              <w:pStyle w:val="nTable"/>
              <w:spacing w:after="40"/>
              <w:rPr>
                <w:vertAlign w:val="superscript"/>
              </w:rPr>
            </w:pPr>
            <w:r>
              <w:rPr>
                <w:i/>
              </w:rPr>
              <w:t>Acts Amendment (Financial provisions of regulatory bodies) Act 1987</w:t>
            </w:r>
            <w:r>
              <w:t xml:space="preserve"> s. 3</w:t>
            </w:r>
          </w:p>
        </w:tc>
        <w:tc>
          <w:tcPr>
            <w:tcW w:w="1134" w:type="dxa"/>
          </w:tcPr>
          <w:p>
            <w:pPr>
              <w:pStyle w:val="nTable"/>
              <w:spacing w:after="40"/>
            </w:pPr>
            <w:r>
              <w:t>77 of 1987</w:t>
            </w:r>
          </w:p>
        </w:tc>
        <w:tc>
          <w:tcPr>
            <w:tcW w:w="1136" w:type="dxa"/>
          </w:tcPr>
          <w:p>
            <w:pPr>
              <w:pStyle w:val="nTable"/>
              <w:spacing w:after="40"/>
            </w:pPr>
            <w:r>
              <w:t>26 Nov 1987</w:t>
            </w:r>
          </w:p>
        </w:tc>
        <w:tc>
          <w:tcPr>
            <w:tcW w:w="2551" w:type="dxa"/>
          </w:tcPr>
          <w:p>
            <w:pPr>
              <w:pStyle w:val="nTable"/>
              <w:spacing w:after="40"/>
            </w:pPr>
            <w:r>
              <w:t>1 Jan 1988 (see s. 2)</w:t>
            </w:r>
          </w:p>
        </w:tc>
      </w:tr>
      <w:tr>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Sentencing (Consequential Provisions) Act 1995</w:t>
            </w:r>
            <w:r>
              <w:t xml:space="preserve"> Pt. 45</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Licensed Surveyors Amendment Act 1996</w:t>
            </w:r>
          </w:p>
        </w:tc>
        <w:tc>
          <w:tcPr>
            <w:tcW w:w="1134" w:type="dxa"/>
          </w:tcPr>
          <w:p>
            <w:pPr>
              <w:pStyle w:val="nTable"/>
              <w:spacing w:after="40"/>
            </w:pPr>
            <w:r>
              <w:t>79 of 1996</w:t>
            </w:r>
          </w:p>
        </w:tc>
        <w:tc>
          <w:tcPr>
            <w:tcW w:w="1136" w:type="dxa"/>
          </w:tcPr>
          <w:p>
            <w:pPr>
              <w:pStyle w:val="nTable"/>
              <w:spacing w:after="40"/>
            </w:pPr>
            <w:r>
              <w:t>14 Nov 1996</w:t>
            </w:r>
          </w:p>
        </w:tc>
        <w:tc>
          <w:tcPr>
            <w:tcW w:w="2551" w:type="dxa"/>
          </w:tcPr>
          <w:p>
            <w:pPr>
              <w:pStyle w:val="nTable"/>
              <w:spacing w:after="40"/>
            </w:pPr>
            <w:r>
              <w:t>s. 1 and 2: 14 Nov 1996;</w:t>
            </w:r>
            <w:r>
              <w:br/>
              <w:t xml:space="preserve">Act other than s. 1 and  2: 5 Apr 1997 (see s. 2 and </w:t>
            </w:r>
            <w:r>
              <w:rPr>
                <w:i/>
              </w:rPr>
              <w:t>Gazette</w:t>
            </w:r>
            <w:r>
              <w:t xml:space="preserve"> 4 Apr 1997 p. 1750)</w:t>
            </w:r>
          </w:p>
        </w:tc>
      </w:tr>
      <w:tr>
        <w:trPr>
          <w:cantSplit/>
        </w:trPr>
        <w:tc>
          <w:tcPr>
            <w:tcW w:w="2268" w:type="dxa"/>
          </w:tcPr>
          <w:p>
            <w:pPr>
              <w:pStyle w:val="nTable"/>
              <w:spacing w:after="40"/>
            </w:pPr>
            <w:r>
              <w:rPr>
                <w:i/>
              </w:rPr>
              <w:t xml:space="preserve">Acts Repeal and Amendment (Births, Deaths and Marriages Registration) Act 1998 </w:t>
            </w:r>
            <w:r>
              <w:t>s. 15</w:t>
            </w:r>
          </w:p>
        </w:tc>
        <w:tc>
          <w:tcPr>
            <w:tcW w:w="1134" w:type="dxa"/>
          </w:tcPr>
          <w:p>
            <w:pPr>
              <w:pStyle w:val="nTable"/>
              <w:spacing w:after="40"/>
            </w:pPr>
            <w:r>
              <w:t>40 of 1998</w:t>
            </w:r>
          </w:p>
        </w:tc>
        <w:tc>
          <w:tcPr>
            <w:tcW w:w="1136" w:type="dxa"/>
          </w:tcPr>
          <w:p>
            <w:pPr>
              <w:pStyle w:val="nTable"/>
              <w:spacing w:after="40"/>
            </w:pPr>
            <w:r>
              <w:t>30 Oct 1998</w:t>
            </w:r>
          </w:p>
        </w:tc>
        <w:tc>
          <w:tcPr>
            <w:tcW w:w="2551" w:type="dxa"/>
          </w:tcPr>
          <w:p>
            <w:pPr>
              <w:pStyle w:val="nTable"/>
              <w:spacing w:after="40"/>
              <w:ind w:right="199"/>
            </w:pPr>
            <w:r>
              <w:t xml:space="preserve">14 Apr 1999 (see s. 2 and </w:t>
            </w:r>
            <w:r>
              <w:rPr>
                <w:i/>
              </w:rPr>
              <w:t>Gazette</w:t>
            </w:r>
            <w:r>
              <w:t xml:space="preserve"> 9 Apr 1999 p. 1433)</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as at 1 Jan 1999 </w:t>
            </w:r>
            <w:r>
              <w:t xml:space="preserve">(includes amendments listed above except those in the </w:t>
            </w:r>
            <w:r>
              <w:rPr>
                <w:i/>
              </w:rPr>
              <w:t>Acts Repeal and Amendment (Births, Deaths and Marriages Registration) Act 1998</w:t>
            </w:r>
            <w:r>
              <w:t xml:space="preserve">) (correction to reprint in </w:t>
            </w:r>
            <w:r>
              <w:rPr>
                <w:i/>
              </w:rPr>
              <w:t>Gazette</w:t>
            </w:r>
            <w:r>
              <w:t xml:space="preserve"> 11 Jan 2000 p. 103)</w:t>
            </w:r>
          </w:p>
        </w:tc>
      </w:tr>
      <w:tr>
        <w:trPr>
          <w:cantSplit/>
        </w:trPr>
        <w:tc>
          <w:tcPr>
            <w:tcW w:w="2268" w:type="dxa"/>
          </w:tcPr>
          <w:p>
            <w:pPr>
              <w:pStyle w:val="nTable"/>
              <w:spacing w:after="40"/>
              <w:rPr>
                <w:i/>
              </w:rPr>
            </w:pPr>
            <w:r>
              <w:rPr>
                <w:i/>
              </w:rPr>
              <w:t>Statutes (Repeals and Minor Amendments) Act 2000</w:t>
            </w:r>
            <w:r>
              <w:t xml:space="preserve"> s. 21</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7" w:type="dxa"/>
            <w:gridSpan w:val="4"/>
          </w:tcPr>
          <w:p>
            <w:pPr>
              <w:pStyle w:val="nTable"/>
              <w:spacing w:after="40"/>
            </w:pPr>
            <w:r>
              <w:rPr>
                <w:b/>
              </w:rPr>
              <w:t xml:space="preserve">Reprint of the </w:t>
            </w:r>
            <w:r>
              <w:rPr>
                <w:b/>
                <w:i/>
              </w:rPr>
              <w:t>Licensed Surveyors Act 1909</w:t>
            </w:r>
            <w:r>
              <w:rPr>
                <w:b/>
              </w:rPr>
              <w:t xml:space="preserve"> as at 22 Nov 2002 </w:t>
            </w:r>
            <w:r>
              <w:t>(includes amendments listed above)</w:t>
            </w:r>
          </w:p>
        </w:tc>
      </w:tr>
      <w:tr>
        <w:trPr>
          <w:cantSplit/>
        </w:trPr>
        <w:tc>
          <w:tcPr>
            <w:tcW w:w="2268" w:type="dxa"/>
          </w:tcPr>
          <w:p>
            <w:pPr>
              <w:pStyle w:val="nTable"/>
              <w:spacing w:after="40"/>
              <w:rPr>
                <w:i/>
              </w:rPr>
            </w:pPr>
            <w:r>
              <w:rPr>
                <w:i/>
              </w:rPr>
              <w:t>Acts Amendment and Repeal (Competition Policy) Act 2003</w:t>
            </w:r>
            <w:r>
              <w:t xml:space="preserve"> Pt. 10</w:t>
            </w:r>
            <w:r>
              <w:rPr>
                <w:vertAlign w:val="superscript"/>
              </w:rPr>
              <w:t> 3</w:t>
            </w:r>
          </w:p>
        </w:tc>
        <w:tc>
          <w:tcPr>
            <w:tcW w:w="1134" w:type="dxa"/>
          </w:tcPr>
          <w:p>
            <w:pPr>
              <w:pStyle w:val="nTable"/>
              <w:spacing w:after="40"/>
            </w:pPr>
            <w:r>
              <w:t>70 of 2003</w:t>
            </w:r>
          </w:p>
        </w:tc>
        <w:tc>
          <w:tcPr>
            <w:tcW w:w="1136" w:type="dxa"/>
          </w:tcPr>
          <w:p>
            <w:pPr>
              <w:pStyle w:val="nTable"/>
              <w:spacing w:after="40"/>
              <w:rPr>
                <w:b/>
              </w:rPr>
            </w:pPr>
            <w:r>
              <w:t>15 Dec 2003</w:t>
            </w:r>
          </w:p>
        </w:tc>
        <w:tc>
          <w:tcPr>
            <w:tcW w:w="2551" w:type="dxa"/>
          </w:tcPr>
          <w:p>
            <w:pPr>
              <w:pStyle w:val="nTable"/>
              <w:spacing w:after="40"/>
            </w:pPr>
            <w:r>
              <w:t xml:space="preserve">21 Apr 2004 (see s. 2 and </w:t>
            </w:r>
            <w:r>
              <w:rPr>
                <w:i/>
              </w:rPr>
              <w:t>Gazette</w:t>
            </w:r>
            <w:r>
              <w:t xml:space="preserve"> 20 Apr 2004 p. 1297)</w:t>
            </w:r>
          </w:p>
        </w:tc>
      </w:tr>
      <w:tr>
        <w:trPr>
          <w:cantSplit/>
        </w:trPr>
        <w:tc>
          <w:tcPr>
            <w:tcW w:w="2268" w:type="dxa"/>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73</w:t>
            </w:r>
            <w:r>
              <w:rPr>
                <w:bCs/>
                <w:snapToGrid w:val="0"/>
                <w:vertAlign w:val="superscript"/>
              </w:rPr>
              <w:t> 4</w:t>
            </w:r>
          </w:p>
        </w:tc>
        <w:tc>
          <w:tcPr>
            <w:tcW w:w="1134" w:type="dxa"/>
          </w:tcPr>
          <w:p>
            <w:pPr>
              <w:pStyle w:val="nTable"/>
              <w:spacing w:after="40"/>
            </w:pPr>
            <w:r>
              <w:rPr>
                <w:bCs/>
              </w:rPr>
              <w:t>55 of 2004</w:t>
            </w:r>
          </w:p>
        </w:tc>
        <w:tc>
          <w:tcPr>
            <w:tcW w:w="1136"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
                <w:snapToGrid w:val="0"/>
              </w:rPr>
            </w:pPr>
            <w:r>
              <w:rPr>
                <w:bCs/>
                <w:i/>
                <w:iCs/>
                <w:snapToGrid w:val="0"/>
              </w:rPr>
              <w:t xml:space="preserve">Criminal Law Amendment (Simple Offences) Act 2004 </w:t>
            </w:r>
            <w:r>
              <w:rPr>
                <w:bCs/>
                <w:iCs/>
                <w:snapToGrid w:val="0"/>
              </w:rPr>
              <w:t>s. 82</w:t>
            </w:r>
          </w:p>
        </w:tc>
        <w:tc>
          <w:tcPr>
            <w:tcW w:w="1134" w:type="dxa"/>
          </w:tcPr>
          <w:p>
            <w:pPr>
              <w:pStyle w:val="nTable"/>
              <w:spacing w:after="40"/>
              <w:rPr>
                <w:bCs/>
              </w:rPr>
            </w:pPr>
            <w:r>
              <w:rPr>
                <w:bCs/>
                <w:snapToGrid w:val="0"/>
              </w:rPr>
              <w:t>70 of 2004</w:t>
            </w:r>
          </w:p>
        </w:tc>
        <w:tc>
          <w:tcPr>
            <w:tcW w:w="1136" w:type="dxa"/>
          </w:tcPr>
          <w:p>
            <w:pPr>
              <w:pStyle w:val="nTable"/>
              <w:spacing w:after="40"/>
              <w:rPr>
                <w:bCs/>
              </w:rPr>
            </w:pPr>
            <w:r>
              <w:rPr>
                <w:bCs/>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80 </w:t>
            </w:r>
            <w:r>
              <w:rPr>
                <w:snapToGrid w:val="0"/>
                <w:vertAlign w:val="superscript"/>
              </w:rPr>
              <w:t>5</w:t>
            </w:r>
          </w:p>
        </w:tc>
        <w:tc>
          <w:tcPr>
            <w:tcW w:w="1134" w:type="dxa"/>
          </w:tcPr>
          <w:p>
            <w:pPr>
              <w:pStyle w:val="nTable"/>
              <w:spacing w:after="40"/>
              <w:rPr>
                <w:bCs/>
              </w:rPr>
            </w:pPr>
            <w:r>
              <w:rPr>
                <w:snapToGrid w:val="0"/>
              </w:rPr>
              <w:t>84 of 2004 (as amended by No. 2 of 2008 s. 78(2)(c))</w:t>
            </w:r>
          </w:p>
        </w:tc>
        <w:tc>
          <w:tcPr>
            <w:tcW w:w="1136"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5: The </w:t>
            </w:r>
            <w:r>
              <w:rPr>
                <w:b/>
                <w:i/>
              </w:rPr>
              <w:t>Licensed Surveyors Act 1909</w:t>
            </w:r>
            <w:r>
              <w:rPr>
                <w:b/>
              </w:rPr>
              <w:t xml:space="preserve"> as at 5 May 2006 </w:t>
            </w:r>
            <w:r>
              <w:t>(includes amendments listed above)</w:t>
            </w:r>
          </w:p>
        </w:tc>
      </w:tr>
      <w:tr>
        <w:trPr>
          <w:cantSplit/>
        </w:trPr>
        <w:tc>
          <w:tcPr>
            <w:tcW w:w="2268" w:type="dxa"/>
          </w:tcPr>
          <w:p>
            <w:pPr>
              <w:pStyle w:val="nTable"/>
              <w:spacing w:after="40"/>
              <w:rPr>
                <w:bCs/>
                <w:i/>
                <w:snapToGrid w:val="0"/>
              </w:rPr>
            </w:pPr>
            <w:r>
              <w:rPr>
                <w:i/>
                <w:snapToGrid w:val="0"/>
              </w:rPr>
              <w:t>Land Information Authority Act 2006</w:t>
            </w:r>
            <w:r>
              <w:rPr>
                <w:iCs/>
                <w:snapToGrid w:val="0"/>
              </w:rPr>
              <w:t xml:space="preserve"> s. 143</w:t>
            </w:r>
          </w:p>
        </w:tc>
        <w:tc>
          <w:tcPr>
            <w:tcW w:w="1134" w:type="dxa"/>
          </w:tcPr>
          <w:p>
            <w:pPr>
              <w:pStyle w:val="nTable"/>
              <w:spacing w:after="40"/>
              <w:rPr>
                <w:bCs/>
              </w:rPr>
            </w:pPr>
            <w:r>
              <w:rPr>
                <w:snapToGrid w:val="0"/>
              </w:rPr>
              <w:t>60 of 2006</w:t>
            </w:r>
          </w:p>
        </w:tc>
        <w:tc>
          <w:tcPr>
            <w:tcW w:w="1136" w:type="dxa"/>
          </w:tcPr>
          <w:p>
            <w:pPr>
              <w:pStyle w:val="nTable"/>
              <w:spacing w:after="40"/>
              <w:rPr>
                <w:bCs/>
              </w:rPr>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rPr>
                <w:i/>
                <w:snapToGrid w:val="0"/>
              </w:rPr>
            </w:pPr>
            <w:r>
              <w:rPr>
                <w:i/>
                <w:snapToGrid w:val="0"/>
              </w:rPr>
              <w:t>Criminal Law and Evidence Amendment Act 2008</w:t>
            </w:r>
            <w:r>
              <w:rPr>
                <w:iCs/>
                <w:snapToGrid w:val="0"/>
              </w:rPr>
              <w:t xml:space="preserve"> s. 66</w:t>
            </w:r>
          </w:p>
        </w:tc>
        <w:tc>
          <w:tcPr>
            <w:tcW w:w="1134" w:type="dxa"/>
          </w:tcPr>
          <w:p>
            <w:pPr>
              <w:pStyle w:val="nTable"/>
              <w:spacing w:after="40"/>
              <w:rPr>
                <w:snapToGrid w:val="0"/>
              </w:rPr>
            </w:pPr>
            <w:r>
              <w:t>2 of 2008</w:t>
            </w:r>
          </w:p>
        </w:tc>
        <w:tc>
          <w:tcPr>
            <w:tcW w:w="1136" w:type="dxa"/>
          </w:tcPr>
          <w:p>
            <w:pPr>
              <w:pStyle w:val="nTable"/>
              <w:spacing w:after="40"/>
              <w:rPr>
                <w:snapToGrid w:val="0"/>
              </w:rPr>
            </w:pPr>
            <w:r>
              <w:t>12 Mar 2008</w:t>
            </w:r>
          </w:p>
        </w:tc>
        <w:tc>
          <w:tcPr>
            <w:tcW w:w="2551"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Licensed Surveyors Act 1909</w:t>
            </w:r>
            <w:r>
              <w:rPr>
                <w:b/>
                <w:snapToGrid w:val="0"/>
              </w:rPr>
              <w:t xml:space="preserve"> as at 16 Sep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63" w:name="_Toc462752405"/>
      <w:r>
        <w:rPr>
          <w:snapToGrid w:val="0"/>
        </w:rPr>
        <w:t>Provisions that have not come into operation</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Acts Amendment (Land Administration) Act 1987</w:t>
            </w:r>
            <w:r>
              <w:rPr>
                <w:snapToGrid w:val="0"/>
              </w:rPr>
              <w:t xml:space="preserve"> Pt. IX </w:t>
            </w:r>
            <w:r>
              <w:rPr>
                <w:snapToGrid w:val="0"/>
                <w:vertAlign w:val="superscript"/>
              </w:rPr>
              <w:t>6</w:t>
            </w:r>
          </w:p>
        </w:tc>
        <w:tc>
          <w:tcPr>
            <w:tcW w:w="1134" w:type="dxa"/>
            <w:tcBorders>
              <w:top w:val="single" w:sz="8" w:space="0" w:color="auto"/>
              <w:bottom w:val="single" w:sz="8" w:space="0" w:color="auto"/>
            </w:tcBorders>
            <w:shd w:val="clear" w:color="auto" w:fill="auto"/>
          </w:tcPr>
          <w:p>
            <w:pPr>
              <w:pStyle w:val="nTable"/>
              <w:keepNext/>
              <w:spacing w:after="40"/>
            </w:pPr>
            <w:r>
              <w:t>126 of 1987</w:t>
            </w:r>
          </w:p>
        </w:tc>
        <w:tc>
          <w:tcPr>
            <w:tcW w:w="1134" w:type="dxa"/>
            <w:tcBorders>
              <w:top w:val="single" w:sz="8" w:space="0" w:color="auto"/>
              <w:bottom w:val="single" w:sz="8" w:space="0" w:color="auto"/>
            </w:tcBorders>
            <w:shd w:val="clear" w:color="auto" w:fill="auto"/>
          </w:tcPr>
          <w:p>
            <w:pPr>
              <w:pStyle w:val="nTable"/>
              <w:keepNext/>
              <w:spacing w:after="40"/>
            </w:pPr>
            <w:r>
              <w:t>31 Dec 1987</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w:t>
            </w:r>
          </w:p>
        </w:tc>
      </w:tr>
    </w:tbl>
    <w:p>
      <w:pPr>
        <w:pStyle w:val="nSubsection"/>
        <w:spacing w:before="160"/>
      </w:pPr>
      <w:r>
        <w:rPr>
          <w:vertAlign w:val="superscript"/>
        </w:rPr>
        <w:t>2</w:t>
      </w:r>
      <w:r>
        <w:tab/>
      </w:r>
      <w:r>
        <w:rPr>
          <w:snapToGrid w:val="0"/>
        </w:rPr>
        <w:t xml:space="preserve">The </w:t>
      </w:r>
      <w:r>
        <w:rPr>
          <w:i/>
          <w:iCs/>
          <w:snapToGrid w:val="0"/>
        </w:rPr>
        <w:t>Courts Legislation Amendment and Repeal Act 2004</w:t>
      </w:r>
      <w:r>
        <w:rPr>
          <w:snapToGrid w:val="0"/>
        </w:rPr>
        <w:t xml:space="preserve"> Sch. 2 cl. 27 was deleted by the </w:t>
      </w:r>
      <w:r>
        <w:rPr>
          <w:i/>
          <w:iCs/>
          <w:snapToGrid w:val="0"/>
        </w:rPr>
        <w:t xml:space="preserve">Criminal Law and Evidence Amendment Act 2008 </w:t>
      </w:r>
      <w:r>
        <w:rPr>
          <w:snapToGrid w:val="0"/>
        </w:rPr>
        <w:t>s. 77(13).</w:t>
      </w:r>
    </w:p>
    <w:p>
      <w:pPr>
        <w:pStyle w:val="nSubsection"/>
        <w:rPr>
          <w:snapToGrid w:val="0"/>
        </w:rPr>
      </w:pPr>
      <w:r>
        <w:rPr>
          <w:vertAlign w:val="superscript"/>
        </w:rPr>
        <w:t>3</w:t>
      </w:r>
      <w:r>
        <w:tab/>
        <w:t xml:space="preserve">The </w:t>
      </w:r>
      <w:r>
        <w:rPr>
          <w:i/>
        </w:rPr>
        <w:t>Acts Amendment and Repeal (Competition Policy) Act 2003</w:t>
      </w:r>
      <w:r>
        <w:t xml:space="preserve"> s. 40(7)-(9) reads as follows</w:t>
      </w:r>
      <w:r>
        <w:rPr>
          <w:snapToGrid w:val="0"/>
        </w:rPr>
        <w:t>:</w:t>
      </w:r>
    </w:p>
    <w:p>
      <w:pPr>
        <w:pStyle w:val="BlankOpen"/>
      </w:pP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BlankClose"/>
      </w:pP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rPr>
      </w:pPr>
      <w:r>
        <w:rPr>
          <w:vertAlign w:val="superscript"/>
        </w:rPr>
        <w:t>5</w:t>
      </w:r>
      <w:r>
        <w:tab/>
        <w:t xml:space="preserve">The </w:t>
      </w:r>
      <w:r>
        <w:rPr>
          <w:i/>
          <w:iCs/>
          <w:snapToGrid w:val="0"/>
        </w:rPr>
        <w:t xml:space="preserve">Criminal Procedure and Appeals (Consequential and Other Provisions) Act 2004 </w:t>
      </w:r>
      <w:r>
        <w:rPr>
          <w:snapToGrid w:val="0"/>
        </w:rPr>
        <w:t>s. 82, to the extent it amends this Act, was</w:t>
      </w:r>
      <w:r>
        <w:rPr>
          <w:iCs/>
          <w:snapToGrid w:val="0"/>
        </w:rPr>
        <w:t xml:space="preserve"> deleted by the </w:t>
      </w:r>
      <w:r>
        <w:rPr>
          <w:i/>
          <w:iCs/>
          <w:snapToGrid w:val="0"/>
        </w:rPr>
        <w:t>Criminal Law and Evidence Amendment Act 2008</w:t>
      </w:r>
      <w:r>
        <w:rPr>
          <w:snapToGrid w:val="0"/>
        </w:rPr>
        <w:t xml:space="preserve"> s. </w:t>
      </w:r>
      <w:r>
        <w:rPr>
          <w:iCs/>
          <w:snapToGrid w:val="0"/>
        </w:rPr>
        <w:t xml:space="preserve">78(2)(c). </w:t>
      </w:r>
    </w:p>
    <w:p>
      <w:pPr>
        <w:pStyle w:val="nSubsection"/>
        <w:keepNext/>
        <w:keepLines/>
        <w:spacing w:before="120"/>
      </w:pPr>
      <w:r>
        <w:rPr>
          <w:vertAlign w:val="superscript"/>
        </w:rPr>
        <w:t>6</w:t>
      </w:r>
      <w:r>
        <w:tab/>
        <w:t xml:space="preserve">On the date as at which this reprint was prepared, the </w:t>
      </w:r>
      <w:r>
        <w:rPr>
          <w:i/>
        </w:rPr>
        <w:t>Acts Amendment (Land Administration) Act 1987</w:t>
      </w:r>
      <w:r>
        <w:t xml:space="preserve"> Pt. IX (s. 40</w:t>
      </w:r>
      <w:r>
        <w:noBreakHyphen/>
        <w:t xml:space="preserve">44) had not come into operation.  It reads as follows: </w:t>
      </w:r>
    </w:p>
    <w:p>
      <w:pPr>
        <w:pStyle w:val="BlankOpen"/>
      </w:pP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65" w:name="_Toc449969366"/>
      <w:bookmarkStart w:id="66" w:name="_Toc462752406"/>
      <w:r>
        <w:rPr>
          <w:sz w:val="28"/>
        </w:rPr>
        <w:t>Defined terms</w:t>
      </w:r>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survey</w:t>
      </w:r>
      <w:r>
        <w:tab/>
        <w:t>3(1)</w:t>
      </w:r>
    </w:p>
    <w:p>
      <w:pPr>
        <w:pStyle w:val="DefinedTerms"/>
      </w:pPr>
      <w:r>
        <w:t>Board</w:t>
      </w:r>
      <w:r>
        <w:tab/>
        <w:t>3(1)</w:t>
      </w:r>
    </w:p>
    <w:p>
      <w:pPr>
        <w:pStyle w:val="DefinedTerms"/>
      </w:pPr>
      <w:r>
        <w:t>dominion within Her Majesty’s dominions</w:t>
      </w:r>
      <w:r>
        <w:tab/>
        <w:t>10(2)</w:t>
      </w:r>
    </w:p>
    <w:p>
      <w:pPr>
        <w:pStyle w:val="DefinedTerms"/>
      </w:pPr>
      <w:r>
        <w:t>Institute</w:t>
      </w:r>
      <w:r>
        <w:tab/>
        <w:t>3(1)</w:t>
      </w:r>
    </w:p>
    <w:p>
      <w:pPr>
        <w:pStyle w:val="DefinedTerms"/>
      </w:pPr>
      <w:r>
        <w:t>licence</w:t>
      </w:r>
      <w:r>
        <w:tab/>
        <w:t>3(1)</w:t>
      </w:r>
    </w:p>
    <w:p>
      <w:pPr>
        <w:pStyle w:val="DefinedTerms"/>
      </w:pPr>
      <w:r>
        <w:t>licensed surveyor</w:t>
      </w:r>
      <w:r>
        <w:tab/>
        <w:t>3(1)</w:t>
      </w:r>
    </w:p>
    <w:p>
      <w:pPr>
        <w:pStyle w:val="DefinedTerms"/>
      </w:pPr>
      <w:r>
        <w:t>person aggrieved</w:t>
      </w:r>
      <w:r>
        <w:tab/>
        <w:t>22A(2)</w:t>
      </w:r>
    </w:p>
    <w:p>
      <w:pPr>
        <w:pStyle w:val="DefinedTerms"/>
      </w:pPr>
      <w:r>
        <w:t>person at fault</w:t>
      </w:r>
      <w:r>
        <w:tab/>
        <w:t>19(1)</w:t>
      </w:r>
    </w:p>
    <w:p>
      <w:pPr>
        <w:pStyle w:val="DefinedTerms"/>
      </w:pPr>
      <w:r>
        <w:t>practising certificate</w:t>
      </w:r>
      <w:r>
        <w:tab/>
        <w:t>3(1)</w:t>
      </w:r>
    </w:p>
    <w:p>
      <w:pPr>
        <w:pStyle w:val="DefinedTerms"/>
      </w:pPr>
      <w:r>
        <w:t>prescribed</w:t>
      </w:r>
      <w:r>
        <w:tab/>
        <w:t>3(1)</w:t>
      </w:r>
    </w:p>
    <w:p>
      <w:pPr>
        <w:pStyle w:val="DefinedTerms"/>
      </w:pPr>
      <w:r>
        <w:t>prescribed date</w:t>
      </w:r>
      <w:r>
        <w:tab/>
        <w:t>9(1b)</w:t>
      </w:r>
    </w:p>
    <w:p>
      <w:pPr>
        <w:pStyle w:val="DefinedTerms"/>
      </w:pPr>
      <w:r>
        <w:t>reciprocating State</w:t>
      </w:r>
      <w:r>
        <w:tab/>
        <w:t>3(1)</w:t>
      </w:r>
    </w:p>
    <w:p>
      <w:pPr>
        <w:pStyle w:val="DefinedTerms"/>
      </w:pPr>
      <w:r>
        <w:t>register</w:t>
      </w:r>
      <w:r>
        <w:tab/>
        <w:t>3(1)</w:t>
      </w:r>
    </w:p>
    <w:p>
      <w:pPr>
        <w:pStyle w:val="DefinedTerms"/>
      </w:pPr>
      <w:r>
        <w:t>reviewable decision</w:t>
      </w:r>
      <w:r>
        <w:tab/>
        <w:t>22A(2)</w:t>
      </w:r>
    </w:p>
    <w:p>
      <w:pPr>
        <w:pStyle w:val="DefinedTerms"/>
      </w:pPr>
      <w:r>
        <w:t>secretary</w:t>
      </w:r>
      <w:r>
        <w:tab/>
        <w:t>3(1)</w:t>
      </w:r>
    </w:p>
    <w:p>
      <w:pPr>
        <w:pStyle w:val="DefinedTerms"/>
      </w:pPr>
      <w:r>
        <w:t>specified</w:t>
      </w:r>
      <w:r>
        <w:tab/>
        <w:t>11B(5)</w:t>
      </w:r>
    </w:p>
    <w:p>
      <w:pPr>
        <w:pStyle w:val="DefinedTerms"/>
      </w:pPr>
      <w:r>
        <w:t>standard period</w:t>
      </w:r>
      <w:r>
        <w:tab/>
        <w:t>3(1)</w:t>
      </w:r>
    </w:p>
    <w:p>
      <w:pPr>
        <w:pStyle w:val="DefinedTerms"/>
      </w:pPr>
      <w:r>
        <w:t>survey mark</w:t>
      </w:r>
      <w:r>
        <w:tab/>
        <w:t>3(1)</w:t>
      </w:r>
    </w:p>
    <w:p>
      <w:pPr>
        <w:pStyle w:val="DefinedTerms"/>
      </w:pPr>
      <w:r>
        <w:t>Surveyor General</w:t>
      </w:r>
      <w:r>
        <w:tab/>
        <w:t>3(1)</w:t>
      </w:r>
    </w:p>
    <w:p>
      <w:pPr>
        <w:pStyle w:val="DefinedTerms"/>
      </w:pPr>
      <w:r>
        <w:t>this Act</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000BDE" w:rsidRDefault="00000BDE">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Act 1909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054E6"/>
    <w:lvl w:ilvl="0">
      <w:start w:val="1"/>
      <w:numFmt w:val="decimal"/>
      <w:lvlText w:val="%1."/>
      <w:lvlJc w:val="left"/>
      <w:pPr>
        <w:tabs>
          <w:tab w:val="num" w:pos="1800"/>
        </w:tabs>
        <w:ind w:left="1800" w:hanging="360"/>
      </w:pPr>
    </w:lvl>
  </w:abstractNum>
  <w:abstractNum w:abstractNumId="1">
    <w:nsid w:val="FFFFFF7D"/>
    <w:multiLevelType w:val="singleLevel"/>
    <w:tmpl w:val="2A30FA76"/>
    <w:lvl w:ilvl="0">
      <w:start w:val="1"/>
      <w:numFmt w:val="decimal"/>
      <w:lvlText w:val="%1."/>
      <w:lvlJc w:val="left"/>
      <w:pPr>
        <w:tabs>
          <w:tab w:val="num" w:pos="1440"/>
        </w:tabs>
        <w:ind w:left="1440" w:hanging="360"/>
      </w:pPr>
    </w:lvl>
  </w:abstractNum>
  <w:abstractNum w:abstractNumId="2">
    <w:nsid w:val="FFFFFF7E"/>
    <w:multiLevelType w:val="singleLevel"/>
    <w:tmpl w:val="DF5438D2"/>
    <w:lvl w:ilvl="0">
      <w:start w:val="1"/>
      <w:numFmt w:val="decimal"/>
      <w:lvlText w:val="%1."/>
      <w:lvlJc w:val="left"/>
      <w:pPr>
        <w:tabs>
          <w:tab w:val="num" w:pos="1080"/>
        </w:tabs>
        <w:ind w:left="1080" w:hanging="360"/>
      </w:pPr>
    </w:lvl>
  </w:abstractNum>
  <w:abstractNum w:abstractNumId="3">
    <w:nsid w:val="FFFFFF7F"/>
    <w:multiLevelType w:val="singleLevel"/>
    <w:tmpl w:val="CBAAF266"/>
    <w:lvl w:ilvl="0">
      <w:start w:val="1"/>
      <w:numFmt w:val="decimal"/>
      <w:lvlText w:val="%1."/>
      <w:lvlJc w:val="left"/>
      <w:pPr>
        <w:tabs>
          <w:tab w:val="num" w:pos="720"/>
        </w:tabs>
        <w:ind w:left="720" w:hanging="360"/>
      </w:pPr>
    </w:lvl>
  </w:abstractNum>
  <w:abstractNum w:abstractNumId="4">
    <w:nsid w:val="FFFFFF80"/>
    <w:multiLevelType w:val="singleLevel"/>
    <w:tmpl w:val="C0B6C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CA6B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F27A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9843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50FD0E"/>
    <w:lvl w:ilvl="0">
      <w:start w:val="1"/>
      <w:numFmt w:val="decimal"/>
      <w:lvlText w:val="%1."/>
      <w:lvlJc w:val="left"/>
      <w:pPr>
        <w:tabs>
          <w:tab w:val="num" w:pos="360"/>
        </w:tabs>
        <w:ind w:left="360" w:hanging="360"/>
      </w:pPr>
    </w:lvl>
  </w:abstractNum>
  <w:abstractNum w:abstractNumId="9">
    <w:nsid w:val="FFFFFF89"/>
    <w:multiLevelType w:val="singleLevel"/>
    <w:tmpl w:val="69A2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DBB41B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915C132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9145557"/>
    <w:docVar w:name="WAFER_20140203140346" w:val="RemoveTocBookmarks,RemoveUnusedBookmarks,RemoveLanguageTags,UsedStyles,ResetPageSize,UpdateArrangement"/>
    <w:docVar w:name="WAFER_20140203140346_GUID" w:val="a3e2a620-e64f-47ab-81c8-22bdbd8fc895"/>
    <w:docVar w:name="WAFER_20140203140354" w:val="RemoveTocBookmarks,RunningHeaders"/>
    <w:docVar w:name="WAFER_20140203140354_GUID" w:val="8ce12a81-67d6-4731-82a8-af785c3a6baf"/>
    <w:docVar w:name="WAFER_20150529155150" w:val="ResetPageSize,UpdateArrangement,UpdateNTable"/>
    <w:docVar w:name="WAFER_20150529155150_GUID" w:val="ffcedf11-2a7e-4ebc-b318-610719e7e2c3"/>
    <w:docVar w:name="WAFER_20151105141328" w:val="UpdateStyles,UsedStyles"/>
    <w:docVar w:name="WAFER_20151105141328_GUID" w:val="1f651d8e-d48d-4e64-b29f-209daf47f2d9"/>
    <w:docVar w:name="WAFER_20151130164718" w:val="RemoveTrackChanges"/>
    <w:docVar w:name="WAFER_20151130164718_GUID" w:val="24568bac-0d34-49b6-9371-c26c90d6b496"/>
    <w:docVar w:name="WAFER_20160429145557" w:val="RemoveTocBookmarks,RemoveUnusedBookmarks,RemoveLanguageTags,UsedStyles,RemoveTrackChanges"/>
    <w:docVar w:name="WAFER_20160429145557_GUID" w:val="6316616d-50b7-49e7-8a2f-43fcb356c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12905</Words>
  <Characters>62204</Characters>
  <Application>Microsoft Office Word</Application>
  <DocSecurity>0</DocSecurity>
  <Lines>1727</Lines>
  <Paragraphs>904</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
  <LinksUpToDate>false</LinksUpToDate>
  <CharactersWithSpaces>74205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1909 - 06-00-00</dc:title>
  <dc:subject/>
  <dc:creator/>
  <cp:keywords/>
  <dc:description/>
  <cp:lastModifiedBy>svcMRProcess</cp:lastModifiedBy>
  <cp:revision>4</cp:revision>
  <cp:lastPrinted>2016-09-16T06:00:00Z</cp:lastPrinted>
  <dcterms:created xsi:type="dcterms:W3CDTF">2020-03-10T03:30:00Z</dcterms:created>
  <dcterms:modified xsi:type="dcterms:W3CDTF">2020-03-10T03:30:00Z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DocumentType">
    <vt:lpwstr>Act</vt:lpwstr>
  </property>
  <property fmtid="{D5CDD505-2E9C-101B-9397-08002B2CF9AE}" pid="4" name="OwlsUID">
    <vt:i4>454</vt:i4>
  </property>
  <property fmtid="{D5CDD505-2E9C-101B-9397-08002B2CF9AE}" pid="5" name="AsAtDate">
    <vt:lpwstr>16 Sep 2016</vt:lpwstr>
  </property>
  <property fmtid="{D5CDD505-2E9C-101B-9397-08002B2CF9AE}" pid="6" name="Suffix">
    <vt:lpwstr>06-00-00</vt:lpwstr>
  </property>
  <property fmtid="{D5CDD505-2E9C-101B-9397-08002B2CF9AE}" pid="7" name="ReprintedAsAt">
    <vt:filetime>2016-09-15T16:00:00Z</vt:filetime>
  </property>
  <property fmtid="{D5CDD505-2E9C-101B-9397-08002B2CF9AE}" pid="8" name="ReprintNo">
    <vt:lpwstr>6</vt:lpwstr>
  </property>
  <property fmtid="{D5CDD505-2E9C-101B-9397-08002B2CF9AE}" pid="9" name="CommencementDate">
    <vt:lpwstr>20160916</vt:lpwstr>
  </property>
</Properties>
</file>