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_Toc465087138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_Toc465087139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_Toc465087140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_Toc465087141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_Toc465087142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_Toc465087143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_Toc465087144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_Toc465087145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_Toc465087146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_Toc465087147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_Toc465087148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_Toc465087149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_Toc465087150 \h </w:instrText>
      </w:r>
      <w:r>
        <w:fldChar w:fldCharType="separate"/>
      </w:r>
      <w:r>
        <w:t>14</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_Toc465087151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_Toc465087152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_Toc465087153 \h </w:instrText>
      </w:r>
      <w:r>
        <w:fldChar w:fldCharType="separate"/>
      </w:r>
      <w:r>
        <w:t>16</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_Toc465087154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_Toc465087155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_Toc465087157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_Toc465087158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_Toc465087161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_Toc465087162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3" w:name="_Toc391901257"/>
      <w:bookmarkStart w:id="4" w:name="_Toc406080590"/>
      <w:bookmarkStart w:id="5" w:name="_Toc423090567"/>
      <w:bookmarkStart w:id="6" w:name="_Toc423594006"/>
      <w:bookmarkStart w:id="7" w:name="_Toc434849656"/>
      <w:bookmarkStart w:id="8" w:name="_Toc465087098"/>
      <w:bookmarkStart w:id="9" w:name="_Toc465087137"/>
      <w:r>
        <w:rPr>
          <w:rStyle w:val="CharPartNo"/>
        </w:rPr>
        <w:t>Part I</w:t>
      </w:r>
      <w:r>
        <w:rPr>
          <w:rStyle w:val="CharDivNo"/>
        </w:rPr>
        <w:t> </w:t>
      </w:r>
      <w:r>
        <w:t>—</w:t>
      </w:r>
      <w:r>
        <w:rPr>
          <w:rStyle w:val="CharDivText"/>
        </w:rPr>
        <w:t> </w:t>
      </w:r>
      <w:r>
        <w:rPr>
          <w:rStyle w:val="CharPartText"/>
        </w:rPr>
        <w:t>The Tribunal</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6080591"/>
      <w:bookmarkStart w:id="11" w:name="_Toc465087138"/>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2" w:name="_Toc406080592"/>
      <w:bookmarkStart w:id="13" w:name="_Toc46508713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4" w:name="_Toc406080593"/>
      <w:bookmarkStart w:id="15" w:name="_Toc465087140"/>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16" w:name="_Toc406080594"/>
      <w:bookmarkStart w:id="17" w:name="_Toc465087141"/>
      <w:r>
        <w:rPr>
          <w:rStyle w:val="CharSectno"/>
        </w:rPr>
        <w:t>5</w:t>
      </w:r>
      <w:r>
        <w:rPr>
          <w:snapToGrid w:val="0"/>
        </w:rPr>
        <w:t>.</w:t>
      </w:r>
      <w:r>
        <w:rPr>
          <w:snapToGrid w:val="0"/>
        </w:rPr>
        <w:tab/>
        <w:t>Establishment of Tribunal</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18" w:name="_Toc406080595"/>
      <w:bookmarkStart w:id="19" w:name="_Toc465087142"/>
      <w:r>
        <w:rPr>
          <w:rStyle w:val="CharSectno"/>
        </w:rPr>
        <w:t>5A</w:t>
      </w:r>
      <w:r>
        <w:rPr>
          <w:snapToGrid w:val="0"/>
        </w:rPr>
        <w:t>.</w:t>
      </w:r>
      <w:r>
        <w:rPr>
          <w:snapToGrid w:val="0"/>
        </w:rPr>
        <w:tab/>
        <w:t>Inquiry into and determination of remuneration of Governor</w:t>
      </w:r>
      <w:bookmarkEnd w:id="18"/>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20" w:name="_Toc406080596"/>
      <w:bookmarkStart w:id="21" w:name="_Toc465087143"/>
      <w:r>
        <w:rPr>
          <w:rStyle w:val="CharSectno"/>
        </w:rPr>
        <w:t>6</w:t>
      </w:r>
      <w:r>
        <w:rPr>
          <w:snapToGrid w:val="0"/>
        </w:rPr>
        <w:t>.</w:t>
      </w:r>
      <w:r>
        <w:rPr>
          <w:snapToGrid w:val="0"/>
        </w:rPr>
        <w:tab/>
        <w:t>Other inquiries into and determinations of remuneration</w:t>
      </w:r>
      <w:bookmarkEnd w:id="20"/>
      <w:bookmarkEnd w:id="21"/>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22" w:name="_Toc406080597"/>
      <w:bookmarkStart w:id="23" w:name="_Toc465087144"/>
      <w:r>
        <w:rPr>
          <w:rStyle w:val="CharSectno"/>
        </w:rPr>
        <w:t>6A</w:t>
      </w:r>
      <w:r>
        <w:t>.</w:t>
      </w:r>
      <w:r>
        <w:tab/>
        <w:t xml:space="preserve">Tribunal’s functions under </w:t>
      </w:r>
      <w:r>
        <w:rPr>
          <w:i/>
        </w:rPr>
        <w:t>Parliamentary Superannuation Act 1970</w:t>
      </w:r>
      <w:bookmarkEnd w:id="22"/>
      <w:bookmarkEnd w:id="23"/>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24" w:name="_Toc406080598"/>
      <w:bookmarkStart w:id="25" w:name="_Toc465087145"/>
      <w:r>
        <w:rPr>
          <w:rStyle w:val="CharSectno"/>
        </w:rPr>
        <w:t>6AA</w:t>
      </w:r>
      <w:r>
        <w:t>.</w:t>
      </w:r>
      <w:r>
        <w:tab/>
        <w:t>Redundancy benefits for members of Parliament</w:t>
      </w:r>
      <w:bookmarkEnd w:id="24"/>
      <w:bookmarkEnd w:id="25"/>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26" w:name="_Toc406080599"/>
      <w:bookmarkStart w:id="27" w:name="_Toc465087146"/>
      <w:r>
        <w:rPr>
          <w:rStyle w:val="CharSectno"/>
        </w:rPr>
        <w:t>6B</w:t>
      </w:r>
      <w:r>
        <w:rPr>
          <w:snapToGrid w:val="0"/>
        </w:rPr>
        <w:t>.</w:t>
      </w:r>
      <w:r>
        <w:rPr>
          <w:snapToGrid w:val="0"/>
        </w:rPr>
        <w:tab/>
        <w:t>Determinations relating to entitlements of former Premiers, Ministers and members of Parliament</w:t>
      </w:r>
      <w:bookmarkEnd w:id="26"/>
      <w:bookmarkEnd w:id="27"/>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28" w:name="_Toc406080600"/>
      <w:bookmarkStart w:id="29" w:name="_Toc465087147"/>
      <w:r>
        <w:rPr>
          <w:rStyle w:val="CharSectno"/>
        </w:rPr>
        <w:t>6C</w:t>
      </w:r>
      <w:r>
        <w:rPr>
          <w:snapToGrid w:val="0"/>
        </w:rPr>
        <w:t>.</w:t>
      </w:r>
      <w:r>
        <w:rPr>
          <w:snapToGrid w:val="0"/>
        </w:rPr>
        <w:tab/>
        <w:t>Forfeiture of former office entitlements</w:t>
      </w:r>
      <w:bookmarkEnd w:id="28"/>
      <w:bookmarkEnd w:id="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30" w:name="_Toc406080601"/>
      <w:bookmarkStart w:id="31" w:name="_Toc465087148"/>
      <w:r>
        <w:rPr>
          <w:rStyle w:val="CharSectno"/>
        </w:rPr>
        <w:t>7</w:t>
      </w:r>
      <w:r>
        <w:rPr>
          <w:snapToGrid w:val="0"/>
        </w:rPr>
        <w:t>.</w:t>
      </w:r>
      <w:r>
        <w:rPr>
          <w:snapToGrid w:val="0"/>
        </w:rPr>
        <w:tab/>
        <w:t>Inquiry into and report on judicial salaries</w:t>
      </w:r>
      <w:bookmarkEnd w:id="30"/>
      <w:bookmarkEnd w:id="31"/>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32" w:name="_Toc406080602"/>
      <w:bookmarkStart w:id="33" w:name="_Toc465087149"/>
      <w:r>
        <w:rPr>
          <w:rStyle w:val="CharSectno"/>
        </w:rPr>
        <w:t>7A</w:t>
      </w:r>
      <w:r>
        <w:t>.</w:t>
      </w:r>
      <w:r>
        <w:tab/>
        <w:t>Determinations as to remuneration of local government CEOs</w:t>
      </w:r>
      <w:bookmarkEnd w:id="32"/>
      <w:bookmarkEnd w:id="33"/>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34" w:name="_Toc406080603"/>
      <w:bookmarkStart w:id="35" w:name="_Toc465087150"/>
      <w:r>
        <w:rPr>
          <w:rStyle w:val="CharSectno"/>
        </w:rPr>
        <w:t>7B</w:t>
      </w:r>
      <w:r>
        <w:t>.</w:t>
      </w:r>
      <w:r>
        <w:tab/>
        <w:t>Determinations as to fees and allowances of local government councillors</w:t>
      </w:r>
      <w:bookmarkEnd w:id="34"/>
      <w:bookmarkEnd w:id="35"/>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36" w:name="_Toc406080604"/>
      <w:bookmarkStart w:id="37" w:name="_Toc465087151"/>
      <w:r>
        <w:rPr>
          <w:rStyle w:val="CharSectno"/>
        </w:rPr>
        <w:t>8</w:t>
      </w:r>
      <w:r>
        <w:t>.</w:t>
      </w:r>
      <w:r>
        <w:tab/>
        <w:t>Tribunal to report and make a determination annually</w:t>
      </w:r>
      <w:bookmarkEnd w:id="36"/>
      <w:bookmarkEnd w:id="37"/>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38" w:name="_Toc406080605"/>
      <w:bookmarkStart w:id="39" w:name="_Toc465087152"/>
      <w:r>
        <w:rPr>
          <w:rStyle w:val="CharSectno"/>
        </w:rPr>
        <w:t>9</w:t>
      </w:r>
      <w:r>
        <w:rPr>
          <w:snapToGrid w:val="0"/>
        </w:rPr>
        <w:t>.</w:t>
      </w:r>
      <w:r>
        <w:rPr>
          <w:snapToGrid w:val="0"/>
        </w:rPr>
        <w:tab/>
        <w:t>Meetings of Tribunal</w:t>
      </w:r>
      <w:bookmarkEnd w:id="38"/>
      <w:bookmarkEnd w:id="39"/>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40" w:name="_Toc406080606"/>
      <w:bookmarkStart w:id="41" w:name="_Toc465087153"/>
      <w:r>
        <w:rPr>
          <w:rStyle w:val="CharSectno"/>
        </w:rPr>
        <w:t>10</w:t>
      </w:r>
      <w:r>
        <w:rPr>
          <w:snapToGrid w:val="0"/>
        </w:rPr>
        <w:t>.</w:t>
      </w:r>
      <w:r>
        <w:rPr>
          <w:snapToGrid w:val="0"/>
        </w:rPr>
        <w:tab/>
        <w:t>Method of inquiry by Tribunal</w:t>
      </w:r>
      <w:bookmarkEnd w:id="40"/>
      <w:bookmarkEnd w:id="4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42" w:name="_Toc388361571"/>
      <w:bookmarkStart w:id="43" w:name="_Toc388363290"/>
      <w:bookmarkStart w:id="44" w:name="_Toc391889684"/>
      <w:bookmarkStart w:id="45" w:name="_Toc406080607"/>
      <w:bookmarkStart w:id="46" w:name="_Toc465087154"/>
      <w:r>
        <w:rPr>
          <w:rStyle w:val="CharSectno"/>
        </w:rPr>
        <w:t>10A</w:t>
      </w:r>
      <w:r>
        <w:t>.</w:t>
      </w:r>
      <w:r>
        <w:tab/>
        <w:t>Tribunal to have regard to government financial matters</w:t>
      </w:r>
      <w:bookmarkEnd w:id="42"/>
      <w:bookmarkEnd w:id="43"/>
      <w:bookmarkEnd w:id="44"/>
      <w:bookmarkEnd w:id="45"/>
      <w:bookmarkEnd w:id="46"/>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bookmarkStart w:id="47" w:name="_Toc406080608"/>
      <w:bookmarkStart w:id="48" w:name="_Toc465087155"/>
      <w:r>
        <w:rPr>
          <w:rStyle w:val="CharSectno"/>
        </w:rPr>
        <w:t>11</w:t>
      </w:r>
      <w:r>
        <w:rPr>
          <w:snapToGrid w:val="0"/>
        </w:rPr>
        <w:t>.</w:t>
      </w:r>
      <w:r>
        <w:rPr>
          <w:snapToGrid w:val="0"/>
        </w:rPr>
        <w:tab/>
        <w:t>Fees and allowances</w:t>
      </w:r>
      <w:bookmarkEnd w:id="47"/>
      <w:bookmarkEnd w:id="4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9" w:name="_Toc391901276"/>
      <w:bookmarkStart w:id="50" w:name="_Toc406080609"/>
      <w:bookmarkStart w:id="51" w:name="_Toc423090586"/>
      <w:bookmarkStart w:id="52" w:name="_Toc423594025"/>
      <w:bookmarkStart w:id="53" w:name="_Toc434849675"/>
      <w:bookmarkStart w:id="54" w:name="_Toc465087117"/>
      <w:bookmarkStart w:id="55" w:name="_Toc46508715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49"/>
      <w:bookmarkEnd w:id="50"/>
      <w:bookmarkEnd w:id="51"/>
      <w:bookmarkEnd w:id="52"/>
      <w:bookmarkEnd w:id="53"/>
      <w:bookmarkEnd w:id="54"/>
      <w:bookmarkEnd w:id="55"/>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56" w:name="_Toc406080610"/>
      <w:bookmarkStart w:id="57" w:name="_Toc465087157"/>
      <w:r>
        <w:rPr>
          <w:rStyle w:val="CharSectno"/>
        </w:rPr>
        <w:t>11A</w:t>
      </w:r>
      <w:r>
        <w:rPr>
          <w:snapToGrid w:val="0"/>
        </w:rPr>
        <w:t>.</w:t>
      </w:r>
      <w:r>
        <w:rPr>
          <w:snapToGrid w:val="0"/>
        </w:rPr>
        <w:tab/>
        <w:t>Arrangements for payment of travelling expenses by Treasurer</w:t>
      </w:r>
      <w:bookmarkEnd w:id="56"/>
      <w:bookmarkEnd w:id="57"/>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58" w:name="_Toc406080611"/>
      <w:bookmarkStart w:id="59" w:name="_Toc465087158"/>
      <w:r>
        <w:rPr>
          <w:rStyle w:val="CharSectno"/>
        </w:rPr>
        <w:t>12</w:t>
      </w:r>
      <w:r>
        <w:rPr>
          <w:snapToGrid w:val="0"/>
        </w:rPr>
        <w:t>.</w:t>
      </w:r>
      <w:r>
        <w:rPr>
          <w:snapToGrid w:val="0"/>
        </w:rPr>
        <w:tab/>
        <w:t>Regulations</w:t>
      </w:r>
      <w:bookmarkEnd w:id="58"/>
      <w:bookmarkEnd w:id="5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0" w:name="_Toc391901279"/>
      <w:bookmarkStart w:id="61" w:name="_Toc406080612"/>
      <w:bookmarkStart w:id="62" w:name="_Toc423090589"/>
      <w:bookmarkStart w:id="63" w:name="_Toc423594028"/>
      <w:bookmarkStart w:id="64" w:name="_Toc434849678"/>
      <w:bookmarkStart w:id="65" w:name="_Toc465087120"/>
      <w:bookmarkStart w:id="66" w:name="_Toc465087159"/>
      <w:r>
        <w:rPr>
          <w:rStyle w:val="CharSchNo"/>
        </w:rPr>
        <w:t>Schedule 1</w:t>
      </w:r>
      <w:r>
        <w:t> — </w:t>
      </w:r>
      <w:r>
        <w:rPr>
          <w:rStyle w:val="CharSchText"/>
        </w:rPr>
        <w:t>Offences</w:t>
      </w:r>
      <w:bookmarkEnd w:id="60"/>
      <w:bookmarkEnd w:id="61"/>
      <w:bookmarkEnd w:id="62"/>
      <w:bookmarkEnd w:id="63"/>
      <w:bookmarkEnd w:id="64"/>
      <w:bookmarkEnd w:id="65"/>
      <w:bookmarkEnd w:id="6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68" w:name="_Toc391901280"/>
      <w:bookmarkStart w:id="69" w:name="_Toc406080613"/>
      <w:bookmarkStart w:id="70" w:name="_Toc423090590"/>
      <w:bookmarkStart w:id="71" w:name="_Toc423594029"/>
      <w:bookmarkStart w:id="72" w:name="_Toc434849679"/>
      <w:bookmarkStart w:id="73" w:name="_Toc465087121"/>
      <w:bookmarkStart w:id="74" w:name="_Toc465087160"/>
      <w:r>
        <w:t>Notes</w:t>
      </w:r>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 w:name="_Toc406080614"/>
      <w:bookmarkStart w:id="76" w:name="_Toc465087161"/>
      <w: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rPr>
            </w:pPr>
            <w:r>
              <w:rPr>
                <w:i/>
                <w:snapToGrid w:val="0"/>
                <w:lang w:val="en-US"/>
              </w:rPr>
              <w:t>Corruption and Crime Commission Amendment (Misconduct) Act 2014</w:t>
            </w:r>
            <w:r>
              <w:rPr>
                <w:snapToGrid w:val="0"/>
                <w:lang w:val="en-US"/>
              </w:rPr>
              <w:t xml:space="preserve"> s. 39</w:t>
            </w:r>
          </w:p>
        </w:tc>
        <w:tc>
          <w:tcPr>
            <w:tcW w:w="1134" w:type="dxa"/>
            <w:gridSpan w:val="2"/>
            <w:tcBorders>
              <w:bottom w:val="single" w:sz="4" w:space="0" w:color="auto"/>
            </w:tcBorders>
            <w:shd w:val="clear" w:color="auto" w:fill="auto"/>
          </w:tcPr>
          <w:p>
            <w:pPr>
              <w:pStyle w:val="nTable"/>
              <w:spacing w:after="40"/>
            </w:pPr>
            <w:r>
              <w:rPr>
                <w:snapToGrid w:val="0"/>
                <w:lang w:val="en-US"/>
              </w:rPr>
              <w:t>35 of 2014</w:t>
            </w:r>
          </w:p>
        </w:tc>
        <w:tc>
          <w:tcPr>
            <w:tcW w:w="1134" w:type="dxa"/>
            <w:gridSpan w:val="2"/>
            <w:tcBorders>
              <w:bottom w:val="single" w:sz="4" w:space="0" w:color="auto"/>
            </w:tcBorders>
            <w:shd w:val="clear" w:color="auto" w:fill="auto"/>
          </w:tcPr>
          <w:p>
            <w:pPr>
              <w:pStyle w:val="nTable"/>
              <w:spacing w:after="40"/>
            </w:pPr>
            <w:r>
              <w:t>9 Dec 2014</w:t>
            </w:r>
          </w:p>
        </w:tc>
        <w:tc>
          <w:tcPr>
            <w:tcW w:w="2551" w:type="dxa"/>
            <w:gridSpan w:val="2"/>
            <w:tcBorders>
              <w:bottom w:val="single" w:sz="4" w:space="0" w:color="auto"/>
            </w:tcBorders>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457466929"/>
      <w:bookmarkStart w:id="78" w:name="_Toc462407685"/>
      <w:bookmarkStart w:id="79" w:name="_Toc465087162"/>
      <w:r>
        <w:t>Provisions that have not come into operation</w:t>
      </w:r>
      <w:bookmarkEnd w:id="77"/>
      <w:bookmarkEnd w:id="78"/>
      <w:bookmarkEnd w:id="79"/>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c>
          <w:tcPr>
            <w:tcW w:w="2267" w:type="dxa"/>
            <w:tcBorders>
              <w:top w:val="nil"/>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7 Div. 8 </w:t>
            </w:r>
            <w:r>
              <w:rPr>
                <w:snapToGrid w:val="0"/>
                <w:vertAlign w:val="superscript"/>
              </w:rPr>
              <w:t>6</w:t>
            </w:r>
          </w:p>
        </w:tc>
        <w:tc>
          <w:tcPr>
            <w:tcW w:w="1133" w:type="dxa"/>
            <w:gridSpan w:val="2"/>
            <w:tcBorders>
              <w:top w:val="nil"/>
              <w:bottom w:val="single" w:sz="4" w:space="0" w:color="auto"/>
            </w:tcBorders>
          </w:tcPr>
          <w:p>
            <w:pPr>
              <w:pStyle w:val="nTable"/>
              <w:spacing w:after="40"/>
            </w:pPr>
            <w:r>
              <w:t>32 of 2016</w:t>
            </w:r>
          </w:p>
        </w:tc>
        <w:tc>
          <w:tcPr>
            <w:tcW w:w="1133" w:type="dxa"/>
            <w:gridSpan w:val="2"/>
            <w:tcBorders>
              <w:top w:val="nil"/>
              <w:bottom w:val="single" w:sz="4" w:space="0" w:color="auto"/>
            </w:tcBorders>
          </w:tcPr>
          <w:p>
            <w:pPr>
              <w:pStyle w:val="nTable"/>
              <w:spacing w:after="40"/>
            </w:pPr>
            <w:r>
              <w:t>19 Oct 2016</w:t>
            </w:r>
          </w:p>
        </w:tc>
        <w:tc>
          <w:tcPr>
            <w:tcW w:w="2583" w:type="dxa"/>
            <w:gridSpan w:val="3"/>
            <w:tcBorders>
              <w:top w:val="nil"/>
              <w:bottom w:val="single" w:sz="4" w:space="0" w:color="auto"/>
            </w:tcBorders>
          </w:tcPr>
          <w:p>
            <w:pPr>
              <w:pStyle w:val="nTable"/>
              <w:spacing w:after="40"/>
            </w:pPr>
            <w:r>
              <w:t xml:space="preserve">1 Oct 2017 (see s. 2(b) 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Universities Legislation Amendment Act 2016</w:t>
      </w:r>
      <w:r>
        <w:rPr>
          <w:snapToGrid w:val="0"/>
        </w:rPr>
        <w:t xml:space="preserve"> Pt. 7 Div. 8 had not come into operation. It reads as follows:</w:t>
      </w:r>
    </w:p>
    <w:p>
      <w:pPr>
        <w:pStyle w:val="BlankOpen"/>
      </w:pPr>
    </w:p>
    <w:p>
      <w:pPr>
        <w:pStyle w:val="nzHeading2"/>
      </w:pPr>
      <w:bookmarkStart w:id="80" w:name="_Toc433968202"/>
      <w:bookmarkStart w:id="81" w:name="_Toc433968591"/>
      <w:bookmarkStart w:id="82" w:name="_Toc433968980"/>
      <w:bookmarkStart w:id="83" w:name="_Toc433969369"/>
      <w:bookmarkStart w:id="84" w:name="_Toc433980065"/>
      <w:bookmarkStart w:id="85" w:name="_Toc433980453"/>
      <w:bookmarkStart w:id="86" w:name="_Toc433980841"/>
      <w:bookmarkStart w:id="87" w:name="_Toc433981229"/>
      <w:bookmarkStart w:id="88" w:name="_Toc433983195"/>
      <w:bookmarkStart w:id="89" w:name="_Toc434333193"/>
      <w:bookmarkStart w:id="90" w:name="_Toc434333587"/>
      <w:bookmarkStart w:id="91" w:name="_Toc434487360"/>
      <w:bookmarkStart w:id="92" w:name="_Toc434487755"/>
      <w:bookmarkStart w:id="93" w:name="_Toc434497128"/>
      <w:bookmarkStart w:id="94" w:name="_Toc434497523"/>
      <w:bookmarkStart w:id="95" w:name="_Toc434585085"/>
      <w:bookmarkStart w:id="96" w:name="_Toc435024572"/>
      <w:bookmarkStart w:id="97" w:name="_Toc435024987"/>
      <w:bookmarkStart w:id="98" w:name="_Toc435176490"/>
      <w:bookmarkStart w:id="99" w:name="_Toc435176887"/>
      <w:bookmarkStart w:id="100" w:name="_Toc435177657"/>
      <w:bookmarkStart w:id="101" w:name="_Toc435436505"/>
      <w:bookmarkStart w:id="102" w:name="_Toc443472936"/>
      <w:bookmarkStart w:id="103" w:name="_Toc443919980"/>
      <w:bookmarkStart w:id="104" w:name="_Toc449098429"/>
      <w:bookmarkStart w:id="105" w:name="_Toc449099225"/>
      <w:bookmarkStart w:id="106" w:name="_Toc449099622"/>
      <w:bookmarkStart w:id="107" w:name="_Toc449100019"/>
      <w:bookmarkStart w:id="108" w:name="_Toc449603455"/>
      <w:bookmarkStart w:id="109" w:name="_Toc449603850"/>
      <w:bookmarkStart w:id="110" w:name="_Toc449952990"/>
      <w:bookmarkStart w:id="111" w:name="_Toc449953487"/>
      <w:bookmarkStart w:id="112" w:name="_Toc449953883"/>
      <w:bookmarkStart w:id="113" w:name="_Toc449954368"/>
      <w:bookmarkStart w:id="114" w:name="_Toc450124210"/>
      <w:bookmarkStart w:id="115" w:name="_Toc450296016"/>
      <w:bookmarkStart w:id="116" w:name="_Toc450296411"/>
      <w:bookmarkStart w:id="117" w:name="_Toc450296806"/>
      <w:bookmarkStart w:id="118" w:name="_Toc450297576"/>
      <w:bookmarkStart w:id="119" w:name="_Toc450551120"/>
      <w:bookmarkStart w:id="120" w:name="_Toc450639658"/>
      <w:bookmarkStart w:id="121" w:name="_Toc461652065"/>
      <w:bookmarkStart w:id="122" w:name="_Toc461702081"/>
      <w:bookmarkStart w:id="123" w:name="_Toc464450072"/>
      <w:bookmarkStart w:id="124" w:name="_Toc464726756"/>
      <w:bookmarkStart w:id="125" w:name="_Toc464727151"/>
      <w:r>
        <w:rPr>
          <w:rStyle w:val="CharPartNo"/>
        </w:rPr>
        <w:t>Part 7</w:t>
      </w:r>
      <w:r>
        <w:t> — </w:t>
      </w:r>
      <w:r>
        <w:rPr>
          <w:rStyle w:val="CharPartText"/>
        </w:rPr>
        <w:t>Amendments to and repeal of other Acts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zHeading3"/>
      </w:pPr>
      <w:bookmarkStart w:id="126" w:name="_Toc433968225"/>
      <w:bookmarkStart w:id="127" w:name="_Toc433968614"/>
      <w:bookmarkStart w:id="128" w:name="_Toc433969003"/>
      <w:bookmarkStart w:id="129" w:name="_Toc433969392"/>
      <w:bookmarkStart w:id="130" w:name="_Toc433980088"/>
      <w:bookmarkStart w:id="131" w:name="_Toc433980476"/>
      <w:bookmarkStart w:id="132" w:name="_Toc433980864"/>
      <w:bookmarkStart w:id="133" w:name="_Toc433981252"/>
      <w:bookmarkStart w:id="134" w:name="_Toc433983218"/>
      <w:bookmarkStart w:id="135" w:name="_Toc434333217"/>
      <w:bookmarkStart w:id="136" w:name="_Toc434333611"/>
      <w:bookmarkStart w:id="137" w:name="_Toc434487384"/>
      <w:bookmarkStart w:id="138" w:name="_Toc434487779"/>
      <w:bookmarkStart w:id="139" w:name="_Toc434497152"/>
      <w:bookmarkStart w:id="140" w:name="_Toc434497547"/>
      <w:bookmarkStart w:id="141" w:name="_Toc434585109"/>
      <w:bookmarkStart w:id="142" w:name="_Toc435024596"/>
      <w:bookmarkStart w:id="143" w:name="_Toc435025011"/>
      <w:bookmarkStart w:id="144" w:name="_Toc435176514"/>
      <w:bookmarkStart w:id="145" w:name="_Toc435176911"/>
      <w:bookmarkStart w:id="146" w:name="_Toc435177681"/>
      <w:bookmarkStart w:id="147" w:name="_Toc435436529"/>
      <w:bookmarkStart w:id="148" w:name="_Toc443472960"/>
      <w:bookmarkStart w:id="149" w:name="_Toc443920004"/>
      <w:bookmarkStart w:id="150" w:name="_Toc449098453"/>
      <w:bookmarkStart w:id="151" w:name="_Toc449099249"/>
      <w:bookmarkStart w:id="152" w:name="_Toc449099646"/>
      <w:bookmarkStart w:id="153" w:name="_Toc449100043"/>
      <w:bookmarkStart w:id="154" w:name="_Toc449603479"/>
      <w:bookmarkStart w:id="155" w:name="_Toc449603874"/>
      <w:bookmarkStart w:id="156" w:name="_Toc449953014"/>
      <w:bookmarkStart w:id="157" w:name="_Toc449953511"/>
      <w:bookmarkStart w:id="158" w:name="_Toc449953907"/>
      <w:bookmarkStart w:id="159" w:name="_Toc449954392"/>
      <w:bookmarkStart w:id="160" w:name="_Toc450124234"/>
      <w:bookmarkStart w:id="161" w:name="_Toc450296040"/>
      <w:bookmarkStart w:id="162" w:name="_Toc450296435"/>
      <w:bookmarkStart w:id="163" w:name="_Toc450296830"/>
      <w:bookmarkStart w:id="164" w:name="_Toc450297600"/>
      <w:bookmarkStart w:id="165" w:name="_Toc450551144"/>
      <w:bookmarkStart w:id="166" w:name="_Toc450639682"/>
      <w:bookmarkStart w:id="167" w:name="_Toc461652089"/>
      <w:bookmarkStart w:id="168" w:name="_Toc461702105"/>
      <w:bookmarkStart w:id="169" w:name="_Toc464450096"/>
      <w:bookmarkStart w:id="170" w:name="_Toc464726780"/>
      <w:bookmarkStart w:id="171" w:name="_Toc464727175"/>
      <w:r>
        <w:rPr>
          <w:rStyle w:val="CharDivNo"/>
        </w:rPr>
        <w:t>Division 8</w:t>
      </w:r>
      <w:r>
        <w:t> — </w:t>
      </w:r>
      <w:r>
        <w:rPr>
          <w:rStyle w:val="CharDivText"/>
          <w:i/>
        </w:rPr>
        <w:t>Salaries and Allowances Act 1975</w:t>
      </w:r>
      <w:r>
        <w:rPr>
          <w:rStyle w:val="CharDivText"/>
        </w:rPr>
        <w:t xml:space="preserve"> amended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zHeading5"/>
      </w:pPr>
      <w:bookmarkStart w:id="172" w:name="_Toc443920005"/>
      <w:bookmarkStart w:id="173" w:name="_Toc449100044"/>
      <w:bookmarkStart w:id="174" w:name="_Toc464450097"/>
      <w:bookmarkStart w:id="175" w:name="_Toc464726781"/>
      <w:bookmarkStart w:id="176" w:name="_Toc464727176"/>
      <w:r>
        <w:rPr>
          <w:rStyle w:val="CharSectno"/>
        </w:rPr>
        <w:t>191</w:t>
      </w:r>
      <w:r>
        <w:t>.</w:t>
      </w:r>
      <w:r>
        <w:tab/>
        <w:t>Act amended</w:t>
      </w:r>
      <w:bookmarkEnd w:id="172"/>
      <w:bookmarkEnd w:id="173"/>
      <w:bookmarkEnd w:id="174"/>
      <w:bookmarkEnd w:id="175"/>
      <w:bookmarkEnd w:id="176"/>
    </w:p>
    <w:p>
      <w:pPr>
        <w:pStyle w:val="nzSubsection"/>
      </w:pPr>
      <w:r>
        <w:tab/>
      </w:r>
      <w:r>
        <w:tab/>
        <w:t xml:space="preserve">This Division amends the </w:t>
      </w:r>
      <w:r>
        <w:rPr>
          <w:i/>
        </w:rPr>
        <w:t>Salaries and Allowances Act 1975</w:t>
      </w:r>
      <w:r>
        <w:t>.</w:t>
      </w:r>
    </w:p>
    <w:p>
      <w:pPr>
        <w:pStyle w:val="nzHeading5"/>
      </w:pPr>
      <w:bookmarkStart w:id="177" w:name="_Toc443920006"/>
      <w:bookmarkStart w:id="178" w:name="_Toc449100045"/>
      <w:bookmarkStart w:id="179" w:name="_Toc464450098"/>
      <w:bookmarkStart w:id="180" w:name="_Toc464726782"/>
      <w:bookmarkStart w:id="181" w:name="_Toc464727177"/>
      <w:r>
        <w:rPr>
          <w:rStyle w:val="CharSectno"/>
        </w:rPr>
        <w:t>192</w:t>
      </w:r>
      <w:r>
        <w:t>.</w:t>
      </w:r>
      <w:r>
        <w:tab/>
        <w:t>Section 6 amended</w:t>
      </w:r>
      <w:bookmarkEnd w:id="177"/>
      <w:bookmarkEnd w:id="178"/>
      <w:bookmarkEnd w:id="179"/>
      <w:bookmarkEnd w:id="180"/>
      <w:bookmarkEnd w:id="181"/>
    </w:p>
    <w:p>
      <w:pPr>
        <w:pStyle w:val="nzSubsection"/>
      </w:pPr>
      <w:r>
        <w:tab/>
        <w:t>(1)</w:t>
      </w:r>
      <w:r>
        <w:tab/>
        <w:t>After section 6(1)(d) insert:</w:t>
      </w:r>
    </w:p>
    <w:p>
      <w:pPr>
        <w:pStyle w:val="BlankOpen"/>
      </w:pPr>
    </w:p>
    <w:p>
      <w:pPr>
        <w:pStyle w:val="nzIndenta"/>
      </w:pPr>
      <w:r>
        <w:tab/>
        <w:t>(ea)</w:t>
      </w:r>
      <w:r>
        <w:tab/>
        <w:t xml:space="preserve">a person holding any of the following offices — </w:t>
      </w:r>
    </w:p>
    <w:p>
      <w:pPr>
        <w:pStyle w:val="nzIndenti"/>
      </w:pPr>
      <w:r>
        <w:tab/>
        <w:t>(i)</w:t>
      </w:r>
      <w:r>
        <w:tab/>
        <w:t>member of the Council of Curtin University;</w:t>
      </w:r>
    </w:p>
    <w:p>
      <w:pPr>
        <w:pStyle w:val="nzIndenti"/>
      </w:pPr>
      <w:r>
        <w:tab/>
        <w:t>(ii)</w:t>
      </w:r>
      <w:r>
        <w:tab/>
        <w:t>member of the Kalgoorlie Campus Council of Curtin University;</w:t>
      </w:r>
    </w:p>
    <w:p>
      <w:pPr>
        <w:pStyle w:val="nzIndenti"/>
      </w:pPr>
      <w:r>
        <w:tab/>
        <w:t>(iii)</w:t>
      </w:r>
      <w:r>
        <w:tab/>
        <w:t>member of the Council of Edith Cowan University;</w:t>
      </w:r>
    </w:p>
    <w:p>
      <w:pPr>
        <w:pStyle w:val="nzIndenti"/>
      </w:pPr>
      <w:r>
        <w:tab/>
        <w:t>(iv)</w:t>
      </w:r>
      <w:r>
        <w:tab/>
        <w:t>member of the ECU South West Campus (Bunbury) Advisory Board of Edith Cowan University;</w:t>
      </w:r>
    </w:p>
    <w:p>
      <w:pPr>
        <w:pStyle w:val="nzIndenti"/>
      </w:pPr>
      <w:r>
        <w:tab/>
        <w:t>(v)</w:t>
      </w:r>
      <w:r>
        <w:tab/>
        <w:t>member of the Advisory Board of the Academy of Edith Cowan University;</w:t>
      </w:r>
    </w:p>
    <w:p>
      <w:pPr>
        <w:pStyle w:val="nzIndenti"/>
      </w:pPr>
      <w:r>
        <w:tab/>
        <w:t>(vi)</w:t>
      </w:r>
      <w:r>
        <w:tab/>
        <w:t>member of the Senate of Murdoch University;</w:t>
      </w:r>
    </w:p>
    <w:p>
      <w:pPr>
        <w:pStyle w:val="nzIndenti"/>
      </w:pPr>
      <w:r>
        <w:tab/>
        <w:t>(vii)</w:t>
      </w:r>
      <w:r>
        <w:tab/>
        <w:t>member of the Senate of the University of Western Australia;</w:t>
      </w:r>
    </w:p>
    <w:p>
      <w:pPr>
        <w:pStyle w:val="nzIndenta"/>
      </w:pPr>
      <w:r>
        <w:tab/>
      </w:r>
      <w:r>
        <w:tab/>
        <w:t>and</w:t>
      </w:r>
    </w:p>
    <w:p>
      <w:pPr>
        <w:pStyle w:val="BlankClose"/>
      </w:pPr>
    </w:p>
    <w:p>
      <w:pPr>
        <w:pStyle w:val="nzSubsection"/>
      </w:pPr>
      <w:r>
        <w:tab/>
        <w:t>(2)</w:t>
      </w:r>
      <w:r>
        <w:tab/>
        <w:t>In section 6 after each of subsections (1)(a) to (c) and (2)(a) insert:</w:t>
      </w:r>
    </w:p>
    <w:p>
      <w:pPr>
        <w:pStyle w:val="BlankOpen"/>
      </w:pPr>
    </w:p>
    <w:p>
      <w:pPr>
        <w:pStyle w:val="nzSubsection"/>
      </w:pPr>
      <w:r>
        <w:tab/>
      </w:r>
      <w:r>
        <w:tab/>
        <w:t>and</w:t>
      </w:r>
    </w:p>
    <w:p>
      <w:pPr>
        <w:pStyle w:val="BlankClose"/>
      </w:pPr>
    </w:p>
    <w:p>
      <w:pPr>
        <w:pStyle w:val="nzHeading5"/>
      </w:pPr>
      <w:bookmarkStart w:id="182" w:name="_Toc443920007"/>
      <w:bookmarkStart w:id="183" w:name="_Toc449100046"/>
      <w:bookmarkStart w:id="184" w:name="_Toc464450099"/>
      <w:bookmarkStart w:id="185" w:name="_Toc464726783"/>
      <w:bookmarkStart w:id="186" w:name="_Toc464727178"/>
      <w:r>
        <w:rPr>
          <w:rStyle w:val="CharSectno"/>
        </w:rPr>
        <w:t>193</w:t>
      </w:r>
      <w:r>
        <w:t>.</w:t>
      </w:r>
      <w:r>
        <w:tab/>
        <w:t>Section 10 amended</w:t>
      </w:r>
      <w:bookmarkEnd w:id="182"/>
      <w:bookmarkEnd w:id="183"/>
      <w:bookmarkEnd w:id="184"/>
      <w:bookmarkEnd w:id="185"/>
      <w:bookmarkEnd w:id="186"/>
    </w:p>
    <w:p>
      <w:pPr>
        <w:pStyle w:val="nzSubsection"/>
      </w:pPr>
      <w:r>
        <w:tab/>
      </w:r>
      <w:r>
        <w:tab/>
        <w:t>After section 10(4)(b) insert:</w:t>
      </w:r>
    </w:p>
    <w:p>
      <w:pPr>
        <w:pStyle w:val="BlankOpen"/>
      </w:pPr>
    </w:p>
    <w:p>
      <w:pPr>
        <w:pStyle w:val="nz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BlankClose"/>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88" w:name="_Toc423594031"/>
      <w:bookmarkStart w:id="189" w:name="_Toc434849681"/>
      <w:bookmarkStart w:id="190" w:name="_Toc465087124"/>
      <w:bookmarkStart w:id="191" w:name="_Toc465087163"/>
      <w:r>
        <w:rPr>
          <w:sz w:val="28"/>
        </w:rPr>
        <w:t>Defined terms</w:t>
      </w:r>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elected council member</w:t>
      </w:r>
      <w:r>
        <w:tab/>
        <w:t>7B(1)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w:t>
      </w:r>
    </w:p>
    <w:p>
      <w:pPr>
        <w:pStyle w:val="DefinedTerms"/>
      </w:pPr>
      <w:r>
        <w:t>Tribunal</w:t>
      </w:r>
      <w:r>
        <w:tab/>
        <w:t>4(1)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04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7662</Words>
  <Characters>35556</Characters>
  <Application>Microsoft Office Word</Application>
  <DocSecurity>0</DocSecurity>
  <Lines>1146</Lines>
  <Paragraphs>626</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1975 - 05-l0-01</dc:title>
  <dc:subject/>
  <dc:creator/>
  <cp:keywords/>
  <dc:description/>
  <cp:lastModifiedBy>svcMRProcess</cp:lastModifiedBy>
  <cp:revision>4</cp:revision>
  <cp:lastPrinted>2010-06-23T03:13:00Z</cp:lastPrinted>
  <dcterms:created xsi:type="dcterms:W3CDTF">2018-09-07T21:41:00Z</dcterms:created>
  <dcterms:modified xsi:type="dcterms:W3CDTF">2018-09-07T21:41:00Z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AsAtDate">
    <vt:lpwstr>19 Oct 2016</vt:lpwstr>
  </property>
  <property fmtid="{D5CDD505-2E9C-101B-9397-08002B2CF9AE}" pid="7" name="Suffix">
    <vt:lpwstr>05-l0-01</vt:lpwstr>
  </property>
  <property fmtid="{D5CDD505-2E9C-101B-9397-08002B2CF9AE}" pid="8" name="CommencementDate">
    <vt:lpwstr>20161019</vt:lpwstr>
  </property>
</Properties>
</file>