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(Fitness Industry Code of Practice) Regulations 2010</w:t>
      </w:r>
      <w:r>
        <w:fldChar w:fldCharType="end"/>
      </w:r>
    </w:p>
    <w:p>
      <w:pPr>
        <w:pStyle w:val="Subsection"/>
      </w:pPr>
      <w:r>
        <w:tab/>
      </w:r>
      <w:r>
        <w:tab/>
        <w:t xml:space="preserve">These regulations expired at the close of 30 Dec 2013 (see </w:t>
      </w:r>
      <w:r>
        <w:rPr>
          <w:i/>
        </w:rPr>
        <w:t>Fair Trading Act 2010</w:t>
      </w:r>
      <w:r>
        <w:t xml:space="preserve"> s. 52(3)).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Code of Practice)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_Toc475455150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_Toc475455151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Code of Practice prescribed</w:t>
      </w:r>
      <w:r>
        <w:tab/>
      </w:r>
      <w:r>
        <w:fldChar w:fldCharType="begin"/>
      </w:r>
      <w:r>
        <w:instrText xml:space="preserve"> PAGEREF _Toc475455152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Fitness Industry Code of Practice 2010</w:t>
      </w:r>
    </w:p>
    <w:p>
      <w:pPr>
        <w:pStyle w:val="TOC4"/>
        <w:tabs>
          <w:tab w:val="right" w:leader="dot" w:pos="7077"/>
        </w:tabs>
        <w:rPr>
          <w:rFonts w:asciiTheme="minorHAnsi" w:eastAsiaTheme="minorEastAsia" w:hAnsiTheme="minorHAnsi" w:cstheme="minorBidi"/>
          <w:b w:val="0"/>
          <w:szCs w:val="22"/>
          <w:lang w:eastAsia="en-AU"/>
        </w:rPr>
      </w:pPr>
      <w:r>
        <w:t>Division 1 — Introduction</w:t>
      </w:r>
    </w:p>
    <w:p>
      <w:pPr>
        <w:pStyle w:val="TOC8"/>
        <w:rPr>
          <w:rFonts w:asciiTheme="minorHAnsi" w:eastAsiaTheme="minorEastAsia" w:hAnsiTheme="minorHAnsi" w:cstheme="minorBidi"/>
          <w:szCs w:val="22"/>
          <w:lang w:eastAsia="en-AU"/>
        </w:rPr>
      </w:pPr>
      <w:r>
        <w:t>1.</w:t>
      </w:r>
      <w:r>
        <w:tab/>
        <w:t>Objectives</w:t>
      </w:r>
      <w:r>
        <w:tab/>
      </w:r>
      <w:r>
        <w:fldChar w:fldCharType="begin"/>
      </w:r>
      <w:r>
        <w:instrText xml:space="preserve"> PAGEREF _Toc475455155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_Toc475455156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Fitness service</w:t>
      </w:r>
      <w:r>
        <w:tab/>
      </w:r>
      <w:r>
        <w:fldChar w:fldCharType="begin"/>
      </w:r>
      <w:r>
        <w:instrText xml:space="preserve"> PAGEREF _Toc475455157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tab/>
        <w:t>Compliance with the Code</w:t>
      </w:r>
      <w:r>
        <w:tab/>
      </w:r>
      <w:r>
        <w:fldChar w:fldCharType="begin"/>
      </w:r>
      <w:r>
        <w:instrText xml:space="preserve"> PAGEREF _Toc475455158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General Rules of Conduct</w:t>
      </w:r>
    </w:p>
    <w:p>
      <w:pPr>
        <w:pStyle w:val="TOC8"/>
        <w:rPr>
          <w:rFonts w:asciiTheme="minorHAnsi" w:eastAsiaTheme="minorEastAsia" w:hAnsiTheme="minorHAnsi" w:cstheme="minorBidi"/>
          <w:szCs w:val="22"/>
          <w:lang w:eastAsia="en-AU"/>
        </w:rPr>
      </w:pPr>
      <w:r>
        <w:t>5.</w:t>
      </w:r>
      <w:r>
        <w:tab/>
        <w:t>Claiming membership or endorsement</w:t>
      </w:r>
      <w:r>
        <w:tab/>
      </w:r>
      <w:r>
        <w:fldChar w:fldCharType="begin"/>
      </w:r>
      <w:r>
        <w:instrText xml:space="preserve"> PAGEREF _Toc475455160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Qualifications and employment of staff</w:t>
      </w:r>
      <w:r>
        <w:tab/>
      </w:r>
      <w:r>
        <w:fldChar w:fldCharType="begin"/>
      </w:r>
      <w:r>
        <w:instrText xml:space="preserve"> PAGEREF _Toc475455161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High pressure selling techniques, harassment or unconscionable conduct</w:t>
      </w:r>
      <w:r>
        <w:tab/>
      </w:r>
      <w:r>
        <w:fldChar w:fldCharType="begin"/>
      </w:r>
      <w:r>
        <w:instrText xml:space="preserve"> PAGEREF _Toc475455162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Soliciting through false or misleading advertisements or representations</w:t>
      </w:r>
      <w:r>
        <w:tab/>
      </w:r>
      <w:r>
        <w:fldChar w:fldCharType="begin"/>
      </w:r>
      <w:r>
        <w:instrText xml:space="preserve"> PAGEREF _Toc475455163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Confidentiality</w:t>
      </w:r>
      <w:r>
        <w:tab/>
      </w:r>
      <w:r>
        <w:fldChar w:fldCharType="begin"/>
      </w:r>
      <w:r>
        <w:instrText xml:space="preserve"> PAGEREF _Toc475455164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Free or discounted services</w:t>
      </w:r>
      <w:r>
        <w:tab/>
      </w:r>
      <w:r>
        <w:fldChar w:fldCharType="begin"/>
      </w:r>
      <w:r>
        <w:instrText xml:space="preserve"> PAGEREF _Toc475455165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Disclosure</w:t>
      </w:r>
    </w:p>
    <w:p>
      <w:pPr>
        <w:pStyle w:val="TOC8"/>
        <w:rPr>
          <w:rFonts w:asciiTheme="minorHAnsi" w:eastAsiaTheme="minorEastAsia" w:hAnsiTheme="minorHAnsi" w:cstheme="minorBidi"/>
          <w:szCs w:val="22"/>
          <w:lang w:eastAsia="en-AU"/>
        </w:rPr>
      </w:pPr>
      <w:r>
        <w:t>11.</w:t>
      </w:r>
      <w:r>
        <w:tab/>
        <w:t>Disclosure of information about fitness services</w:t>
      </w:r>
      <w:r>
        <w:tab/>
      </w:r>
      <w:r>
        <w:fldChar w:fldCharType="begin"/>
      </w:r>
      <w:r>
        <w:instrText xml:space="preserve"> PAGEREF _Toc475455167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Disclosure of information</w:t>
      </w:r>
      <w:r>
        <w:tab/>
      </w:r>
      <w:r>
        <w:fldChar w:fldCharType="begin"/>
      </w:r>
      <w:r>
        <w:instrText xml:space="preserve"> PAGEREF _Toc475455168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Membership Agreements</w:t>
      </w:r>
    </w:p>
    <w:p>
      <w:pPr>
        <w:pStyle w:val="TOC8"/>
        <w:rPr>
          <w:rFonts w:asciiTheme="minorHAnsi" w:eastAsiaTheme="minorEastAsia" w:hAnsiTheme="minorHAnsi" w:cstheme="minorBidi"/>
          <w:szCs w:val="22"/>
          <w:lang w:eastAsia="en-AU"/>
        </w:rPr>
      </w:pPr>
      <w:r>
        <w:t>13.</w:t>
      </w:r>
      <w:r>
        <w:tab/>
        <w:t>Cooling off period</w:t>
      </w:r>
      <w:r>
        <w:tab/>
      </w:r>
      <w:r>
        <w:fldChar w:fldCharType="begin"/>
      </w:r>
      <w:r>
        <w:instrText xml:space="preserve"> PAGEREF _Toc475455170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Membership agreement to be signed</w:t>
      </w:r>
      <w:r>
        <w:tab/>
      </w:r>
      <w:r>
        <w:fldChar w:fldCharType="begin"/>
      </w:r>
      <w:r>
        <w:instrText xml:space="preserve"> PAGEREF _Toc475455171 \h </w:instrText>
      </w:r>
      <w:r>
        <w:fldChar w:fldCharType="separate"/>
      </w:r>
      <w:r>
        <w:t>7</w:t>
      </w:r>
      <w:r>
        <w:fldChar w:fldCharType="end"/>
      </w:r>
    </w:p>
    <w:p>
      <w:pPr>
        <w:pStyle w:val="TOC8"/>
        <w:rPr>
          <w:rFonts w:asciiTheme="minorHAnsi" w:eastAsiaTheme="minorEastAsia" w:hAnsiTheme="minorHAnsi" w:cstheme="minorBidi"/>
          <w:szCs w:val="22"/>
          <w:lang w:eastAsia="en-AU"/>
        </w:rPr>
      </w:pPr>
      <w:r>
        <w:t>15.</w:t>
      </w:r>
      <w:r>
        <w:tab/>
        <w:t>What a membership agreement must state</w:t>
      </w:r>
      <w:r>
        <w:tab/>
      </w:r>
      <w:r>
        <w:fldChar w:fldCharType="begin"/>
      </w:r>
      <w:r>
        <w:instrText xml:space="preserve"> PAGEREF _Toc475455172 \h </w:instrText>
      </w:r>
      <w:r>
        <w:fldChar w:fldCharType="separate"/>
      </w:r>
      <w:r>
        <w:t>7</w:t>
      </w:r>
      <w:r>
        <w:fldChar w:fldCharType="end"/>
      </w:r>
    </w:p>
    <w:p>
      <w:pPr>
        <w:pStyle w:val="TOC8"/>
        <w:rPr>
          <w:rFonts w:asciiTheme="minorHAnsi" w:eastAsiaTheme="minorEastAsia" w:hAnsiTheme="minorHAnsi" w:cstheme="minorBidi"/>
          <w:szCs w:val="22"/>
          <w:lang w:eastAsia="en-AU"/>
        </w:rPr>
      </w:pPr>
      <w:r>
        <w:t>16.</w:t>
      </w:r>
      <w:r>
        <w:tab/>
        <w:t>Signed membership agreement</w:t>
      </w:r>
      <w:r>
        <w:tab/>
      </w:r>
      <w:r>
        <w:fldChar w:fldCharType="begin"/>
      </w:r>
      <w:r>
        <w:instrText xml:space="preserve"> PAGEREF _Toc475455173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12 month limit on term of prepaid membership agreements</w:t>
      </w:r>
      <w:r>
        <w:tab/>
      </w:r>
      <w:r>
        <w:fldChar w:fldCharType="begin"/>
      </w:r>
      <w:r>
        <w:instrText xml:space="preserve"> PAGEREF _Toc475455174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Prepayment of fees where a fitness centre is leased</w:t>
      </w:r>
      <w:r>
        <w:tab/>
      </w:r>
      <w:r>
        <w:fldChar w:fldCharType="begin"/>
      </w:r>
      <w:r>
        <w:instrText xml:space="preserve"> PAGEREF _Toc475455175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Termination of membership agreements during cooling off period</w:t>
      </w:r>
      <w:r>
        <w:tab/>
      </w:r>
      <w:r>
        <w:fldChar w:fldCharType="begin"/>
      </w:r>
      <w:r>
        <w:instrText xml:space="preserve"> PAGEREF _Toc475455176 \h </w:instrText>
      </w:r>
      <w:r>
        <w:fldChar w:fldCharType="separate"/>
      </w:r>
      <w:r>
        <w:t>9</w:t>
      </w:r>
      <w:r>
        <w:fldChar w:fldCharType="end"/>
      </w:r>
    </w:p>
    <w:p>
      <w:pPr>
        <w:pStyle w:val="TOC8"/>
        <w:rPr>
          <w:rFonts w:asciiTheme="minorHAnsi" w:eastAsiaTheme="minorEastAsia" w:hAnsiTheme="minorHAnsi" w:cstheme="minorBidi"/>
          <w:szCs w:val="22"/>
          <w:lang w:eastAsia="en-AU"/>
        </w:rPr>
      </w:pPr>
      <w:r>
        <w:t>20.</w:t>
      </w:r>
      <w:r>
        <w:tab/>
        <w:t>Request to terminate a membership agreement</w:t>
      </w:r>
      <w:r>
        <w:tab/>
      </w:r>
      <w:r>
        <w:fldChar w:fldCharType="begin"/>
      </w:r>
      <w:r>
        <w:instrText xml:space="preserve"> PAGEREF _Toc475455177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Complaint handling procedures</w:t>
      </w:r>
    </w:p>
    <w:p>
      <w:pPr>
        <w:pStyle w:val="TOC8"/>
        <w:rPr>
          <w:rFonts w:asciiTheme="minorHAnsi" w:eastAsiaTheme="minorEastAsia" w:hAnsiTheme="minorHAnsi" w:cstheme="minorBidi"/>
          <w:szCs w:val="22"/>
          <w:lang w:eastAsia="en-AU"/>
        </w:rPr>
      </w:pPr>
      <w:r>
        <w:t>21.</w:t>
      </w:r>
      <w:r>
        <w:tab/>
        <w:t>Complaints by clients</w:t>
      </w:r>
      <w:r>
        <w:tab/>
      </w:r>
      <w:r>
        <w:fldChar w:fldCharType="begin"/>
      </w:r>
      <w:r>
        <w:instrText xml:space="preserve"> PAGEREF _Toc475455179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_Toc475455181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1987</w:t>
      </w:r>
    </w:p>
    <w:p>
      <w:pPr>
        <w:pStyle w:val="NameofActReg"/>
        <w:spacing w:before="120" w:after="240"/>
      </w:pPr>
      <w:r>
        <w:t>Fair Trading (Fitness Industry Code of Practice) Regulations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57427003"/>
      <w:bookmarkStart w:id="11" w:name="_Toc475455150"/>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Fair Trading (Fitness Industry Code of Practice) Regulations 2010</w:t>
      </w:r>
      <w:r>
        <w:rPr>
          <w:iCs/>
        </w:rPr>
        <w:t xml:space="preserve"> </w:t>
      </w:r>
      <w:r>
        <w:rPr>
          <w:iCs/>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57427004"/>
      <w:bookmarkStart w:id="21" w:name="_Toc475455151"/>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31 December 2010.</w:t>
      </w:r>
    </w:p>
    <w:p>
      <w:pPr>
        <w:pStyle w:val="Heading5"/>
      </w:pPr>
      <w:bookmarkStart w:id="22" w:name="_Toc357427005"/>
      <w:bookmarkStart w:id="23" w:name="_Toc475455152"/>
      <w:r>
        <w:rPr>
          <w:rStyle w:val="CharSectno"/>
        </w:rPr>
        <w:t>3</w:t>
      </w:r>
      <w:r>
        <w:t>.</w:t>
      </w:r>
      <w:r>
        <w:tab/>
        <w:t>Code of Practice prescribed</w:t>
      </w:r>
      <w:bookmarkEnd w:id="22"/>
      <w:bookmarkEnd w:id="23"/>
    </w:p>
    <w:p>
      <w:pPr>
        <w:pStyle w:val="Subsection"/>
      </w:pPr>
      <w:r>
        <w:tab/>
        <w:t>(1)</w:t>
      </w:r>
      <w:r>
        <w:tab/>
        <w:t xml:space="preserve">In this regulation — </w:t>
      </w:r>
    </w:p>
    <w:p>
      <w:pPr>
        <w:pStyle w:val="Defstart"/>
      </w:pPr>
      <w:r>
        <w:tab/>
      </w:r>
      <w:r>
        <w:rPr>
          <w:rStyle w:val="CharDefText"/>
        </w:rPr>
        <w:t>client</w:t>
      </w:r>
      <w:r>
        <w:rPr>
          <w:rStyle w:val="CharDefText"/>
          <w:b w:val="0"/>
          <w:i w:val="0"/>
        </w:rPr>
        <w:t xml:space="preserve">, </w:t>
      </w:r>
      <w:r>
        <w:rPr>
          <w:rStyle w:val="CharDefText"/>
        </w:rPr>
        <w:t>supplier</w:t>
      </w:r>
      <w:r>
        <w:rPr>
          <w:rStyle w:val="CharDefText"/>
          <w:b w:val="0"/>
          <w:i w:val="0"/>
        </w:rPr>
        <w:t xml:space="preserve"> and</w:t>
      </w:r>
      <w:r>
        <w:rPr>
          <w:rStyle w:val="CharDefText"/>
        </w:rPr>
        <w:t xml:space="preserve"> 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iCs/>
        </w:rPr>
        <w:t>Fitness Industry Code of Practice 2010</w:t>
      </w:r>
      <w:r>
        <w:t xml:space="preserve"> prescribed under the </w:t>
      </w:r>
      <w:r>
        <w:rPr>
          <w:i/>
        </w:rPr>
        <w:t>Fair Trading Act 1987</w:t>
      </w:r>
      <w:r>
        <w:t xml:space="preserve"> section 43(1), continues in force</w:t>
      </w:r>
      <w:r>
        <w:rPr>
          <w:i/>
        </w:rPr>
        <w:t xml:space="preserve"> </w:t>
      </w:r>
      <w:r>
        <w:t>as a code of practice that applies in relation to clients and suppliers of fitness services.</w:t>
      </w:r>
    </w:p>
    <w:p>
      <w:pPr>
        <w:pStyle w:val="Subsection"/>
      </w:pPr>
      <w:r>
        <w:tab/>
        <w:t>(3)</w:t>
      </w:r>
      <w:r>
        <w:tab/>
        <w:t xml:space="preserve">The </w:t>
      </w:r>
      <w:r>
        <w:rPr>
          <w:i/>
          <w:iCs/>
        </w:rPr>
        <w:t>Fair Trading (Fitness Industry Code of Practice) Regulations 2007</w:t>
      </w:r>
      <w:r>
        <w:t xml:space="preserve"> are repealed.</w:t>
      </w:r>
    </w:p>
    <w:p>
      <w:pPr>
        <w:pStyle w:val="Footnotesection"/>
      </w:pPr>
      <w:r>
        <w:tab/>
        <w:t>[Regulation 3 amended in Gazette 30 Jun 2011 p. 2643; 28 May 2013 p. 2091.]</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 w:name="_Toc280692765"/>
      <w:bookmarkStart w:id="25" w:name="_Toc297275780"/>
      <w:bookmarkStart w:id="26" w:name="_Toc297302311"/>
      <w:bookmarkStart w:id="27" w:name="_Toc357418984"/>
      <w:bookmarkStart w:id="28" w:name="_Toc357427006"/>
      <w:bookmarkStart w:id="29" w:name="_Toc418082220"/>
      <w:bookmarkStart w:id="30" w:name="_Toc465091835"/>
      <w:bookmarkStart w:id="31" w:name="_Toc465092027"/>
      <w:bookmarkStart w:id="32" w:name="_Toc475455153"/>
      <w:r>
        <w:rPr>
          <w:rStyle w:val="CharSchNo"/>
        </w:rPr>
        <w:t>Schedule 1</w:t>
      </w:r>
      <w:r>
        <w:t> — </w:t>
      </w:r>
      <w:r>
        <w:rPr>
          <w:rStyle w:val="CharSchText"/>
        </w:rPr>
        <w:t>Fitness Industry Code of Practice 2010</w:t>
      </w:r>
      <w:bookmarkEnd w:id="24"/>
      <w:bookmarkEnd w:id="25"/>
      <w:bookmarkEnd w:id="26"/>
      <w:bookmarkEnd w:id="27"/>
      <w:bookmarkEnd w:id="28"/>
      <w:bookmarkEnd w:id="29"/>
      <w:bookmarkEnd w:id="30"/>
      <w:bookmarkEnd w:id="31"/>
      <w:bookmarkEnd w:id="32"/>
    </w:p>
    <w:p>
      <w:pPr>
        <w:pStyle w:val="yShoulderClause"/>
      </w:pPr>
      <w:r>
        <w:t>[r. 3]</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33" w:name="_Toc280692766"/>
      <w:bookmarkStart w:id="34" w:name="_Toc297275781"/>
      <w:bookmarkStart w:id="35" w:name="_Toc297302312"/>
      <w:bookmarkStart w:id="36" w:name="_Toc357418985"/>
      <w:bookmarkStart w:id="37" w:name="_Toc357427007"/>
      <w:bookmarkStart w:id="38" w:name="_Toc418082221"/>
      <w:bookmarkStart w:id="39" w:name="_Toc465091836"/>
      <w:bookmarkStart w:id="40" w:name="_Toc465092028"/>
      <w:bookmarkStart w:id="41" w:name="_Toc475455154"/>
      <w:r>
        <w:rPr>
          <w:rStyle w:val="CharSDivNo"/>
        </w:rPr>
        <w:t>Division 1</w:t>
      </w:r>
      <w:r>
        <w:t> — </w:t>
      </w:r>
      <w:r>
        <w:rPr>
          <w:rStyle w:val="CharSDivText"/>
        </w:rPr>
        <w:t>Introduction</w:t>
      </w:r>
      <w:bookmarkEnd w:id="33"/>
      <w:bookmarkEnd w:id="34"/>
      <w:bookmarkEnd w:id="35"/>
      <w:bookmarkEnd w:id="36"/>
      <w:bookmarkEnd w:id="37"/>
      <w:bookmarkEnd w:id="38"/>
      <w:bookmarkEnd w:id="39"/>
      <w:bookmarkEnd w:id="40"/>
      <w:bookmarkEnd w:id="41"/>
    </w:p>
    <w:p>
      <w:pPr>
        <w:pStyle w:val="yHeading5"/>
      </w:pPr>
      <w:bookmarkStart w:id="42" w:name="_Toc357427008"/>
      <w:bookmarkStart w:id="43" w:name="_Toc475455155"/>
      <w:r>
        <w:rPr>
          <w:rStyle w:val="CharSClsNo"/>
        </w:rPr>
        <w:t>1</w:t>
      </w:r>
      <w:r>
        <w:t>.</w:t>
      </w:r>
      <w:r>
        <w:tab/>
        <w:t>Objectives</w:t>
      </w:r>
      <w:bookmarkEnd w:id="42"/>
      <w:bookmarkEnd w:id="43"/>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44" w:name="_Toc357427009"/>
      <w:bookmarkStart w:id="45" w:name="_Toc475455156"/>
      <w:r>
        <w:rPr>
          <w:rStyle w:val="CharSClsNo"/>
        </w:rPr>
        <w:t>2</w:t>
      </w:r>
      <w:r>
        <w:t>.</w:t>
      </w:r>
      <w:r>
        <w:tab/>
        <w:t>Terms used</w:t>
      </w:r>
      <w:bookmarkEnd w:id="44"/>
      <w:bookmarkEnd w:id="45"/>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has the meaning given in clause 15(2);</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46" w:name="_Toc357427010"/>
      <w:bookmarkStart w:id="47" w:name="_Toc475455157"/>
      <w:r>
        <w:rPr>
          <w:rStyle w:val="CharSClsNo"/>
        </w:rPr>
        <w:t>3</w:t>
      </w:r>
      <w:r>
        <w:t>.</w:t>
      </w:r>
      <w:r>
        <w:tab/>
        <w:t>Fitness service</w:t>
      </w:r>
      <w:bookmarkEnd w:id="46"/>
      <w:bookmarkEnd w:id="47"/>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48" w:name="_Toc357427011"/>
      <w:bookmarkStart w:id="49" w:name="_Toc475455158"/>
      <w:r>
        <w:rPr>
          <w:rStyle w:val="CharSClsNo"/>
        </w:rPr>
        <w:t>4</w:t>
      </w:r>
      <w:r>
        <w:t>.</w:t>
      </w:r>
      <w:r>
        <w:tab/>
        <w:t>Compliance with the Code</w:t>
      </w:r>
      <w:bookmarkEnd w:id="48"/>
      <w:bookmarkEnd w:id="49"/>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Notes for this clause:</w:t>
      </w:r>
    </w:p>
    <w:p>
      <w:pPr>
        <w:pStyle w:val="PermNoteText"/>
      </w:pPr>
      <w:r>
        <w:tab/>
      </w:r>
      <w:r>
        <w:tab/>
        <w:t>Contravention of this Code is a ground for —</w:t>
      </w:r>
    </w:p>
    <w:p>
      <w:pPr>
        <w:pStyle w:val="PermNotePara"/>
      </w:pPr>
      <w:r>
        <w:tab/>
        <w:t>(a)</w:t>
      </w:r>
      <w:r>
        <w:tab/>
      </w:r>
      <w:bookmarkStart w:id="50" w:name="_Toc280692771"/>
      <w:r>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Footnotesection"/>
      </w:pPr>
      <w:r>
        <w:tab/>
        <w:t>[Clause 4 amended in Gazette 30 Jun 2011 p. 2644.]</w:t>
      </w:r>
    </w:p>
    <w:p>
      <w:pPr>
        <w:pStyle w:val="yHeading3"/>
      </w:pPr>
      <w:bookmarkStart w:id="51" w:name="_Toc297275786"/>
      <w:bookmarkStart w:id="52" w:name="_Toc297302317"/>
      <w:bookmarkStart w:id="53" w:name="_Toc357418990"/>
      <w:bookmarkStart w:id="54" w:name="_Toc357427012"/>
      <w:bookmarkStart w:id="55" w:name="_Toc418082226"/>
      <w:bookmarkStart w:id="56" w:name="_Toc465091841"/>
      <w:bookmarkStart w:id="57" w:name="_Toc465092033"/>
      <w:bookmarkStart w:id="58" w:name="_Toc475455159"/>
      <w:r>
        <w:rPr>
          <w:rStyle w:val="CharSDivNo"/>
        </w:rPr>
        <w:t>Division 2</w:t>
      </w:r>
      <w:r>
        <w:t> — </w:t>
      </w:r>
      <w:r>
        <w:rPr>
          <w:rStyle w:val="CharSDivText"/>
        </w:rPr>
        <w:t>General Rules of Conduct</w:t>
      </w:r>
      <w:bookmarkEnd w:id="50"/>
      <w:bookmarkEnd w:id="51"/>
      <w:bookmarkEnd w:id="52"/>
      <w:bookmarkEnd w:id="53"/>
      <w:bookmarkEnd w:id="54"/>
      <w:bookmarkEnd w:id="55"/>
      <w:bookmarkEnd w:id="56"/>
      <w:bookmarkEnd w:id="57"/>
      <w:bookmarkEnd w:id="58"/>
    </w:p>
    <w:p>
      <w:pPr>
        <w:pStyle w:val="yHeading5"/>
      </w:pPr>
      <w:bookmarkStart w:id="59" w:name="_Toc357427013"/>
      <w:bookmarkStart w:id="60" w:name="_Toc475455160"/>
      <w:r>
        <w:rPr>
          <w:rStyle w:val="CharSClsNo"/>
        </w:rPr>
        <w:t>5</w:t>
      </w:r>
      <w:r>
        <w:t>.</w:t>
      </w:r>
      <w:r>
        <w:tab/>
        <w:t>Claiming membership or endorsement</w:t>
      </w:r>
      <w:bookmarkEnd w:id="59"/>
      <w:bookmarkEnd w:id="60"/>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61" w:name="_Toc357427014"/>
      <w:bookmarkStart w:id="62" w:name="_Toc475455161"/>
      <w:r>
        <w:rPr>
          <w:rStyle w:val="CharSClsNo"/>
        </w:rPr>
        <w:t>6</w:t>
      </w:r>
      <w:r>
        <w:t>.</w:t>
      </w:r>
      <w:r>
        <w:tab/>
        <w:t>Qualifications and employment of staff</w:t>
      </w:r>
      <w:bookmarkEnd w:id="61"/>
      <w:bookmarkEnd w:id="62"/>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63" w:name="_Toc357427015"/>
      <w:bookmarkStart w:id="64" w:name="_Toc475455162"/>
      <w:r>
        <w:rPr>
          <w:rStyle w:val="CharSClsNo"/>
        </w:rPr>
        <w:t>7</w:t>
      </w:r>
      <w:r>
        <w:t>.</w:t>
      </w:r>
      <w:r>
        <w:tab/>
        <w:t>High pressure selling techniques, harassment or unconscionable conduct</w:t>
      </w:r>
      <w:bookmarkEnd w:id="63"/>
      <w:bookmarkEnd w:id="64"/>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tactics, harassment or unconscionable conduct for the purpose of entering into a membership agreement with a client.</w:t>
      </w:r>
    </w:p>
    <w:p>
      <w:pPr>
        <w:pStyle w:val="yHeading5"/>
      </w:pPr>
      <w:bookmarkStart w:id="65" w:name="_Toc357427016"/>
      <w:bookmarkStart w:id="66" w:name="_Toc475455163"/>
      <w:r>
        <w:rPr>
          <w:rStyle w:val="CharSClsNo"/>
        </w:rPr>
        <w:t>8</w:t>
      </w:r>
      <w:r>
        <w:t>.</w:t>
      </w:r>
      <w:r>
        <w:tab/>
        <w:t>Soliciting through false or misleading advertisements or representations</w:t>
      </w:r>
      <w:bookmarkEnd w:id="65"/>
      <w:bookmarkEnd w:id="66"/>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67" w:name="_Toc357427017"/>
      <w:bookmarkStart w:id="68" w:name="_Toc475455164"/>
      <w:r>
        <w:rPr>
          <w:rStyle w:val="CharSClsNo"/>
        </w:rPr>
        <w:t>9</w:t>
      </w:r>
      <w:r>
        <w:t>.</w:t>
      </w:r>
      <w:r>
        <w:tab/>
        <w:t>Confidentiality</w:t>
      </w:r>
      <w:bookmarkEnd w:id="67"/>
      <w:bookmarkEnd w:id="68"/>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used or disclosed for a purpose authorised in writing by the client; or</w:t>
      </w:r>
    </w:p>
    <w:p>
      <w:pPr>
        <w:pStyle w:val="yIndenta"/>
      </w:pPr>
      <w:r>
        <w:tab/>
        <w:t>(b)</w:t>
      </w:r>
      <w:r>
        <w:tab/>
        <w:t>that must be lawfully used or disclosed.</w:t>
      </w:r>
    </w:p>
    <w:p>
      <w:pPr>
        <w:pStyle w:val="yHeading5"/>
      </w:pPr>
      <w:bookmarkStart w:id="69" w:name="_Toc357427018"/>
      <w:bookmarkStart w:id="70" w:name="_Toc475455165"/>
      <w:r>
        <w:rPr>
          <w:rStyle w:val="CharSClsNo"/>
        </w:rPr>
        <w:t>10</w:t>
      </w:r>
      <w:r>
        <w:t>.</w:t>
      </w:r>
      <w:r>
        <w:tab/>
        <w:t>Free or discounted services</w:t>
      </w:r>
      <w:bookmarkEnd w:id="69"/>
      <w:bookmarkEnd w:id="70"/>
    </w:p>
    <w:p>
      <w:pPr>
        <w:pStyle w:val="ySubsection"/>
      </w:pPr>
      <w:r>
        <w:tab/>
      </w:r>
      <w:r>
        <w:tab/>
        <w:t>A supplier must not describe part of a membership as free or discounted if any programme offered in relation to the membership is increased in price, decreased in quality or is restricted in any manner as a result of the discounted price.</w:t>
      </w:r>
    </w:p>
    <w:p>
      <w:pPr>
        <w:pStyle w:val="yHeading3"/>
      </w:pPr>
      <w:bookmarkStart w:id="71" w:name="_Toc280692778"/>
      <w:bookmarkStart w:id="72" w:name="_Toc297275793"/>
      <w:bookmarkStart w:id="73" w:name="_Toc297302324"/>
      <w:bookmarkStart w:id="74" w:name="_Toc357418997"/>
      <w:bookmarkStart w:id="75" w:name="_Toc357427019"/>
      <w:bookmarkStart w:id="76" w:name="_Toc418082233"/>
      <w:bookmarkStart w:id="77" w:name="_Toc465091848"/>
      <w:bookmarkStart w:id="78" w:name="_Toc465092040"/>
      <w:bookmarkStart w:id="79" w:name="_Toc475455166"/>
      <w:r>
        <w:rPr>
          <w:rStyle w:val="CharSDivNo"/>
        </w:rPr>
        <w:t>Division 3</w:t>
      </w:r>
      <w:r>
        <w:t> — </w:t>
      </w:r>
      <w:r>
        <w:rPr>
          <w:rStyle w:val="CharSDivText"/>
        </w:rPr>
        <w:t>Disclosure</w:t>
      </w:r>
      <w:bookmarkEnd w:id="71"/>
      <w:bookmarkEnd w:id="72"/>
      <w:bookmarkEnd w:id="73"/>
      <w:bookmarkEnd w:id="74"/>
      <w:bookmarkEnd w:id="75"/>
      <w:bookmarkEnd w:id="76"/>
      <w:bookmarkEnd w:id="77"/>
      <w:bookmarkEnd w:id="78"/>
      <w:bookmarkEnd w:id="79"/>
    </w:p>
    <w:p>
      <w:pPr>
        <w:pStyle w:val="yHeading5"/>
      </w:pPr>
      <w:bookmarkStart w:id="80" w:name="_Toc357427020"/>
      <w:bookmarkStart w:id="81" w:name="_Toc475455167"/>
      <w:r>
        <w:rPr>
          <w:rStyle w:val="CharSClsNo"/>
        </w:rPr>
        <w:t>11</w:t>
      </w:r>
      <w:r>
        <w:t>.</w:t>
      </w:r>
      <w:r>
        <w:tab/>
        <w:t>Disclosure of information about fitness services</w:t>
      </w:r>
      <w:bookmarkEnd w:id="80"/>
      <w:bookmarkEnd w:id="81"/>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 and</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not knowingly make misleading or false comparisons with a fitness service supplied by another supplier; and</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82" w:name="_Toc357427021"/>
      <w:bookmarkStart w:id="83" w:name="_Toc475455168"/>
      <w:r>
        <w:rPr>
          <w:rStyle w:val="CharSClsNo"/>
        </w:rPr>
        <w:t>12</w:t>
      </w:r>
      <w:r>
        <w:t>.</w:t>
      </w:r>
      <w:r>
        <w:tab/>
        <w:t>Disclosure of information</w:t>
      </w:r>
      <w:bookmarkEnd w:id="82"/>
      <w:bookmarkEnd w:id="83"/>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84" w:name="_Toc280692781"/>
      <w:bookmarkStart w:id="85" w:name="_Toc297275796"/>
      <w:bookmarkStart w:id="86" w:name="_Toc297302327"/>
      <w:bookmarkStart w:id="87" w:name="_Toc357419000"/>
      <w:bookmarkStart w:id="88" w:name="_Toc357427022"/>
      <w:bookmarkStart w:id="89" w:name="_Toc418082236"/>
      <w:bookmarkStart w:id="90" w:name="_Toc465091851"/>
      <w:bookmarkStart w:id="91" w:name="_Toc465092043"/>
      <w:bookmarkStart w:id="92" w:name="_Toc475455169"/>
      <w:r>
        <w:rPr>
          <w:rStyle w:val="CharSDivNo"/>
        </w:rPr>
        <w:t>Division 4</w:t>
      </w:r>
      <w:r>
        <w:t> — </w:t>
      </w:r>
      <w:r>
        <w:rPr>
          <w:rStyle w:val="CharSDivText"/>
        </w:rPr>
        <w:t>Membership Agreements</w:t>
      </w:r>
      <w:bookmarkEnd w:id="84"/>
      <w:bookmarkEnd w:id="85"/>
      <w:bookmarkEnd w:id="86"/>
      <w:bookmarkEnd w:id="87"/>
      <w:bookmarkEnd w:id="88"/>
      <w:bookmarkEnd w:id="89"/>
      <w:bookmarkEnd w:id="90"/>
      <w:bookmarkEnd w:id="91"/>
      <w:bookmarkEnd w:id="92"/>
    </w:p>
    <w:p>
      <w:pPr>
        <w:pStyle w:val="yHeading5"/>
      </w:pPr>
      <w:bookmarkStart w:id="93" w:name="_Toc357427023"/>
      <w:bookmarkStart w:id="94" w:name="_Toc475455170"/>
      <w:r>
        <w:rPr>
          <w:rStyle w:val="CharSClsNo"/>
        </w:rPr>
        <w:t>13</w:t>
      </w:r>
      <w:r>
        <w:t>.</w:t>
      </w:r>
      <w:r>
        <w:tab/>
        <w:t>Cooling off period</w:t>
      </w:r>
      <w:bookmarkEnd w:id="93"/>
      <w:bookmarkEnd w:id="94"/>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The cooling off period ends 48 hours after the cooling off period starts.</w:t>
      </w:r>
    </w:p>
    <w:p>
      <w:pPr>
        <w:pStyle w:val="yHeading5"/>
      </w:pPr>
      <w:bookmarkStart w:id="95" w:name="_Toc357427024"/>
      <w:bookmarkStart w:id="96" w:name="_Toc475455171"/>
      <w:r>
        <w:rPr>
          <w:rStyle w:val="CharSClsNo"/>
        </w:rPr>
        <w:t>14</w:t>
      </w:r>
      <w:r>
        <w:t>.</w:t>
      </w:r>
      <w:r>
        <w:tab/>
        <w:t>Membership agreement to be signed</w:t>
      </w:r>
      <w:bookmarkEnd w:id="95"/>
      <w:bookmarkEnd w:id="96"/>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97" w:name="_Toc357427025"/>
      <w:bookmarkStart w:id="98" w:name="_Toc475455172"/>
      <w:r>
        <w:rPr>
          <w:rStyle w:val="CharSClsNo"/>
        </w:rPr>
        <w:t>15</w:t>
      </w:r>
      <w:r>
        <w:t>.</w:t>
      </w:r>
      <w:r>
        <w:tab/>
        <w:t>What a membership agreement must state</w:t>
      </w:r>
      <w:bookmarkEnd w:id="97"/>
      <w:bookmarkEnd w:id="98"/>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w:t>
      </w:r>
    </w:p>
    <w:p>
      <w:pPr>
        <w:pStyle w:val="yIndenta"/>
      </w:pPr>
      <w:r>
        <w:tab/>
        <w:t>(d)</w:t>
      </w:r>
      <w:r>
        <w:tab/>
        <w:t>the fitness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zyMiscellaneousBody"/>
        <w:tabs>
          <w:tab w:val="left" w:pos="1985"/>
        </w:tabs>
        <w:ind w:left="1985" w:hanging="1418"/>
        <w:rPr>
          <w:b/>
          <w:bCs/>
        </w:rPr>
      </w:pPr>
      <w:r>
        <w:rPr>
          <w:b/>
          <w:bCs/>
        </w:rPr>
        <w:tab/>
        <w:t>This is an ongoing membership agreement. The agreement will continue until either you or the supplier terminate it in the way described in the agreement.</w:t>
      </w:r>
    </w:p>
    <w:p>
      <w:pPr>
        <w:pStyle w:val="zyMiscellaneousBody"/>
        <w:tabs>
          <w:tab w:val="left" w:pos="1985"/>
        </w:tabs>
        <w:ind w:left="1985" w:hanging="1418"/>
        <w:rPr>
          <w:b/>
          <w:bCs/>
        </w:rPr>
      </w:pPr>
      <w:r>
        <w:rPr>
          <w:b/>
          <w:bCs/>
        </w:rPr>
        <w:tab/>
        <w:t>If an automatic debit arrangement is in place, membership fees will continue to be debited from your credit card or account until you or your fitness centre cancels the arrangement by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Subsection"/>
      </w:pPr>
      <w:r>
        <w:tab/>
        <w:t>(2)</w:t>
      </w:r>
      <w:r>
        <w:tab/>
        <w:t xml:space="preserve">An </w:t>
      </w:r>
      <w:r>
        <w:rPr>
          <w:b/>
          <w:bCs/>
          <w:i/>
          <w:iCs/>
        </w:rPr>
        <w:t>ongoing agreement</w:t>
      </w:r>
      <w:r>
        <w:t xml:space="preserve"> means a membership agreement that does not end unless the client or the supplier terminates the membership agreement.</w:t>
      </w:r>
    </w:p>
    <w:p>
      <w:pPr>
        <w:pStyle w:val="yHeading5"/>
      </w:pPr>
      <w:bookmarkStart w:id="99" w:name="_Toc357427026"/>
      <w:bookmarkStart w:id="100" w:name="_Toc475455173"/>
      <w:r>
        <w:rPr>
          <w:rStyle w:val="CharSClsNo"/>
        </w:rPr>
        <w:t>16</w:t>
      </w:r>
      <w:r>
        <w:t>.</w:t>
      </w:r>
      <w:r>
        <w:tab/>
        <w:t>Signed membership agreement</w:t>
      </w:r>
      <w:bookmarkEnd w:id="99"/>
      <w:bookmarkEnd w:id="100"/>
    </w:p>
    <w:p>
      <w:pPr>
        <w:pStyle w:val="ySubsection"/>
      </w:pPr>
      <w:r>
        <w:tab/>
      </w:r>
      <w:r>
        <w:tab/>
        <w:t>The supplier must provide a client with a true copy of the signed membership agreement immediately after it has been signed.</w:t>
      </w:r>
    </w:p>
    <w:p>
      <w:pPr>
        <w:pStyle w:val="yHeading5"/>
      </w:pPr>
      <w:bookmarkStart w:id="101" w:name="_Toc357427027"/>
      <w:bookmarkStart w:id="102" w:name="_Toc475455174"/>
      <w:r>
        <w:rPr>
          <w:rStyle w:val="CharSClsNo"/>
        </w:rPr>
        <w:t>17</w:t>
      </w:r>
      <w:r>
        <w:t>.</w:t>
      </w:r>
      <w:r>
        <w:tab/>
        <w:t>12 month limit on term of prepaid membership agreements</w:t>
      </w:r>
      <w:bookmarkEnd w:id="101"/>
      <w:bookmarkEnd w:id="102"/>
    </w:p>
    <w:p>
      <w:pPr>
        <w:pStyle w:val="ySubsection"/>
      </w:pPr>
      <w:r>
        <w:tab/>
        <w:t>(1)</w:t>
      </w:r>
      <w:r>
        <w:tab/>
        <w:t>This clause applies to a supplier who enters into a membership agreement with a client for a term of more than 12 months or an ongoing agreement.</w:t>
      </w:r>
    </w:p>
    <w:p>
      <w:pPr>
        <w:pStyle w:val="ySubsection"/>
      </w:pPr>
      <w:r>
        <w:tab/>
        <w:t>(2)</w:t>
      </w:r>
      <w:r>
        <w:tab/>
        <w:t>The supplier must not accept prepayment from the client of fees for a period greater than 12 months.</w:t>
      </w:r>
    </w:p>
    <w:p>
      <w:pPr>
        <w:pStyle w:val="yHeading5"/>
      </w:pPr>
      <w:bookmarkStart w:id="103" w:name="_Toc357427028"/>
      <w:bookmarkStart w:id="104" w:name="_Toc475455175"/>
      <w:r>
        <w:rPr>
          <w:rStyle w:val="CharSClsNo"/>
        </w:rPr>
        <w:t>18</w:t>
      </w:r>
      <w:r>
        <w:t>.</w:t>
      </w:r>
      <w:r>
        <w:tab/>
        <w:t>Prepayment of fees where a fitness centre is leased</w:t>
      </w:r>
      <w:bookmarkEnd w:id="103"/>
      <w:bookmarkEnd w:id="104"/>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105" w:name="_Toc357427029"/>
      <w:bookmarkStart w:id="106" w:name="_Toc475455176"/>
      <w:r>
        <w:rPr>
          <w:rStyle w:val="CharSClsNo"/>
        </w:rPr>
        <w:t>19</w:t>
      </w:r>
      <w:r>
        <w:t>.</w:t>
      </w:r>
      <w:r>
        <w:tab/>
        <w:t>Termination of membership agreements during cooling off period</w:t>
      </w:r>
      <w:bookmarkEnd w:id="105"/>
      <w:bookmarkEnd w:id="106"/>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107" w:name="_Toc357427030"/>
      <w:bookmarkStart w:id="108" w:name="_Toc475455177"/>
      <w:r>
        <w:rPr>
          <w:rStyle w:val="CharSClsNo"/>
        </w:rPr>
        <w:t>20</w:t>
      </w:r>
      <w:r>
        <w:t>.</w:t>
      </w:r>
      <w:r>
        <w:tab/>
        <w:t>Request to terminate a membership agreement</w:t>
      </w:r>
      <w:bookmarkEnd w:id="107"/>
      <w:bookmarkEnd w:id="108"/>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109" w:name="_Toc280692790"/>
      <w:bookmarkStart w:id="110" w:name="_Toc297275805"/>
      <w:bookmarkStart w:id="111" w:name="_Toc297302336"/>
      <w:bookmarkStart w:id="112" w:name="_Toc357419009"/>
      <w:bookmarkStart w:id="113" w:name="_Toc357427031"/>
      <w:bookmarkStart w:id="114" w:name="_Toc418082245"/>
      <w:bookmarkStart w:id="115" w:name="_Toc465091860"/>
      <w:bookmarkStart w:id="116" w:name="_Toc465092052"/>
      <w:bookmarkStart w:id="117" w:name="_Toc475455178"/>
      <w:r>
        <w:rPr>
          <w:rStyle w:val="CharSDivNo"/>
        </w:rPr>
        <w:t>Division 5</w:t>
      </w:r>
      <w:r>
        <w:t> — </w:t>
      </w:r>
      <w:r>
        <w:rPr>
          <w:rStyle w:val="CharSDivText"/>
        </w:rPr>
        <w:t>Complaint handling procedures</w:t>
      </w:r>
      <w:bookmarkEnd w:id="109"/>
      <w:bookmarkEnd w:id="110"/>
      <w:bookmarkEnd w:id="111"/>
      <w:bookmarkEnd w:id="112"/>
      <w:bookmarkEnd w:id="113"/>
      <w:bookmarkEnd w:id="114"/>
      <w:bookmarkEnd w:id="115"/>
      <w:bookmarkEnd w:id="116"/>
      <w:bookmarkEnd w:id="117"/>
    </w:p>
    <w:p>
      <w:pPr>
        <w:pStyle w:val="yHeading5"/>
      </w:pPr>
      <w:bookmarkStart w:id="118" w:name="_Toc357427032"/>
      <w:bookmarkStart w:id="119" w:name="_Toc475455179"/>
      <w:r>
        <w:rPr>
          <w:rStyle w:val="CharSClsNo"/>
        </w:rPr>
        <w:t>21</w:t>
      </w:r>
      <w:r>
        <w:t>.</w:t>
      </w:r>
      <w:r>
        <w:tab/>
        <w:t>Complaints by clients</w:t>
      </w:r>
      <w:bookmarkEnd w:id="118"/>
      <w:bookmarkEnd w:id="119"/>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 and</w:t>
      </w:r>
    </w:p>
    <w:p>
      <w:pPr>
        <w:pStyle w:val="yIndenta"/>
      </w:pPr>
      <w:r>
        <w:tab/>
        <w:t>(c)</w:t>
      </w:r>
      <w:r>
        <w:tab/>
        <w:t>the supplier endeavours to resolve the complaint as quickly as possible.</w:t>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bookmarkStart w:id="121" w:name="_Toc113695922"/>
      <w:bookmarkStart w:id="122" w:name="_Toc279584373"/>
      <w:bookmarkStart w:id="123" w:name="_Toc279585032"/>
      <w:bookmarkStart w:id="124" w:name="_Toc279585200"/>
      <w:bookmarkStart w:id="125" w:name="_Toc279585359"/>
      <w:bookmarkStart w:id="126" w:name="_Toc279585410"/>
      <w:bookmarkStart w:id="127" w:name="_Toc279585625"/>
      <w:bookmarkStart w:id="128" w:name="_Toc279585771"/>
      <w:bookmarkStart w:id="129" w:name="_Toc279652510"/>
    </w:p>
    <w:p>
      <w:pPr>
        <w:pStyle w:val="nHeading2"/>
      </w:pPr>
      <w:bookmarkStart w:id="130" w:name="_Toc280692792"/>
      <w:bookmarkStart w:id="131" w:name="_Toc297275807"/>
      <w:bookmarkStart w:id="132" w:name="_Toc297302338"/>
      <w:bookmarkStart w:id="133" w:name="_Toc357419011"/>
      <w:bookmarkStart w:id="134" w:name="_Toc357427033"/>
      <w:bookmarkStart w:id="135" w:name="_Toc418082247"/>
      <w:bookmarkStart w:id="136" w:name="_Toc465091862"/>
      <w:bookmarkStart w:id="137" w:name="_Toc465092054"/>
      <w:bookmarkStart w:id="138" w:name="_Toc475455180"/>
      <w:r>
        <w:t>Notes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rPr>
        <w:t xml:space="preserve">Fair Trading (Fitness Industry Code of Practice) Regulations 2010 </w:t>
      </w:r>
      <w:r>
        <w:t>and includes the amendments made by the other written laws referred to in the following table</w:t>
      </w:r>
      <w:r>
        <w:rPr>
          <w:snapToGrid w:val="0"/>
        </w:rPr>
        <w:t>.</w:t>
      </w:r>
    </w:p>
    <w:p>
      <w:pPr>
        <w:pStyle w:val="nHeading3"/>
      </w:pPr>
      <w:bookmarkStart w:id="139" w:name="_Toc357427034"/>
      <w:bookmarkStart w:id="140" w:name="_Toc475455181"/>
      <w:r>
        <w:t>Compilation table</w:t>
      </w:r>
      <w:bookmarkEnd w:id="139"/>
      <w:bookmarkEnd w:id="1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Fair Trading (Fitness Industry Code of Practice) Regulations 2010</w:t>
            </w:r>
            <w:r>
              <w:rPr>
                <w:iCs/>
              </w:rPr>
              <w:t xml:space="preserve"> </w:t>
            </w:r>
          </w:p>
        </w:tc>
        <w:tc>
          <w:tcPr>
            <w:tcW w:w="1276" w:type="dxa"/>
            <w:tcBorders>
              <w:top w:val="single" w:sz="8" w:space="0" w:color="auto"/>
              <w:bottom w:val="nil"/>
            </w:tcBorders>
          </w:tcPr>
          <w:p>
            <w:pPr>
              <w:pStyle w:val="nTable"/>
              <w:spacing w:after="40"/>
            </w:pPr>
            <w:r>
              <w:t>10 Dec 2010 p. 6247-58</w:t>
            </w:r>
          </w:p>
        </w:tc>
        <w:tc>
          <w:tcPr>
            <w:tcW w:w="2693" w:type="dxa"/>
            <w:tcBorders>
              <w:top w:val="single" w:sz="8" w:space="0" w:color="auto"/>
              <w:bottom w:val="nil"/>
            </w:tcBorders>
          </w:tcPr>
          <w:p>
            <w:pPr>
              <w:pStyle w:val="nTable"/>
              <w:spacing w:after="40"/>
            </w:pPr>
            <w:r>
              <w:rPr>
                <w:iCs/>
              </w:rPr>
              <w:t xml:space="preserve">r. 1 and 2: </w:t>
            </w:r>
            <w:r>
              <w:t>10 Dec 2010 (see r. 2(a));</w:t>
            </w:r>
            <w:r>
              <w:br/>
              <w:t>Regulations other than r. 1 and 2: 31 Dec 2010 (see r. 2(b))</w:t>
            </w:r>
          </w:p>
        </w:tc>
      </w:tr>
      <w:tr>
        <w:tc>
          <w:tcPr>
            <w:tcW w:w="3118" w:type="dxa"/>
            <w:tcBorders>
              <w:top w:val="nil"/>
              <w:bottom w:val="nil"/>
            </w:tcBorders>
          </w:tcPr>
          <w:p>
            <w:pPr>
              <w:pStyle w:val="nTable"/>
              <w:spacing w:after="40"/>
              <w:rPr>
                <w:i/>
              </w:rPr>
            </w:pPr>
            <w:r>
              <w:rPr>
                <w:i/>
              </w:rPr>
              <w:t>Fair Trading (Fitness Industry Code of Practice) Amendment Regulations 2011</w:t>
            </w:r>
          </w:p>
        </w:tc>
        <w:tc>
          <w:tcPr>
            <w:tcW w:w="1276" w:type="dxa"/>
            <w:tcBorders>
              <w:top w:val="nil"/>
              <w:bottom w:val="nil"/>
            </w:tcBorders>
          </w:tcPr>
          <w:p>
            <w:pPr>
              <w:pStyle w:val="nTable"/>
              <w:spacing w:after="40"/>
            </w:pPr>
            <w:r>
              <w:t>30 Jun 2011 p. 2643-4</w:t>
            </w:r>
          </w:p>
        </w:tc>
        <w:tc>
          <w:tcPr>
            <w:tcW w:w="2693" w:type="dxa"/>
            <w:tcBorders>
              <w:top w:val="nil"/>
              <w:bottom w:val="nil"/>
            </w:tcBorders>
          </w:tcPr>
          <w:p>
            <w:pPr>
              <w:pStyle w:val="nTable"/>
              <w:spacing w:after="40"/>
              <w:rPr>
                <w:iCs/>
              </w:rPr>
            </w:pPr>
            <w:r>
              <w:rPr>
                <w:iCs/>
              </w:rPr>
              <w:t>r. 1 and 2: 3</w:t>
            </w:r>
            <w:r>
              <w:t>0 Jun 2011 (see r. 2(a));</w:t>
            </w:r>
            <w:r>
              <w:br/>
              <w:t>Regulations other than r. 1 and 2: 1 Jul 2011 (see r. 2(b))</w:t>
            </w:r>
          </w:p>
        </w:tc>
      </w:tr>
      <w:tr>
        <w:tc>
          <w:tcPr>
            <w:tcW w:w="3118" w:type="dxa"/>
            <w:tcBorders>
              <w:top w:val="nil"/>
              <w:bottom w:val="nil"/>
            </w:tcBorders>
          </w:tcPr>
          <w:p>
            <w:pPr>
              <w:pStyle w:val="nTable"/>
              <w:spacing w:after="40"/>
              <w:rPr>
                <w:i/>
              </w:rPr>
            </w:pPr>
            <w:r>
              <w:rPr>
                <w:i/>
              </w:rPr>
              <w:t>Fair Trading (Fitness Industry Code of Practice) Amendment Regulations 2013</w:t>
            </w:r>
          </w:p>
        </w:tc>
        <w:tc>
          <w:tcPr>
            <w:tcW w:w="1276" w:type="dxa"/>
            <w:tcBorders>
              <w:top w:val="nil"/>
              <w:bottom w:val="nil"/>
            </w:tcBorders>
          </w:tcPr>
          <w:p>
            <w:pPr>
              <w:pStyle w:val="nTable"/>
              <w:spacing w:after="40"/>
            </w:pPr>
            <w:r>
              <w:t>28 May 2013 p. 2091</w:t>
            </w:r>
          </w:p>
        </w:tc>
        <w:tc>
          <w:tcPr>
            <w:tcW w:w="2693" w:type="dxa"/>
            <w:tcBorders>
              <w:top w:val="nil"/>
              <w:bottom w:val="nil"/>
            </w:tcBorders>
          </w:tcPr>
          <w:p>
            <w:pPr>
              <w:pStyle w:val="nTable"/>
              <w:spacing w:after="40"/>
              <w:rPr>
                <w:iCs/>
              </w:rPr>
            </w:pPr>
            <w:r>
              <w:rPr>
                <w:iCs/>
                <w:snapToGrid w:val="0"/>
                <w:spacing w:val="-2"/>
                <w:lang w:val="en-US"/>
              </w:rPr>
              <w:t>r. 1 and 2: 28 May 2013 (see r. 2(a));</w:t>
            </w:r>
            <w:r>
              <w:rPr>
                <w:iCs/>
                <w:snapToGrid w:val="0"/>
                <w:spacing w:val="-2"/>
                <w:lang w:val="en-US"/>
              </w:rPr>
              <w:br/>
              <w:t>Regulations other than r. 1 and 2: 29 May 2013 (see r. 2(b))</w:t>
            </w:r>
          </w:p>
        </w:tc>
      </w:tr>
      <w:tr>
        <w:tc>
          <w:tcPr>
            <w:tcW w:w="7087" w:type="dxa"/>
            <w:gridSpan w:val="3"/>
            <w:tcBorders>
              <w:top w:val="nil"/>
              <w:bottom w:val="single" w:sz="8" w:space="0" w:color="auto"/>
            </w:tcBorders>
          </w:tcPr>
          <w:p>
            <w:pPr>
              <w:pStyle w:val="nTable"/>
              <w:spacing w:after="40"/>
              <w:rPr>
                <w:b/>
                <w:color w:val="FF0000"/>
              </w:rPr>
            </w:pPr>
            <w:r>
              <w:rPr>
                <w:b/>
                <w:color w:val="FF0000"/>
              </w:rPr>
              <w:t xml:space="preserve">These regulations expired at the close of 30 Dec 2013 (see </w:t>
            </w:r>
            <w:r>
              <w:rPr>
                <w:b/>
                <w:i/>
                <w:color w:val="FF0000"/>
              </w:rPr>
              <w:t>Fair Trading Act 2010</w:t>
            </w:r>
            <w:r>
              <w:rPr>
                <w:b/>
                <w:color w:val="FF0000"/>
              </w:rPr>
              <w:t xml:space="preserve"> s. 52(3))</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42" w:name="_Toc465091864"/>
      <w:bookmarkStart w:id="143" w:name="_Toc465092056"/>
      <w:bookmarkStart w:id="144" w:name="_Toc475455182"/>
      <w:r>
        <w:rPr>
          <w:sz w:val="28"/>
        </w:rPr>
        <w:t>Defined terms</w:t>
      </w:r>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Sch. 1 cl. 2</w:t>
      </w:r>
    </w:p>
    <w:p>
      <w:pPr>
        <w:pStyle w:val="DefinedTerms"/>
      </w:pPr>
      <w:r>
        <w:t>client, supplier and fitness service</w:t>
      </w:r>
      <w:r>
        <w:tab/>
        <w:t>3(1)</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w:t>
      </w:r>
    </w:p>
    <w:p>
      <w:pPr>
        <w:pStyle w:val="DefinedTerms"/>
      </w:pPr>
      <w:r>
        <w:t>person</w:t>
      </w:r>
      <w:r>
        <w:tab/>
        <w:t>Sch. 1 cl. 2</w:t>
      </w:r>
    </w:p>
    <w:p>
      <w:pPr>
        <w:pStyle w:val="DefinedTerms"/>
      </w:pPr>
      <w:r>
        <w:t>supplier</w:t>
      </w:r>
      <w:r>
        <w:tab/>
        <w:t>Sch. 1 cl. 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r>
      <w:rPr>
        <w:sz w:val="20"/>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Code of Practice)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Code of Practice)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Code of Practice)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Code of Practice)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Code of Practice)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3A624EE"/>
    <w:multiLevelType w:val="hybridMultilevel"/>
    <w:tmpl w:val="0F24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2939"/>
    <w:docVar w:name="WAFER_20150914120900" w:val="ResetPageSize,UpdateArrangement,UpdateNTable"/>
    <w:docVar w:name="WAFER_20150914120900_GUID" w:val="1c46f763-6856-4370-81e9-a0215385303a"/>
    <w:docVar w:name="WAFER_20151125093620" w:val="UpdateStyles"/>
    <w:docVar w:name="WAFER_20151125093620_GUID" w:val="9ab5c509-9f2f-446f-8a73-a9efcfe7a8fb"/>
    <w:docVar w:name="WAFER_20151126112939" w:val="UsedStyles"/>
    <w:docVar w:name="WAFER_20151126112939_GUID" w:val="0e5f98a0-2415-43d7-a989-ba26527c4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3126</Words>
  <Characters>15663</Characters>
  <Application>Microsoft Office Word</Application>
  <DocSecurity>0</DocSecurity>
  <Lines>460</Lines>
  <Paragraphs>298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2010 - 00-e0-02</dc:title>
  <dc:subject/>
  <dc:creator/>
  <cp:keywords/>
  <dc:description/>
  <cp:lastModifiedBy>svcMRProcess</cp:lastModifiedBy>
  <cp:revision>4</cp:revision>
  <cp:lastPrinted>2017-02-23T08:04:00Z</cp:lastPrinted>
  <dcterms:created xsi:type="dcterms:W3CDTF">2018-09-18T16:43:00Z</dcterms:created>
  <dcterms:modified xsi:type="dcterms:W3CDTF">2018-09-18T16:43:00Z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 2010 p 6247-58</vt:lpwstr>
  </property>
  <property fmtid="{D5CDD505-2E9C-101B-9397-08002B2CF9AE}" pid="3" name="OwlsUID">
    <vt:i4>43135</vt:i4>
  </property>
  <property fmtid="{D5CDD505-2E9C-101B-9397-08002B2CF9AE}" pid="4" name="DocumentType">
    <vt:lpwstr>Reg</vt:lpwstr>
  </property>
  <property fmtid="{D5CDD505-2E9C-101B-9397-08002B2CF9AE}" pid="5" name="AsAtDate">
    <vt:lpwstr>31 Dec 2013</vt:lpwstr>
  </property>
  <property fmtid="{D5CDD505-2E9C-101B-9397-08002B2CF9AE}" pid="6" name="Suffix">
    <vt:lpwstr>00-e0-02</vt:lpwstr>
  </property>
  <property fmtid="{D5CDD505-2E9C-101B-9397-08002B2CF9AE}" pid="7" name="Status">
    <vt:lpwstr>NIF</vt:lpwstr>
  </property>
  <property fmtid="{D5CDD505-2E9C-101B-9397-08002B2CF9AE}" pid="8" name="CommencementDate">
    <vt:lpwstr>20131231</vt:lpwstr>
  </property>
</Properties>
</file>