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_Toc464112951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_Toc464112952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_Toc464112953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_Toc464112954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_Toc464112955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_Toc464112956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_Toc464112957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_Toc464112958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_Toc464112959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_Toc464112960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_Toc464112961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_Toc464112962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_Toc464112963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_Toc464112964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_Toc464112965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_Toc464112966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_Toc464112967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_Toc464112968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_Toc464112969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_Toc464112970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_Toc464112971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_Toc464112972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_Toc464112973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_Toc464112974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_Toc464112975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_Toc464112988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_Toc464112989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_Toc464112991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46411295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6411295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464112953"/>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464112954"/>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7" w:name="_Toc464112955"/>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in Gazette 28 Dec 2007 p. 6408-9; amended in Gazette 18 Nov 2014 p. 4326.]</w:t>
      </w:r>
    </w:p>
    <w:p>
      <w:pPr>
        <w:pStyle w:val="Heading5"/>
      </w:pPr>
      <w:bookmarkStart w:id="8" w:name="_Toc464112956"/>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9" w:name="_Toc464112957"/>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0" w:name="_Toc464112958"/>
      <w:r>
        <w:rPr>
          <w:rStyle w:val="CharSectno"/>
        </w:rPr>
        <w:t>6AA</w:t>
      </w:r>
      <w:r>
        <w:t>.</w:t>
      </w:r>
      <w:r>
        <w:tab/>
        <w:t>Information to be included in appointment to act as settlement agent (Act s. 43(2)(a))</w:t>
      </w:r>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bookmarkEnd w:id="10"/>
    <w:p>
      <w:pPr>
        <w:pStyle w:val="Footnotesection"/>
      </w:pPr>
      <w:r>
        <w:tab/>
        <w:t>[Regulation 6AA inserted in Gazette 4 Oct 2016 p. 4235.]</w:t>
      </w:r>
    </w:p>
    <w:p>
      <w:pPr>
        <w:pStyle w:val="Heading5"/>
        <w:rPr>
          <w:snapToGrid w:val="0"/>
        </w:rPr>
      </w:pPr>
      <w:bookmarkStart w:id="11" w:name="_Toc464112959"/>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2" w:name="_Toc464112960"/>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3" w:name="_Toc464112961"/>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pageBreakBefore/>
        <w:spacing w:before="0"/>
        <w:rPr>
          <w:snapToGrid w:val="0"/>
        </w:rPr>
      </w:pPr>
      <w:bookmarkStart w:id="14" w:name="_Toc464112962"/>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5" w:name="_Toc464112963"/>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6" w:name="_Toc464112964"/>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7" w:name="_Toc464112965"/>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8" w:name="_Toc464112966"/>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ageBreakBefore/>
        <w:spacing w:before="0"/>
      </w:pPr>
      <w:bookmarkStart w:id="19" w:name="_Toc464112967"/>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20" w:name="_Toc464112968"/>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1" w:name="_Toc464112969"/>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2" w:name="_Toc464112970"/>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3" w:name="_Toc464112971"/>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4" w:name="_Toc464112972"/>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5" w:name="_Toc464112973"/>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6" w:name="_Toc464112974"/>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7" w:name="_Toc464112975"/>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pStyle w:val="Heading5"/>
      </w:pPr>
      <w:r>
        <w:rPr>
          <w:rStyle w:val="CharSectno"/>
        </w:rPr>
        <w:t>17</w:t>
      </w:r>
      <w:r>
        <w:t>.</w:t>
      </w:r>
      <w:r>
        <w:tab/>
        <w:t xml:space="preserve">Transitional provision for </w:t>
      </w:r>
      <w:r>
        <w:rPr>
          <w:i/>
        </w:rPr>
        <w:t>Settlement Agents Amendment Regulations 2016</w:t>
      </w:r>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in Gazette 4 Oct 2016 p. 4236.]</w:t>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 w:name="_Toc462759423"/>
      <w:bookmarkStart w:id="29" w:name="_Toc464112976"/>
      <w:r>
        <w:rPr>
          <w:rStyle w:val="CharSchNo"/>
        </w:rPr>
        <w:t>Schedule 1</w:t>
      </w:r>
      <w:r>
        <w:rPr>
          <w:rStyle w:val="CharSDivNo"/>
        </w:rPr>
        <w:t> </w:t>
      </w:r>
      <w:r>
        <w:t>—</w:t>
      </w:r>
      <w:r>
        <w:rPr>
          <w:rStyle w:val="CharSDivText"/>
        </w:rPr>
        <w:t> </w:t>
      </w:r>
      <w:r>
        <w:rPr>
          <w:rStyle w:val="CharSchText"/>
        </w:rPr>
        <w:t>Fees</w:t>
      </w:r>
      <w:bookmarkEnd w:id="28"/>
      <w:bookmarkEnd w:id="29"/>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$766.55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$1 003.05</w:t>
            </w:r>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$1 003.05</w:t>
            </w:r>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$633.55</w:t>
            </w:r>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$22.80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$163.00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$230.25</w:t>
            </w:r>
          </w:p>
        </w:tc>
      </w:tr>
    </w:tbl>
    <w:p>
      <w:pPr>
        <w:pStyle w:val="yFootnotesection"/>
      </w:pPr>
      <w:r>
        <w:rPr>
          <w:snapToGrid/>
        </w:rPr>
        <w:tab/>
        <w:t>[Schedule 1 inserted in Gazette 23 Jun 2015 p. 2186</w:t>
      </w:r>
      <w:r>
        <w:t>; amended in Gazette 3 Jun 2016 p. 1773</w:t>
      </w:r>
      <w:r>
        <w:rPr>
          <w:snapToGrid/>
        </w:rPr>
        <w:t>.]</w:t>
      </w:r>
    </w:p>
    <w:p>
      <w:pPr>
        <w:pStyle w:val="yScheduleHeading"/>
      </w:pPr>
      <w:bookmarkStart w:id="30" w:name="_Toc462759424"/>
      <w:bookmarkStart w:id="31" w:name="_Toc464112977"/>
      <w:r>
        <w:rPr>
          <w:rStyle w:val="CharSchNo"/>
        </w:rPr>
        <w:t>Schedule 1A</w:t>
      </w:r>
      <w:r>
        <w:rPr>
          <w:rStyle w:val="CharSDivNo"/>
        </w:rPr>
        <w:t> </w:t>
      </w:r>
      <w:r>
        <w:t>—</w:t>
      </w:r>
      <w:r>
        <w:rPr>
          <w:rStyle w:val="CharSDivText"/>
        </w:rPr>
        <w:t> </w:t>
      </w:r>
      <w:r>
        <w:rPr>
          <w:rStyle w:val="CharSchText"/>
        </w:rPr>
        <w:t>Professional development subjects</w:t>
      </w:r>
      <w:bookmarkEnd w:id="30"/>
      <w:bookmarkEnd w:id="31"/>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2" w:name="_Toc462759425"/>
      <w:bookmarkStart w:id="33" w:name="_Toc464112978"/>
      <w:r>
        <w:rPr>
          <w:rStyle w:val="CharSchNo"/>
        </w:rPr>
        <w:t>Schedule 2</w:t>
      </w:r>
      <w:r>
        <w:t> — </w:t>
      </w:r>
      <w:r>
        <w:rPr>
          <w:rStyle w:val="CharSchText"/>
        </w:rPr>
        <w:t>Notice under section 26A or 26B of the Act</w:t>
      </w:r>
      <w:bookmarkEnd w:id="32"/>
      <w:bookmarkEnd w:id="33"/>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4" w:name="_Toc462759426"/>
      <w:bookmarkStart w:id="35" w:name="_Toc464112979"/>
      <w:r>
        <w:rPr>
          <w:rStyle w:val="CharSchNo"/>
        </w:rPr>
        <w:t>Schedule 3</w:t>
      </w:r>
      <w:r>
        <w:t> — </w:t>
      </w:r>
      <w:r>
        <w:rPr>
          <w:rStyle w:val="CharSchText"/>
        </w:rPr>
        <w:t>Documents that a real estate settlement agent may draw or prepare</w:t>
      </w:r>
      <w:bookmarkEnd w:id="34"/>
      <w:bookmarkEnd w:id="35"/>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36" w:name="_Toc462759427"/>
      <w:bookmarkStart w:id="37" w:name="_Toc464112980"/>
      <w:r>
        <w:rPr>
          <w:rStyle w:val="CharSDivNo"/>
        </w:rPr>
        <w:t>Part A</w:t>
      </w:r>
      <w:r>
        <w:rPr>
          <w:snapToGrid w:val="0"/>
        </w:rPr>
        <w:t> — </w:t>
      </w:r>
      <w:r>
        <w:rPr>
          <w:rStyle w:val="CharSDivText"/>
        </w:rPr>
        <w:t>Offer and acceptance</w:t>
      </w:r>
      <w:bookmarkEnd w:id="36"/>
      <w:bookmarkEnd w:id="3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8" w:name="_Toc462759428"/>
      <w:bookmarkStart w:id="39" w:name="_Toc464112981"/>
      <w:r>
        <w:rPr>
          <w:rStyle w:val="CharSDivNo"/>
        </w:rPr>
        <w:t>Part B</w:t>
      </w:r>
      <w:r>
        <w:rPr>
          <w:snapToGrid w:val="0"/>
        </w:rPr>
        <w:t> — </w:t>
      </w:r>
      <w:r>
        <w:rPr>
          <w:rStyle w:val="CharSDivText"/>
        </w:rPr>
        <w:t>Requisitions on title</w:t>
      </w:r>
      <w:bookmarkEnd w:id="38"/>
      <w:bookmarkEnd w:id="3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40" w:name="_Toc462759429"/>
      <w:bookmarkStart w:id="41" w:name="_Toc464112982"/>
      <w:r>
        <w:rPr>
          <w:rStyle w:val="CharSDivNo"/>
        </w:rPr>
        <w:t>Part C</w:t>
      </w:r>
      <w:r>
        <w:rPr>
          <w:snapToGrid w:val="0"/>
        </w:rPr>
        <w:t> — </w:t>
      </w:r>
      <w:r>
        <w:rPr>
          <w:rStyle w:val="CharSDivText"/>
        </w:rPr>
        <w:t>Documents for registration or lodgement</w:t>
      </w:r>
      <w:bookmarkEnd w:id="40"/>
      <w:bookmarkEnd w:id="4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42" w:name="_Toc462759430"/>
      <w:bookmarkStart w:id="43" w:name="_Toc464112983"/>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42"/>
      <w:bookmarkEnd w:id="4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44" w:name="_Toc462759431"/>
      <w:bookmarkStart w:id="45" w:name="_Toc464112984"/>
      <w:r>
        <w:rPr>
          <w:rStyle w:val="CharSchNo"/>
        </w:rPr>
        <w:t>Schedule 5</w:t>
      </w:r>
      <w:r>
        <w:t> — </w:t>
      </w:r>
      <w:r>
        <w:rPr>
          <w:rStyle w:val="CharSchText"/>
        </w:rPr>
        <w:t>Prescribed offences and modified penalties</w:t>
      </w:r>
      <w:bookmarkEnd w:id="44"/>
      <w:bookmarkEnd w:id="45"/>
    </w:p>
    <w:p>
      <w:pPr>
        <w:pStyle w:val="yShoulderClause"/>
      </w:pPr>
      <w:r>
        <w:t>[r. 15]</w:t>
      </w:r>
    </w:p>
    <w:p>
      <w:pPr>
        <w:pStyle w:val="yFootnoteheading"/>
      </w:pPr>
      <w:r>
        <w:tab/>
        <w:t>[Heading inserted in Gazette 23 Dec 2008 p. 5470.]</w:t>
      </w:r>
    </w:p>
    <w:p>
      <w:pPr>
        <w:pStyle w:val="yHeading3"/>
      </w:pPr>
      <w:bookmarkStart w:id="46" w:name="_Toc462759432"/>
      <w:bookmarkStart w:id="47" w:name="_Toc464112985"/>
      <w:r>
        <w:rPr>
          <w:rStyle w:val="CharSDivNo"/>
        </w:rPr>
        <w:t>Part 1</w:t>
      </w:r>
      <w:r>
        <w:rPr>
          <w:b w:val="0"/>
        </w:rPr>
        <w:t> — </w:t>
      </w:r>
      <w:r>
        <w:rPr>
          <w:rStyle w:val="CharSDivText"/>
        </w:rPr>
        <w:t>Offences under section 65</w:t>
      </w:r>
      <w:bookmarkEnd w:id="46"/>
      <w:bookmarkEnd w:id="47"/>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8" w:name="_Toc462759433"/>
      <w:bookmarkStart w:id="49" w:name="_Toc464112986"/>
      <w:r>
        <w:rPr>
          <w:rStyle w:val="CharSDivNo"/>
        </w:rPr>
        <w:t>Part 2</w:t>
      </w:r>
      <w:r>
        <w:rPr>
          <w:b w:val="0"/>
        </w:rPr>
        <w:t> — </w:t>
      </w:r>
      <w:r>
        <w:rPr>
          <w:rStyle w:val="CharSDivText"/>
        </w:rPr>
        <w:t>Offences under section 120</w:t>
      </w:r>
      <w:bookmarkEnd w:id="48"/>
      <w:bookmarkEnd w:id="49"/>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50" w:name="_Toc462759434"/>
      <w:bookmarkStart w:id="51" w:name="_Toc464112987"/>
      <w:r>
        <w:rPr>
          <w:rStyle w:val="CharSchNo"/>
        </w:rPr>
        <w:t>Schedule 6</w:t>
      </w:r>
      <w:r>
        <w:t> — </w:t>
      </w:r>
      <w:r>
        <w:rPr>
          <w:rStyle w:val="CharSchText"/>
        </w:rPr>
        <w:t>Forms</w:t>
      </w:r>
      <w:bookmarkEnd w:id="50"/>
      <w:bookmarkEnd w:id="51"/>
    </w:p>
    <w:p>
      <w:pPr>
        <w:pStyle w:val="yShoulderClause"/>
        <w:spacing w:before="60"/>
      </w:pPr>
      <w:r>
        <w:t>[r. 16]</w:t>
      </w:r>
    </w:p>
    <w:p>
      <w:pPr>
        <w:pStyle w:val="yFootnoteheading"/>
        <w:spacing w:before="60"/>
      </w:pPr>
      <w:r>
        <w:tab/>
        <w:t>[Heading inserted in Gazette 22 Sep 2006 p. 4132.]</w:t>
      </w:r>
    </w:p>
    <w:p>
      <w:pPr>
        <w:pStyle w:val="yHeading5"/>
        <w:spacing w:after="40"/>
        <w:outlineLvl w:val="9"/>
        <w:rPr>
          <w:szCs w:val="22"/>
        </w:rPr>
      </w:pPr>
      <w:bookmarkStart w:id="52" w:name="_Toc464112988"/>
      <w:r>
        <w:rPr>
          <w:rStyle w:val="CharSDivNo"/>
          <w:sz w:val="22"/>
          <w:szCs w:val="22"/>
        </w:rPr>
        <w:t>Form 1</w:t>
      </w:r>
      <w:r>
        <w:rPr>
          <w:szCs w:val="22"/>
        </w:rPr>
        <w:t> — </w:t>
      </w:r>
      <w:r>
        <w:rPr>
          <w:rStyle w:val="CharSDivText"/>
          <w:sz w:val="22"/>
          <w:szCs w:val="22"/>
        </w:rPr>
        <w:t>Infringement notice</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53" w:name="_Toc464112989"/>
      <w:r>
        <w:rPr>
          <w:rStyle w:val="CharSDivNo"/>
          <w:sz w:val="22"/>
          <w:szCs w:val="22"/>
        </w:rPr>
        <w:t>Form 2</w:t>
      </w:r>
      <w:r>
        <w:t> — </w:t>
      </w:r>
      <w:r>
        <w:rPr>
          <w:rStyle w:val="CharSDivText"/>
          <w:sz w:val="22"/>
          <w:szCs w:val="22"/>
        </w:rPr>
        <w:t>Withdrawal of infringement notice</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5" w:name="_Toc462759437"/>
      <w:bookmarkStart w:id="56" w:name="_Toc464112990"/>
      <w:r>
        <w:t>Notes</w:t>
      </w:r>
      <w:bookmarkEnd w:id="55"/>
      <w:bookmarkEnd w:id="56"/>
    </w:p>
    <w:p>
      <w:pPr>
        <w:pStyle w:val="nSubsection"/>
      </w:pPr>
      <w:r>
        <w:rPr>
          <w:vertAlign w:val="superscript"/>
        </w:rPr>
        <w:t>1</w:t>
      </w:r>
      <w:r>
        <w:tab/>
        <w:t xml:space="preserve">This reprint is a compilation as at 14 October 2016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57" w:name="_Toc464112991"/>
      <w: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shd w:val="clear" w:color="auto" w:fill="auto"/>
          </w:tcPr>
          <w:p>
            <w:pPr>
              <w:pStyle w:val="nTable"/>
              <w:spacing w:after="40"/>
              <w:rPr>
                <w:i/>
                <w:szCs w:val="19"/>
              </w:rPr>
            </w:pPr>
            <w:r>
              <w:rPr>
                <w:i/>
                <w:szCs w:val="19"/>
              </w:rPr>
              <w:t>Settlement Agents Amendment Regulations 2016</w:t>
            </w:r>
          </w:p>
        </w:tc>
        <w:tc>
          <w:tcPr>
            <w:tcW w:w="1276" w:type="dxa"/>
            <w:shd w:val="clear" w:color="auto" w:fill="auto"/>
          </w:tcPr>
          <w:p>
            <w:pPr>
              <w:pStyle w:val="nTable"/>
              <w:spacing w:after="40"/>
              <w:rPr>
                <w:szCs w:val="19"/>
              </w:rPr>
            </w:pPr>
            <w:r>
              <w:rPr>
                <w:szCs w:val="19"/>
              </w:rP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Settlement Agents Regulations 1982</w:t>
            </w:r>
            <w:r>
              <w:rPr>
                <w:rFonts w:ascii="Times" w:hAnsi="Times"/>
                <w:b/>
                <w:bCs/>
                <w:snapToGrid w:val="0"/>
                <w:spacing w:val="-2"/>
              </w:rPr>
              <w:t xml:space="preserve"> as at 14 Oct 2016</w:t>
            </w:r>
            <w:r>
              <w:rPr>
                <w:rFonts w:ascii="Times" w:hAnsi="Times"/>
                <w:bCs/>
                <w:snapToGrid w:val="0"/>
                <w:spacing w:val="-2"/>
              </w:rPr>
              <w:t xml:space="preserve"> (includes amendments listed above)</w:t>
            </w:r>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9" w:name="_Toc462759439"/>
      <w:bookmarkStart w:id="60" w:name="_Toc464112992"/>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716584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8498</Words>
  <Characters>41050</Characters>
  <Application>Microsoft Office Word</Application>
  <DocSecurity>0</DocSecurity>
  <Lines>1466</Lines>
  <Paragraphs>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1982 - 07-a0-00</dc:title>
  <dc:subject/>
  <dc:creator/>
  <cp:keywords/>
  <dc:description/>
  <cp:lastModifiedBy>svcMRProcess</cp:lastModifiedBy>
  <cp:revision>4</cp:revision>
  <cp:lastPrinted>2016-11-04T01:14:00Z</cp:lastPrinted>
  <dcterms:created xsi:type="dcterms:W3CDTF">2018-09-16T00:28:00Z</dcterms:created>
  <dcterms:modified xsi:type="dcterms:W3CDTF">2018-09-16T00:28:00Z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AsAtDate">
    <vt:lpwstr>14 Oct 2016</vt:lpwstr>
  </property>
  <property fmtid="{D5CDD505-2E9C-101B-9397-08002B2CF9AE}" pid="6" name="Suffix">
    <vt:lpwstr>07-a0-00</vt:lpwstr>
  </property>
  <property fmtid="{D5CDD505-2E9C-101B-9397-08002B2CF9AE}" pid="7" name="ReprintedAsAt">
    <vt:filetime>2016-10-13T16:00:00Z</vt:filetime>
  </property>
  <property fmtid="{D5CDD505-2E9C-101B-9397-08002B2CF9AE}" pid="8" name="ReprintNo">
    <vt:lpwstr>7</vt:lpwstr>
  </property>
  <property fmtid="{D5CDD505-2E9C-101B-9397-08002B2CF9AE}" pid="9" name="CommencementDate">
    <vt:lpwstr>20161014</vt:lpwstr>
  </property>
</Properties>
</file>