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Royal Perth Hospital Protection Act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Royal Perth Hospital Protection Act 2016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r>
      <w:r>
        <w:rPr>
          <w:snapToGrid w:val="0"/>
        </w:rPr>
        <w:t>Short title</w:t>
      </w:r>
      <w:r>
        <w:tab/>
      </w:r>
      <w:r>
        <w:fldChar w:fldCharType="begin"/>
      </w:r>
      <w:r>
        <w:instrText xml:space="preserve"> PAGEREF _Toc536013426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_Toc536013427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Royal Perth Hospital</w:t>
      </w:r>
      <w:r>
        <w:tab/>
      </w:r>
      <w:r>
        <w:fldChar w:fldCharType="begin"/>
      </w:r>
      <w:r>
        <w:instrText xml:space="preserve"> PAGEREF _Toc536013428 \h </w:instrText>
      </w:r>
      <w:r>
        <w:fldChar w:fldCharType="separate"/>
      </w:r>
      <w:r>
        <w:t>1</w:t>
      </w:r>
      <w:r>
        <w:fldChar w:fldCharType="end"/>
      </w:r>
    </w:p>
    <w:p>
      <w:pPr>
        <w:pStyle w:val="TOC8"/>
        <w:rPr>
          <w:rFonts w:asciiTheme="minorHAnsi" w:eastAsiaTheme="minorEastAsia" w:hAnsiTheme="minorHAnsi" w:cstheme="minorBidi"/>
          <w:szCs w:val="22"/>
        </w:rPr>
      </w:pPr>
      <w:r>
        <w:t>4.</w:t>
      </w:r>
      <w:r>
        <w:tab/>
        <w:t>Operation of Act</w:t>
      </w:r>
      <w:r>
        <w:tab/>
      </w:r>
      <w:r>
        <w:fldChar w:fldCharType="begin"/>
      </w:r>
      <w:r>
        <w:instrText xml:space="preserve"> PAGEREF _Toc536013429 \h </w:instrText>
      </w:r>
      <w:r>
        <w:fldChar w:fldCharType="separate"/>
      </w:r>
      <w:r>
        <w:t>1</w:t>
      </w:r>
      <w:r>
        <w:fldChar w:fldCharType="end"/>
      </w:r>
    </w:p>
    <w:p>
      <w:pPr>
        <w:pStyle w:val="TOC8"/>
        <w:rPr>
          <w:rFonts w:asciiTheme="minorHAnsi" w:eastAsiaTheme="minorEastAsia" w:hAnsiTheme="minorHAnsi" w:cstheme="minorBidi"/>
          <w:szCs w:val="22"/>
        </w:rPr>
      </w:pPr>
      <w:r>
        <w:t>5.</w:t>
      </w:r>
      <w:r>
        <w:tab/>
        <w:t>Continuation of Royal Perth Hospital</w:t>
      </w:r>
      <w:r>
        <w:tab/>
      </w:r>
      <w:r>
        <w:fldChar w:fldCharType="begin"/>
      </w:r>
      <w:r>
        <w:instrText xml:space="preserve"> PAGEREF _Toc536013430 \h </w:instrText>
      </w:r>
      <w:r>
        <w:fldChar w:fldCharType="separate"/>
      </w:r>
      <w:r>
        <w:t>1</w:t>
      </w:r>
      <w:r>
        <w:fldChar w:fldCharType="end"/>
      </w:r>
    </w:p>
    <w:p>
      <w:pPr>
        <w:pStyle w:val="TOC8"/>
        <w:rPr>
          <w:rFonts w:asciiTheme="minorHAnsi" w:eastAsiaTheme="minorEastAsia" w:hAnsiTheme="minorHAnsi" w:cstheme="minorBidi"/>
          <w:szCs w:val="22"/>
        </w:rPr>
      </w:pPr>
      <w:r>
        <w:t>6.</w:t>
      </w:r>
      <w:r>
        <w:tab/>
        <w:t>Services to be provided</w:t>
      </w:r>
      <w:r>
        <w:tab/>
      </w:r>
      <w:r>
        <w:fldChar w:fldCharType="begin"/>
      </w:r>
      <w:r>
        <w:instrText xml:space="preserve"> PAGEREF _Toc536013431 \h </w:instrText>
      </w:r>
      <w:r>
        <w:fldChar w:fldCharType="separate"/>
      </w:r>
      <w:r>
        <w:t>2</w:t>
      </w:r>
      <w:r>
        <w:fldChar w:fldCharType="end"/>
      </w:r>
    </w:p>
    <w:p>
      <w:pPr>
        <w:pStyle w:val="TOC8"/>
        <w:rPr>
          <w:rFonts w:asciiTheme="minorHAnsi" w:eastAsiaTheme="minorEastAsia" w:hAnsiTheme="minorHAnsi" w:cstheme="minorBidi"/>
          <w:szCs w:val="22"/>
        </w:rPr>
      </w:pPr>
      <w:r>
        <w:t>7.</w:t>
      </w:r>
      <w:r>
        <w:tab/>
        <w:t>Development of Royal Perth Hospital</w:t>
      </w:r>
      <w:r>
        <w:tab/>
      </w:r>
      <w:r>
        <w:fldChar w:fldCharType="begin"/>
      </w:r>
      <w:r>
        <w:instrText xml:space="preserve"> PAGEREF _Toc536013432 \h </w:instrText>
      </w:r>
      <w:r>
        <w:fldChar w:fldCharType="separate"/>
      </w:r>
      <w:r>
        <w:t>2</w:t>
      </w:r>
      <w:r>
        <w:fldChar w:fldCharType="end"/>
      </w:r>
    </w:p>
    <w:p>
      <w:pPr>
        <w:pStyle w:val="TOC8"/>
        <w:rPr>
          <w:rFonts w:asciiTheme="minorHAnsi" w:eastAsiaTheme="minorEastAsia" w:hAnsiTheme="minorHAnsi" w:cstheme="minorBidi"/>
          <w:szCs w:val="22"/>
        </w:rPr>
      </w:pPr>
      <w:r>
        <w:t>8.</w:t>
      </w:r>
      <w:r>
        <w:tab/>
        <w:t>Name of Royal Perth Hospital</w:t>
      </w:r>
      <w:r>
        <w:tab/>
      </w:r>
      <w:r>
        <w:fldChar w:fldCharType="begin"/>
      </w:r>
      <w:r>
        <w:instrText xml:space="preserve"> PAGEREF _Toc536013433 \h </w:instrText>
      </w:r>
      <w:r>
        <w:fldChar w:fldCharType="separate"/>
      </w:r>
      <w:r>
        <w:t>2</w:t>
      </w:r>
      <w:r>
        <w:fldChar w:fldCharType="end"/>
      </w:r>
    </w:p>
    <w:p>
      <w:pPr>
        <w:pStyle w:val="TOC8"/>
        <w:rPr>
          <w:rFonts w:asciiTheme="minorHAnsi" w:eastAsiaTheme="minorEastAsia" w:hAnsiTheme="minorHAnsi" w:cstheme="minorBidi"/>
          <w:szCs w:val="22"/>
        </w:rPr>
      </w:pPr>
      <w:r>
        <w:t>9.</w:t>
      </w:r>
      <w:r>
        <w:tab/>
        <w:t>Regulations</w:t>
      </w:r>
      <w:r>
        <w:tab/>
      </w:r>
      <w:r>
        <w:fldChar w:fldCharType="begin"/>
      </w:r>
      <w:r>
        <w:instrText xml:space="preserve"> PAGEREF _Toc536013434 \h </w:instrText>
      </w:r>
      <w:r>
        <w:fldChar w:fldCharType="separate"/>
      </w:r>
      <w:r>
        <w:t>2</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_Toc536013436 \h </w:instrText>
      </w:r>
      <w:r>
        <w:fldChar w:fldCharType="separate"/>
      </w:r>
      <w:r>
        <w:t>3</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61312" behindDoc="0" locked="0" layoutInCell="1" allowOverlap="1">
            <wp:simplePos x="0" y="0"/>
            <wp:positionH relativeFrom="page">
              <wp:posOffset>3455670</wp:posOffset>
            </wp:positionH>
            <wp:positionV relativeFrom="page">
              <wp:posOffset>827405</wp:posOffset>
            </wp:positionV>
            <wp:extent cx="648000" cy="42291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8000" cy="422910"/>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Royal Perth Hospital Protection Act 2016</w:t>
      </w:r>
    </w:p>
    <w:p>
      <w:pPr>
        <w:pStyle w:val="LongTitle"/>
        <w:suppressLineNumbers/>
        <w:rPr>
          <w:snapToGrid w:val="0"/>
        </w:rPr>
      </w:pPr>
      <w:bookmarkStart w:id="3" w:name="BillCited"/>
      <w:bookmarkEnd w:id="3"/>
      <w:r>
        <w:rPr>
          <w:snapToGrid w:val="0"/>
        </w:rPr>
        <w:t>An Act to provide for the continued operation at Royal Perth Hospital.</w:t>
      </w:r>
    </w:p>
    <w:p>
      <w:pPr>
        <w:pStyle w:val="Enactment"/>
      </w:pPr>
      <w:r>
        <w:rPr>
          <w:snapToGrid w:val="0"/>
        </w:rPr>
        <w:t>The Parliament of Western Australia enacts as follows:</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docGrid w:linePitch="326"/>
        </w:sectPr>
      </w:pPr>
    </w:p>
    <w:p>
      <w:pPr>
        <w:pStyle w:val="Heading5"/>
      </w:pPr>
      <w:bookmarkStart w:id="4" w:name="_Toc536013426"/>
      <w:r>
        <w:rPr>
          <w:rStyle w:val="CharSectno"/>
        </w:rPr>
        <w:t>1</w:t>
      </w:r>
      <w:r>
        <w:t>.</w:t>
      </w:r>
      <w:r>
        <w:tab/>
      </w:r>
      <w:r>
        <w:rPr>
          <w:snapToGrid w:val="0"/>
        </w:rPr>
        <w:t>Short title</w:t>
      </w:r>
      <w:bookmarkEnd w:id="4"/>
    </w:p>
    <w:p>
      <w:pPr>
        <w:pStyle w:val="Subsection"/>
      </w:pPr>
      <w:r>
        <w:tab/>
      </w:r>
      <w:r>
        <w:tab/>
        <w:t>This</w:t>
      </w:r>
      <w:r>
        <w:rPr>
          <w:snapToGrid w:val="0"/>
        </w:rPr>
        <w:t xml:space="preserve"> is the</w:t>
      </w:r>
      <w:r>
        <w:rPr>
          <w:i/>
          <w:snapToGrid w:val="0"/>
        </w:rPr>
        <w:t xml:space="preserve"> Royal Perth Hospital Protection Act 2016</w:t>
      </w:r>
      <w:r>
        <w:rPr>
          <w:snapToGrid w:val="0"/>
        </w:rPr>
        <w:t>.</w:t>
      </w:r>
    </w:p>
    <w:p>
      <w:pPr>
        <w:pStyle w:val="Heading5"/>
        <w:rPr>
          <w:snapToGrid w:val="0"/>
        </w:rPr>
      </w:pPr>
      <w:bookmarkStart w:id="5" w:name="_Toc536013427"/>
      <w:r>
        <w:rPr>
          <w:rStyle w:val="CharSectno"/>
        </w:rPr>
        <w:t>2</w:t>
      </w:r>
      <w:r>
        <w:rPr>
          <w:snapToGrid w:val="0"/>
        </w:rPr>
        <w:t>.</w:t>
      </w:r>
      <w:r>
        <w:rPr>
          <w:snapToGrid w:val="0"/>
        </w:rPr>
        <w:tab/>
      </w:r>
      <w:r>
        <w:t>Commencement</w:t>
      </w:r>
      <w:bookmarkEnd w:id="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rPr>
          <w:snapToGrid w:val="0"/>
        </w:rPr>
      </w:pPr>
      <w:bookmarkStart w:id="6" w:name="_Toc536013428"/>
      <w:r>
        <w:rPr>
          <w:rStyle w:val="CharSectno"/>
        </w:rPr>
        <w:t>3</w:t>
      </w:r>
      <w:r>
        <w:t>.</w:t>
      </w:r>
      <w:r>
        <w:tab/>
        <w:t>Term used: Royal Perth Hospital</w:t>
      </w:r>
      <w:bookmarkEnd w:id="6"/>
    </w:p>
    <w:p>
      <w:pPr>
        <w:pStyle w:val="Subsection"/>
      </w:pPr>
      <w:r>
        <w:tab/>
      </w:r>
      <w:r>
        <w:tab/>
        <w:t>In this Act —</w:t>
      </w:r>
    </w:p>
    <w:p>
      <w:pPr>
        <w:pStyle w:val="Defstart"/>
      </w:pPr>
      <w:r>
        <w:tab/>
      </w:r>
      <w:r>
        <w:rPr>
          <w:rStyle w:val="CharDefText"/>
        </w:rPr>
        <w:t>Royal Perth Hospital</w:t>
      </w:r>
      <w:r>
        <w:t xml:space="preserve"> means that part of the public hospital of that name situated on the land being any of the following —</w:t>
      </w:r>
    </w:p>
    <w:p>
      <w:pPr>
        <w:pStyle w:val="Defpara"/>
      </w:pPr>
      <w:r>
        <w:tab/>
        <w:t>(a)</w:t>
      </w:r>
      <w:r>
        <w:tab/>
        <w:t>Lot 915 on Deposited Plan 183229, being a portion of the land the subject of Certificate of Title Volume 2726 Folio 337;</w:t>
      </w:r>
    </w:p>
    <w:p>
      <w:pPr>
        <w:pStyle w:val="Defpara"/>
      </w:pPr>
      <w:r>
        <w:tab/>
        <w:t>(b)</w:t>
      </w:r>
      <w:r>
        <w:tab/>
        <w:t>Lot 916 on Deposited Plan 183230, being a portion of the land the subject of Certificate of Title Volume 2726 Folio 337;</w:t>
      </w:r>
    </w:p>
    <w:p>
      <w:pPr>
        <w:pStyle w:val="Defpara"/>
      </w:pPr>
      <w:r>
        <w:tab/>
        <w:t>(c)</w:t>
      </w:r>
      <w:r>
        <w:tab/>
        <w:t>Lot 500 on Deposited Plan 58617, being a portion of the land the subject of Certificate of Title Volume 2726 Folio 339.</w:t>
      </w:r>
    </w:p>
    <w:p>
      <w:pPr>
        <w:pStyle w:val="Heading5"/>
      </w:pPr>
      <w:bookmarkStart w:id="7" w:name="_Toc536013429"/>
      <w:r>
        <w:rPr>
          <w:rStyle w:val="CharSectno"/>
        </w:rPr>
        <w:t>4</w:t>
      </w:r>
      <w:r>
        <w:t>.</w:t>
      </w:r>
      <w:r>
        <w:tab/>
        <w:t>Operation of Act</w:t>
      </w:r>
      <w:bookmarkEnd w:id="7"/>
    </w:p>
    <w:p>
      <w:pPr>
        <w:pStyle w:val="Subsection"/>
      </w:pPr>
      <w:r>
        <w:tab/>
      </w:r>
      <w:r>
        <w:tab/>
        <w:t xml:space="preserve">This Act has effect despite any provision of the </w:t>
      </w:r>
      <w:r>
        <w:rPr>
          <w:i/>
        </w:rPr>
        <w:t>Health Services Act 2016</w:t>
      </w:r>
      <w:r>
        <w:t>.</w:t>
      </w:r>
    </w:p>
    <w:p>
      <w:pPr>
        <w:pStyle w:val="Heading5"/>
      </w:pPr>
      <w:bookmarkStart w:id="8" w:name="_Toc536013430"/>
      <w:r>
        <w:rPr>
          <w:rStyle w:val="CharSectno"/>
        </w:rPr>
        <w:t>5</w:t>
      </w:r>
      <w:r>
        <w:t>.</w:t>
      </w:r>
      <w:r>
        <w:tab/>
        <w:t>Continuation of Royal Perth Hospital</w:t>
      </w:r>
      <w:bookmarkEnd w:id="8"/>
    </w:p>
    <w:p>
      <w:pPr>
        <w:pStyle w:val="Subsection"/>
      </w:pPr>
      <w:r>
        <w:tab/>
      </w:r>
      <w:r>
        <w:tab/>
        <w:t>Royal Perth Hospital is to continue to operate as a public hospital unless a resolution approving the closure of the hospital has been passed by each House of Parliament.</w:t>
      </w:r>
    </w:p>
    <w:p/>
    <w:p>
      <w:pPr>
        <w:pStyle w:val="Heading5"/>
      </w:pPr>
      <w:bookmarkStart w:id="9" w:name="_Toc536013431"/>
      <w:r>
        <w:rPr>
          <w:rStyle w:val="CharSectno"/>
        </w:rPr>
        <w:t>6</w:t>
      </w:r>
      <w:r>
        <w:t>.</w:t>
      </w:r>
      <w:r>
        <w:tab/>
        <w:t>Services to be provided</w:t>
      </w:r>
      <w:bookmarkEnd w:id="9"/>
    </w:p>
    <w:p>
      <w:pPr>
        <w:pStyle w:val="Subsection"/>
      </w:pPr>
      <w:r>
        <w:tab/>
      </w:r>
      <w:r>
        <w:tab/>
        <w:t xml:space="preserve">For the purpose of maintaining Royal Perth Hospital as a tertiary hospital, the entity for the time being having management and control of Royal Perth Hospital under the </w:t>
      </w:r>
      <w:r>
        <w:rPr>
          <w:i/>
        </w:rPr>
        <w:t>Health Services Act 2016</w:t>
      </w:r>
      <w:r>
        <w:t xml:space="preserve"> is to provide the prescribed medical and support services at the hospital.</w:t>
      </w:r>
    </w:p>
    <w:p>
      <w:pPr>
        <w:pStyle w:val="Heading5"/>
      </w:pPr>
      <w:bookmarkStart w:id="10" w:name="_Toc536013432"/>
      <w:r>
        <w:rPr>
          <w:rStyle w:val="CharSectno"/>
        </w:rPr>
        <w:t>7</w:t>
      </w:r>
      <w:r>
        <w:t>.</w:t>
      </w:r>
      <w:r>
        <w:tab/>
        <w:t>Development of Royal Perth Hospital</w:t>
      </w:r>
      <w:bookmarkEnd w:id="10"/>
    </w:p>
    <w:p>
      <w:pPr>
        <w:pStyle w:val="Subsection"/>
      </w:pPr>
      <w:r>
        <w:tab/>
        <w:t>(1)</w:t>
      </w:r>
      <w:r>
        <w:tab/>
        <w:t>To the extent that, because of development on the site of Royal Perth Hospital, it is not practicable for a part of the hospital to operate or to provide a service referred to in section 6, sections 5 and 6 have no effect while the development is carried out.</w:t>
      </w:r>
    </w:p>
    <w:p>
      <w:pPr>
        <w:pStyle w:val="Subsection"/>
      </w:pPr>
      <w:r>
        <w:tab/>
        <w:t>(2)</w:t>
      </w:r>
      <w:r>
        <w:tab/>
        <w:t>In this section —</w:t>
      </w:r>
    </w:p>
    <w:p>
      <w:pPr>
        <w:pStyle w:val="Defstart"/>
      </w:pPr>
      <w:r>
        <w:tab/>
      </w:r>
      <w:r>
        <w:rPr>
          <w:rStyle w:val="CharDefText"/>
        </w:rPr>
        <w:t>development</w:t>
      </w:r>
      <w:r>
        <w:t xml:space="preserve"> means development within the meaning given in the </w:t>
      </w:r>
      <w:r>
        <w:rPr>
          <w:i/>
        </w:rPr>
        <w:t>Planning and Development Act 2005</w:t>
      </w:r>
      <w:r>
        <w:t xml:space="preserve"> section 4.</w:t>
      </w:r>
    </w:p>
    <w:p>
      <w:pPr>
        <w:pStyle w:val="Heading5"/>
      </w:pPr>
      <w:bookmarkStart w:id="11" w:name="_Toc536013433"/>
      <w:r>
        <w:rPr>
          <w:rStyle w:val="CharSectno"/>
        </w:rPr>
        <w:t>8</w:t>
      </w:r>
      <w:r>
        <w:t>.</w:t>
      </w:r>
      <w:r>
        <w:tab/>
        <w:t>Name of Royal Perth Hospital</w:t>
      </w:r>
      <w:bookmarkEnd w:id="11"/>
    </w:p>
    <w:p>
      <w:pPr>
        <w:pStyle w:val="Subsection"/>
      </w:pPr>
      <w:r>
        <w:tab/>
      </w:r>
      <w:r>
        <w:tab/>
        <w:t>The name of Royal Perth Hospital is not to be changed unless a resolution approving the change has been passed by each House of Parliament.</w:t>
      </w:r>
    </w:p>
    <w:p>
      <w:pPr>
        <w:pStyle w:val="Heading5"/>
      </w:pPr>
      <w:bookmarkStart w:id="12" w:name="_Toc536013434"/>
      <w:r>
        <w:rPr>
          <w:rStyle w:val="CharSectno"/>
        </w:rPr>
        <w:t>9</w:t>
      </w:r>
      <w:r>
        <w:t>.</w:t>
      </w:r>
      <w:r>
        <w:tab/>
        <w:t>Regulations</w:t>
      </w:r>
      <w:bookmarkEnd w:id="1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pgNumType w:start="1"/>
          <w:cols w:space="720"/>
          <w:noEndnote/>
          <w:docGrid w:linePitch="326"/>
        </w:sectPr>
      </w:pPr>
    </w:p>
    <w:p>
      <w:pPr>
        <w:pStyle w:val="nHeading2"/>
      </w:pPr>
      <w:bookmarkStart w:id="13" w:name="_Toc536013435"/>
      <w:r>
        <w:t>Notes</w:t>
      </w:r>
      <w:bookmarkEnd w:id="13"/>
    </w:p>
    <w:p>
      <w:pPr>
        <w:pStyle w:val="nSubsection"/>
      </w:pPr>
      <w:r>
        <w:rPr>
          <w:vertAlign w:val="superscript"/>
        </w:rPr>
        <w:t>1</w:t>
      </w:r>
      <w:r>
        <w:tab/>
        <w:t xml:space="preserve">This is a compilation of the </w:t>
      </w:r>
      <w:r>
        <w:rPr>
          <w:i/>
          <w:noProof/>
        </w:rPr>
        <w:t>Royal Perth Hospital Protection Act 2016</w:t>
      </w:r>
      <w:r>
        <w:t xml:space="preserve"> and includes the amendments made by the other written laws referred to in the following table.</w:t>
      </w:r>
    </w:p>
    <w:p>
      <w:pPr>
        <w:pStyle w:val="nHeading3"/>
        <w:rPr>
          <w:snapToGrid w:val="0"/>
        </w:rPr>
      </w:pPr>
      <w:bookmarkStart w:id="14" w:name="_Toc536013436"/>
      <w:r>
        <w:t>Compilation table</w:t>
      </w:r>
      <w:bookmarkEnd w:id="14"/>
    </w:p>
    <w:tbl>
      <w:tblPr>
        <w:tblW w:w="7087" w:type="dxa"/>
        <w:tblInd w:w="42" w:type="dxa"/>
        <w:tblLayout w:type="fixed"/>
        <w:tblCellMar>
          <w:left w:w="56" w:type="dxa"/>
          <w:right w:w="56" w:type="dxa"/>
        </w:tblCellMar>
        <w:tblLook w:val="0000" w:firstRow="0" w:lastRow="0" w:firstColumn="0" w:lastColumn="0" w:noHBand="0" w:noVBand="0"/>
      </w:tblPr>
      <w:tblGrid>
        <w:gridCol w:w="2267"/>
        <w:gridCol w:w="1132"/>
        <w:gridCol w:w="1132"/>
        <w:gridCol w:w="2556"/>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2"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2" w:type="dxa"/>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bottom w:val="single" w:sz="8" w:space="0" w:color="auto"/>
            </w:tcBorders>
          </w:tcPr>
          <w:p>
            <w:pPr>
              <w:pStyle w:val="nTable"/>
              <w:spacing w:after="40"/>
              <w:ind w:right="113"/>
              <w:rPr>
                <w:iCs/>
                <w:vertAlign w:val="superscript"/>
              </w:rPr>
            </w:pPr>
            <w:r>
              <w:rPr>
                <w:i/>
                <w:noProof/>
              </w:rPr>
              <w:t>Royal Perth Hospital Protection Act 2016</w:t>
            </w:r>
          </w:p>
        </w:tc>
        <w:tc>
          <w:tcPr>
            <w:tcW w:w="1132" w:type="dxa"/>
            <w:tcBorders>
              <w:top w:val="single" w:sz="8" w:space="0" w:color="auto"/>
              <w:bottom w:val="single" w:sz="8" w:space="0" w:color="auto"/>
            </w:tcBorders>
          </w:tcPr>
          <w:p>
            <w:pPr>
              <w:pStyle w:val="nTable"/>
              <w:spacing w:after="40"/>
            </w:pPr>
            <w:r>
              <w:t>37 of 2016</w:t>
            </w:r>
          </w:p>
        </w:tc>
        <w:tc>
          <w:tcPr>
            <w:tcW w:w="1132" w:type="dxa"/>
            <w:tcBorders>
              <w:top w:val="single" w:sz="8" w:space="0" w:color="auto"/>
              <w:bottom w:val="single" w:sz="8" w:space="0" w:color="auto"/>
            </w:tcBorders>
          </w:tcPr>
          <w:p>
            <w:pPr>
              <w:pStyle w:val="nTable"/>
              <w:spacing w:after="40"/>
            </w:pPr>
            <w:r>
              <w:t>16 Nov 2016</w:t>
            </w:r>
          </w:p>
        </w:tc>
        <w:tc>
          <w:tcPr>
            <w:tcW w:w="2556" w:type="dxa"/>
            <w:tcBorders>
              <w:top w:val="single" w:sz="8" w:space="0" w:color="auto"/>
              <w:bottom w:val="single" w:sz="8" w:space="0" w:color="auto"/>
            </w:tcBorders>
          </w:tcPr>
          <w:p>
            <w:pPr>
              <w:pStyle w:val="nTable"/>
              <w:spacing w:after="40"/>
            </w:pPr>
            <w:r>
              <w:t>s. 1 and 2: 16 Nov 2016 (see s. 2(a));</w:t>
            </w:r>
            <w:r>
              <w:br/>
              <w:t>Act other than s. 1 and 2: 17 Nov 2016 (see s. 2(b))</w:t>
            </w:r>
          </w:p>
        </w:tc>
      </w:tr>
    </w:tbl>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16" w:name="_Toc536013437"/>
      <w:r>
        <w:rPr>
          <w:sz w:val="28"/>
        </w:rPr>
        <w:t>Defined terms</w:t>
      </w:r>
      <w:bookmarkEnd w:id="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development</w:t>
      </w:r>
      <w:r>
        <w:tab/>
        <w:t>7(2)</w:t>
      </w:r>
    </w:p>
    <w:p>
      <w:pPr>
        <w:pStyle w:val="DefinedTerms"/>
      </w:pPr>
      <w:r>
        <w:t>Royal Perth Hospital</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Nov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Nov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04"/>
    </w:tblGrid>
    <w:tr>
      <w:trPr>
        <w:cantSplit/>
      </w:trPr>
      <w:tc>
        <w:tcPr>
          <w:tcW w:w="7152" w:type="dxa"/>
          <w:gridSpan w:val="2"/>
        </w:tcPr>
        <w:p>
          <w:pPr>
            <w:pStyle w:val="Header"/>
          </w:pPr>
          <w:r>
            <w:rPr>
              <w:b/>
              <w:i/>
            </w:rPr>
            <w:fldChar w:fldCharType="begin"/>
          </w:r>
          <w:r>
            <w:rPr>
              <w:b/>
              <w:i/>
            </w:rPr>
            <w:instrText xml:space="preserve"> Styleref "Name of Act/Reg" </w:instrText>
          </w:r>
          <w:r>
            <w:rPr>
              <w:b/>
              <w:i/>
            </w:rPr>
            <w:fldChar w:fldCharType="separate"/>
          </w:r>
          <w:r>
            <w:rPr>
              <w:b/>
              <w:i/>
            </w:rPr>
            <w:t>Royal Perth Hospital Protection Act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604"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604" w:type="dxa"/>
        </w:tcPr>
        <w:p>
          <w:pPr>
            <w:pStyle w:val="Header"/>
            <w:spacing w:before="40"/>
          </w:pPr>
          <w:r>
            <w:fldChar w:fldCharType="begin"/>
          </w:r>
          <w:r>
            <w:instrText xml:space="preserve"> styleref CharDivText </w:instrText>
          </w:r>
          <w:r>
            <w:fldChar w:fldCharType="end"/>
          </w:r>
        </w:p>
      </w:tc>
    </w:tr>
    <w:tr>
      <w:trPr>
        <w:cantSplit/>
      </w:trPr>
      <w:tc>
        <w:tcPr>
          <w:tcW w:w="715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Royal Perth Hospital Protection Act 2016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Royal Perth Hospital Protection Act 2016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Perth Hospital Protection Act 2016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5" w:name="Compilation"/>
    <w:bookmarkEnd w:id="1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Royal Perth Hospital Protection Act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Royal Perth Hospital Protection Act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 w:name="DefinedTerms"/>
    <w:bookmarkEnd w:id="1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 w:name="Coversheet"/>
    <w:bookmarkEnd w:id="1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Royal Perth Hospital Protection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Royal Perth Hospital Protection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fldSimple w:instr=" STYLEREF &quot;Name of Act/Reg&quot; \* MERGEFORMAT ">
            <w:r>
              <w:rPr>
                <w:noProof/>
              </w:rPr>
              <w:t>Royal Perth Hospital Protection Act 2016</w:t>
            </w:r>
          </w:fldSimple>
        </w:p>
      </w:tc>
    </w:tr>
    <w:tr>
      <w:tc>
        <w:tcPr>
          <w:tcW w:w="1548" w:type="dxa"/>
        </w:tcPr>
        <w:p>
          <w:r>
            <w:fldChar w:fldCharType="begin"/>
          </w:r>
          <w:r>
            <w:instrText xml:space="preserve"> styleref CharPartNo </w:instrText>
          </w:r>
          <w:r>
            <w:fldChar w:fldCharType="end"/>
          </w:r>
          <w:r>
            <w:t xml:space="preserve"> </w:t>
          </w:r>
          <w:r>
            <w:fldChar w:fldCharType="begin"/>
          </w:r>
          <w:r>
            <w:instrText>styleref CharPartNo</w:instrText>
          </w:r>
          <w:r>
            <w:fldChar w:fldCharType="end"/>
          </w:r>
        </w:p>
      </w:tc>
      <w:tc>
        <w:tcPr>
          <w:tcW w:w="5715" w:type="dxa"/>
          <w:vAlign w:val="bottom"/>
        </w:tcPr>
        <w:p>
          <w:r>
            <w:fldChar w:fldCharType="begin"/>
          </w:r>
          <w:r>
            <w:instrText xml:space="preserve"> styleref CharPartText </w:instrText>
          </w:r>
          <w:r>
            <w:fldChar w:fldCharType="end"/>
          </w:r>
        </w:p>
      </w:tc>
    </w:tr>
    <w:tr>
      <w:tc>
        <w:tcPr>
          <w:tcW w:w="1548" w:type="dxa"/>
        </w:tcPr>
        <w:p>
          <w:r>
            <w:fldChar w:fldCharType="begin"/>
          </w:r>
          <w:r>
            <w:instrText xml:space="preserve"> styleref CharDivNo </w:instrText>
          </w:r>
          <w:r>
            <w:fldChar w:fldCharType="end"/>
          </w:r>
          <w:r>
            <w:t xml:space="preserve"> </w:t>
          </w:r>
          <w:r>
            <w:fldChar w:fldCharType="begin"/>
          </w:r>
          <w:r>
            <w:instrText>styleref CharDivNo</w:instrText>
          </w:r>
          <w:r>
            <w:fldChar w:fldCharType="end"/>
          </w:r>
        </w:p>
      </w:tc>
      <w:tc>
        <w:tcPr>
          <w:tcW w:w="5715" w:type="dxa"/>
          <w:vAlign w:val="bottom"/>
        </w:tcPr>
        <w:p>
          <w:r>
            <w:fldChar w:fldCharType="begin"/>
          </w:r>
          <w:r>
            <w:instrText xml:space="preserve"> styleref CharDivText </w:instrText>
          </w:r>
          <w:r>
            <w:fldChar w:fldCharType="end"/>
          </w:r>
        </w:p>
      </w:tc>
    </w:tr>
    <w:tr>
      <w:trPr>
        <w:cantSplit/>
      </w:trPr>
      <w:tc>
        <w:tcPr>
          <w:tcW w:w="7263" w:type="dxa"/>
          <w:gridSpan w:val="2"/>
        </w:tcPr>
        <w:p>
          <w:pPr>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ind w:right="17"/>
          </w:pPr>
          <w:fldSimple w:instr=" STYLEREF &quot;Name of Act/Reg&quot; \* MERGEFORMAT ">
            <w:r>
              <w:rPr>
                <w:noProof/>
              </w:rPr>
              <w:t>Royal Perth Hospital Protection Act 2016</w:t>
            </w:r>
          </w:fldSimple>
        </w:p>
      </w:tc>
    </w:tr>
    <w:tr>
      <w:tc>
        <w:tcPr>
          <w:tcW w:w="5715" w:type="dxa"/>
          <w:vAlign w:val="bottom"/>
        </w:tcPr>
        <w:p>
          <w:r>
            <w:fldChar w:fldCharType="begin"/>
          </w:r>
          <w:r>
            <w:instrText xml:space="preserve"> styleref CharPartText </w:instrText>
          </w:r>
          <w:r>
            <w:fldChar w:fldCharType="end"/>
          </w:r>
        </w:p>
      </w:tc>
      <w:tc>
        <w:tcPr>
          <w:tcW w:w="1548" w:type="dxa"/>
        </w:tcPr>
        <w:p>
          <w:pPr>
            <w:ind w:right="17"/>
            <w:jc w:val="right"/>
          </w:pPr>
          <w:r>
            <w:fldChar w:fldCharType="begin"/>
          </w:r>
          <w:r>
            <w:instrText xml:space="preserve"> styleref CharPartNo </w:instrText>
          </w:r>
          <w:r>
            <w:fldChar w:fldCharType="end"/>
          </w:r>
          <w:r>
            <w:t xml:space="preserve"> </w:t>
          </w:r>
          <w:r>
            <w:fldChar w:fldCharType="begin"/>
          </w:r>
          <w:r>
            <w:instrText>styleref CharPartNo</w:instrText>
          </w:r>
          <w:r>
            <w:fldChar w:fldCharType="end"/>
          </w:r>
        </w:p>
      </w:tc>
    </w:tr>
    <w:tr>
      <w:tc>
        <w:tcPr>
          <w:tcW w:w="5715" w:type="dxa"/>
          <w:vAlign w:val="bottom"/>
        </w:tcPr>
        <w:p>
          <w:r>
            <w:fldChar w:fldCharType="begin"/>
          </w:r>
          <w:r>
            <w:instrText xml:space="preserve"> styleref CharDivText </w:instrText>
          </w:r>
          <w:r>
            <w:fldChar w:fldCharType="end"/>
          </w:r>
        </w:p>
      </w:tc>
      <w:tc>
        <w:tcPr>
          <w:tcW w:w="1548" w:type="dxa"/>
        </w:tcPr>
        <w:p>
          <w:pPr>
            <w:ind w:right="17"/>
            <w:jc w:val="right"/>
          </w:pPr>
          <w:r>
            <w:fldChar w:fldCharType="begin"/>
          </w:r>
          <w:r>
            <w:instrText xml:space="preserve"> styleref CharDivNo </w:instrText>
          </w:r>
          <w:r>
            <w:fldChar w:fldCharType="end"/>
          </w:r>
          <w:r>
            <w:t xml:space="preserve"> </w:t>
          </w:r>
          <w:r>
            <w:fldChar w:fldCharType="begin"/>
          </w:r>
          <w:r>
            <w:instrText>styleref CharDivNo</w:instrText>
          </w:r>
          <w:r>
            <w:fldChar w:fldCharType="end"/>
          </w:r>
        </w:p>
      </w:tc>
    </w:tr>
    <w:tr>
      <w:trPr>
        <w:cantSplit/>
      </w:trPr>
      <w:tc>
        <w:tcPr>
          <w:tcW w:w="7263" w:type="dxa"/>
          <w:gridSpan w:val="2"/>
        </w:tcPr>
        <w:p>
          <w:pPr>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GrammaticalErrors/>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25750"/>
    <w:docVar w:name="WAFER_20140129160640" w:val="RemoveTocBookmarks,RemoveUnusedBookmarks,RemoveLanguageTags,UsedStyles,ResetPageSize,UpdateArrangement"/>
    <w:docVar w:name="WAFER_20140129160640_GUID" w:val="161a9cb6-b344-4f68-9564-9c70923e8885"/>
    <w:docVar w:name="WAFER_20140129160648" w:val="RemoveTocBookmarks,RunningHeaders"/>
    <w:docVar w:name="WAFER_20140129160648_GUID" w:val="762ec8e7-b460-45a9-82c1-e8f31eed618d"/>
    <w:docVar w:name="WAFER_20141104172411" w:val="RemoveTocBookmarks,RemoveUnusedBookmarks,RemoveLanguageTags,UsedStyles,ResetPageSize,UpdateArrangement"/>
    <w:docVar w:name="WAFER_20141104172411_GUID" w:val="fcf476d3-1b7d-426e-933d-e20c18ddeb48"/>
    <w:docVar w:name="WAFER_20150515153205" w:val="ResetPageSize,UpdateArrangement,UpdateNTable"/>
    <w:docVar w:name="WAFER_20150515153205_GUID" w:val="53329842-0baa-46a3-adec-37d2a6026905"/>
    <w:docVar w:name="WAFER_20151105133039" w:val="UpdateStyles,UsedStyles"/>
    <w:docVar w:name="WAFER_20151105133039_GUID" w:val="9387f461-696c-463b-8afd-272233552055"/>
    <w:docVar w:name="WAFER_20151109154158" w:val="UpdateStyles,UsedStyles"/>
    <w:docVar w:name="WAFER_20151109154158_GUID" w:val="c4b9bc37-363e-424a-aa3e-47123eb7cf22"/>
    <w:docVar w:name="WAFER_20160815092022" w:val="RemoveTocBookmarks,RemoveUnusedBookmarks,RemoveLanguageTags,UpdateStyles,UsedStyles,ResetPageSize,RemoveCustomizations"/>
    <w:docVar w:name="WAFER_20160815092022_GUID" w:val="226c644d-9ec3-4ca0-820e-f63444329262"/>
    <w:docVar w:name="WAFER_20170131125750" w:val="RemoveTocBookmarks,RemoveUnusedBookmarks,RemoveLanguageTags,UsedStyles,ResetPageSize"/>
    <w:docVar w:name="WAFER_20170131125750_GUID" w:val="69f9ba98-1706-42b4-b9f2-5cf34a966e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tiff"/><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732</Words>
  <Characters>3436</Characters>
  <Application>Microsoft Office Word</Application>
  <DocSecurity>0</DocSecurity>
  <Lines>132</Lines>
  <Paragraphs>92</Paragraphs>
  <ScaleCrop>false</ScaleCrop>
  <HeadingPairs>
    <vt:vector size="2" baseType="variant">
      <vt:variant>
        <vt:lpstr>Title</vt:lpstr>
      </vt:variant>
      <vt:variant>
        <vt:i4>1</vt:i4>
      </vt:variant>
    </vt:vector>
  </HeadingPairs>
  <TitlesOfParts>
    <vt:vector size="1" baseType="lpstr">
      <vt:lpstr>Hospitals And Health Services Act 1927</vt:lpstr>
    </vt:vector>
  </TitlesOfParts>
  <Manager/>
  <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Perth Hospital Protection Act 2016 - 00-a0-02</dc:title>
  <dc:subject/>
  <dc:creator/>
  <cp:keywords/>
  <dc:description/>
  <cp:lastModifiedBy>svcMRProcess</cp:lastModifiedBy>
  <cp:revision>4</cp:revision>
  <cp:lastPrinted>2016-11-15T09:13:00Z</cp:lastPrinted>
  <dcterms:created xsi:type="dcterms:W3CDTF">2019-01-23T05:28:00Z</dcterms:created>
  <dcterms:modified xsi:type="dcterms:W3CDTF">2019-01-23T05:28:00Z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2016</vt:lpwstr>
  </property>
  <property fmtid="{D5CDD505-2E9C-101B-9397-08002B2CF9AE}" pid="3" name="DocumentType">
    <vt:lpwstr>Act</vt:lpwstr>
  </property>
  <property fmtid="{D5CDD505-2E9C-101B-9397-08002B2CF9AE}" pid="4" name="CommencementDate">
    <vt:lpwstr>20161117</vt:lpwstr>
  </property>
  <property fmtid="{D5CDD505-2E9C-101B-9397-08002B2CF9AE}" pid="5" name="AsAtDate">
    <vt:lpwstr>17 Nov 2016</vt:lpwstr>
  </property>
  <property fmtid="{D5CDD505-2E9C-101B-9397-08002B2CF9AE}" pid="6" name="Suffix">
    <vt:lpwstr>00-a0-02</vt:lpwstr>
  </property>
</Properties>
</file>