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_Toc482888393 \h </w:instrText>
      </w:r>
      <w:r>
        <w:fldChar w:fldCharType="separate"/>
      </w:r>
      <w:r>
        <w:t>1</w:t>
      </w:r>
      <w:r>
        <w:fldChar w:fldCharType="end"/>
      </w:r>
    </w:p>
    <w:p>
      <w:pPr>
        <w:pStyle w:val="TOC8"/>
        <w:rPr>
          <w:rFonts w:asciiTheme="minorHAnsi" w:eastAsiaTheme="minorEastAsia" w:hAnsiTheme="minorHAnsi" w:cstheme="minorBidi"/>
          <w:szCs w:val="22"/>
        </w:rPr>
      </w:pPr>
      <w:r>
        <w:t>2.</w:t>
      </w:r>
      <w:r>
        <w:tab/>
        <w:t>Purpose</w:t>
      </w:r>
      <w:r>
        <w:tab/>
      </w:r>
      <w:r>
        <w:fldChar w:fldCharType="begin"/>
      </w:r>
      <w:r>
        <w:instrText xml:space="preserve"> PAGEREF _Toc482888394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_Toc482888395 \h </w:instrText>
      </w:r>
      <w:r>
        <w:fldChar w:fldCharType="separate"/>
      </w:r>
      <w:r>
        <w:t>1</w:t>
      </w:r>
      <w:r>
        <w:fldChar w:fldCharType="end"/>
      </w:r>
    </w:p>
    <w:p>
      <w:pPr>
        <w:pStyle w:val="TOC8"/>
        <w:rPr>
          <w:rFonts w:asciiTheme="minorHAnsi" w:eastAsiaTheme="minorEastAsia" w:hAnsiTheme="minorHAnsi" w:cstheme="minorBidi"/>
          <w:szCs w:val="22"/>
        </w:rPr>
      </w:pPr>
      <w:r>
        <w:t>4A.</w:t>
      </w:r>
      <w:r>
        <w:tab/>
        <w:t>References to provisions of market rules in Schedules 1 and 2</w:t>
      </w:r>
      <w:r>
        <w:tab/>
      </w:r>
      <w:r>
        <w:fldChar w:fldCharType="begin"/>
      </w:r>
      <w:r>
        <w:instrText xml:space="preserve"> PAGEREF _Toc482888396 \h </w:instrText>
      </w:r>
      <w:r>
        <w:fldChar w:fldCharType="separate"/>
      </w:r>
      <w:r>
        <w:t>2</w:t>
      </w:r>
      <w:r>
        <w:fldChar w:fldCharType="end"/>
      </w:r>
    </w:p>
    <w:p>
      <w:pPr>
        <w:pStyle w:val="TOC8"/>
        <w:rPr>
          <w:rFonts w:asciiTheme="minorHAnsi" w:eastAsiaTheme="minorEastAsia" w:hAnsiTheme="minorHAnsi" w:cstheme="minorBidi"/>
          <w:szCs w:val="22"/>
        </w:rPr>
      </w:pPr>
      <w:r>
        <w:t>4.</w:t>
      </w:r>
      <w:r>
        <w:tab/>
        <w:t>Effect on earlier regulations and rules</w:t>
      </w:r>
      <w:r>
        <w:tab/>
      </w:r>
      <w:r>
        <w:fldChar w:fldCharType="begin"/>
      </w:r>
      <w:r>
        <w:instrText xml:space="preserve"> PAGEREF _Toc482888397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market rules</w:t>
      </w:r>
    </w:p>
    <w:p>
      <w:pPr>
        <w:pStyle w:val="TOC8"/>
        <w:rPr>
          <w:rFonts w:asciiTheme="minorHAnsi" w:eastAsiaTheme="minorEastAsia" w:hAnsiTheme="minorHAnsi" w:cstheme="minorBidi"/>
          <w:szCs w:val="22"/>
        </w:rPr>
      </w:pPr>
      <w:r>
        <w:t>5.</w:t>
      </w:r>
      <w:r>
        <w:tab/>
        <w:t>Market rules</w:t>
      </w:r>
      <w:r>
        <w:tab/>
      </w:r>
      <w:r>
        <w:fldChar w:fldCharType="begin"/>
      </w:r>
      <w:r>
        <w:instrText xml:space="preserve"> PAGEREF _Toc482888399 \h </w:instrText>
      </w:r>
      <w:r>
        <w:fldChar w:fldCharType="separate"/>
      </w:r>
      <w:r>
        <w:t>4</w:t>
      </w:r>
      <w:r>
        <w:fldChar w:fldCharType="end"/>
      </w:r>
    </w:p>
    <w:p>
      <w:pPr>
        <w:pStyle w:val="TOC8"/>
        <w:rPr>
          <w:rFonts w:asciiTheme="minorHAnsi" w:eastAsiaTheme="minorEastAsia" w:hAnsiTheme="minorHAnsi" w:cstheme="minorBidi"/>
          <w:szCs w:val="22"/>
        </w:rPr>
      </w:pPr>
      <w:r>
        <w:t>6.</w:t>
      </w:r>
      <w:r>
        <w:tab/>
        <w:t>Market rules: general provisions</w:t>
      </w:r>
      <w:r>
        <w:tab/>
      </w:r>
      <w:r>
        <w:fldChar w:fldCharType="begin"/>
      </w:r>
      <w:r>
        <w:instrText xml:space="preserve"> PAGEREF _Toc482888400 \h </w:instrText>
      </w:r>
      <w:r>
        <w:fldChar w:fldCharType="separate"/>
      </w:r>
      <w:r>
        <w:t>4</w:t>
      </w:r>
      <w:r>
        <w:fldChar w:fldCharType="end"/>
      </w:r>
    </w:p>
    <w:p>
      <w:pPr>
        <w:pStyle w:val="TOC8"/>
        <w:rPr>
          <w:rFonts w:asciiTheme="minorHAnsi" w:eastAsiaTheme="minorEastAsia" w:hAnsiTheme="minorHAnsi" w:cstheme="minorBidi"/>
          <w:szCs w:val="22"/>
        </w:rPr>
      </w:pPr>
      <w:r>
        <w:t>7.</w:t>
      </w:r>
      <w:r>
        <w:tab/>
        <w:t>Amending market rules</w:t>
      </w:r>
      <w:r>
        <w:tab/>
      </w:r>
      <w:r>
        <w:fldChar w:fldCharType="begin"/>
      </w:r>
      <w:r>
        <w:instrText xml:space="preserve"> PAGEREF _Toc482888401 \h </w:instrText>
      </w:r>
      <w:r>
        <w:fldChar w:fldCharType="separate"/>
      </w:r>
      <w:r>
        <w:t>4</w:t>
      </w:r>
      <w:r>
        <w:fldChar w:fldCharType="end"/>
      </w:r>
    </w:p>
    <w:p>
      <w:pPr>
        <w:pStyle w:val="TOC8"/>
        <w:rPr>
          <w:rFonts w:asciiTheme="minorHAnsi" w:eastAsiaTheme="minorEastAsia" w:hAnsiTheme="minorHAnsi" w:cstheme="minorBidi"/>
          <w:szCs w:val="22"/>
        </w:rPr>
      </w:pPr>
      <w:r>
        <w:t>8.</w:t>
      </w:r>
      <w:r>
        <w:tab/>
        <w:t>Availability of copies of market rules</w:t>
      </w:r>
      <w:r>
        <w:tab/>
      </w:r>
      <w:r>
        <w:fldChar w:fldCharType="begin"/>
      </w:r>
      <w:r>
        <w:instrText xml:space="preserve"> PAGEREF _Toc482888402 \h </w:instrText>
      </w:r>
      <w:r>
        <w:fldChar w:fldCharType="separate"/>
      </w:r>
      <w:r>
        <w:t>5</w:t>
      </w:r>
      <w:r>
        <w:fldChar w:fldCharType="end"/>
      </w:r>
    </w:p>
    <w:p>
      <w:pPr>
        <w:pStyle w:val="TOC8"/>
        <w:rPr>
          <w:rFonts w:asciiTheme="minorHAnsi" w:eastAsiaTheme="minorEastAsia" w:hAnsiTheme="minorHAnsi" w:cstheme="minorBidi"/>
          <w:szCs w:val="22"/>
        </w:rPr>
      </w:pPr>
      <w:r>
        <w:t>9.</w:t>
      </w:r>
      <w:r>
        <w:tab/>
        <w:t>Market procedures</w:t>
      </w:r>
      <w:r>
        <w:tab/>
      </w:r>
      <w:r>
        <w:fldChar w:fldCharType="begin"/>
      </w:r>
      <w:r>
        <w:instrText xml:space="preserve"> PAGEREF _Toc482888403 \h </w:instrText>
      </w:r>
      <w:r>
        <w:fldChar w:fldCharType="separate"/>
      </w:r>
      <w:r>
        <w:t>5</w:t>
      </w:r>
      <w:r>
        <w:fldChar w:fldCharType="end"/>
      </w:r>
    </w:p>
    <w:p>
      <w:pPr>
        <w:pStyle w:val="TOC8"/>
        <w:rPr>
          <w:rFonts w:asciiTheme="minorHAnsi" w:eastAsiaTheme="minorEastAsia" w:hAnsiTheme="minorHAnsi" w:cstheme="minorBidi"/>
          <w:szCs w:val="22"/>
        </w:rPr>
      </w:pPr>
      <w:r>
        <w:t>10.</w:t>
      </w:r>
      <w:r>
        <w:tab/>
        <w:t>Functions of Ministers</w:t>
      </w:r>
      <w:r>
        <w:tab/>
      </w:r>
      <w:r>
        <w:fldChar w:fldCharType="begin"/>
      </w:r>
      <w:r>
        <w:instrText xml:space="preserve"> PAGEREF _Toc482888404 \h </w:instrText>
      </w:r>
      <w:r>
        <w:fldChar w:fldCharType="separate"/>
      </w:r>
      <w:r>
        <w:t>6</w:t>
      </w:r>
      <w:r>
        <w:fldChar w:fldCharType="end"/>
      </w:r>
    </w:p>
    <w:p>
      <w:pPr>
        <w:pStyle w:val="TOC8"/>
        <w:rPr>
          <w:rFonts w:asciiTheme="minorHAnsi" w:eastAsiaTheme="minorEastAsia" w:hAnsiTheme="minorHAnsi" w:cstheme="minorBidi"/>
          <w:szCs w:val="22"/>
        </w:rPr>
      </w:pPr>
      <w:r>
        <w:t>11.</w:t>
      </w:r>
      <w:r>
        <w:tab/>
        <w:t>Functions of Economic Regulation Authority</w:t>
      </w:r>
      <w:r>
        <w:tab/>
      </w:r>
      <w:r>
        <w:fldChar w:fldCharType="begin"/>
      </w:r>
      <w:r>
        <w:instrText xml:space="preserve"> PAGEREF _Toc482888405 \h </w:instrText>
      </w:r>
      <w:r>
        <w:fldChar w:fldCharType="separate"/>
      </w:r>
      <w:r>
        <w:t>6</w:t>
      </w:r>
      <w:r>
        <w:fldChar w:fldCharType="end"/>
      </w:r>
    </w:p>
    <w:p>
      <w:pPr>
        <w:pStyle w:val="TOC8"/>
        <w:rPr>
          <w:rFonts w:asciiTheme="minorHAnsi" w:eastAsiaTheme="minorEastAsia" w:hAnsiTheme="minorHAnsi" w:cstheme="minorBidi"/>
          <w:szCs w:val="22"/>
        </w:rPr>
      </w:pPr>
      <w:r>
        <w:t>12.</w:t>
      </w:r>
      <w:r>
        <w:tab/>
        <w:t>Functions of operator and IMO</w:t>
      </w:r>
      <w:r>
        <w:tab/>
      </w:r>
      <w:r>
        <w:fldChar w:fldCharType="begin"/>
      </w:r>
      <w:r>
        <w:instrText xml:space="preserve"> PAGEREF _Toc482888406 \h </w:instrText>
      </w:r>
      <w:r>
        <w:fldChar w:fldCharType="separate"/>
      </w:r>
      <w:r>
        <w:t>6</w:t>
      </w:r>
      <w:r>
        <w:fldChar w:fldCharType="end"/>
      </w:r>
    </w:p>
    <w:p>
      <w:pPr>
        <w:pStyle w:val="TOC8"/>
        <w:rPr>
          <w:rFonts w:asciiTheme="minorHAnsi" w:eastAsiaTheme="minorEastAsia" w:hAnsiTheme="minorHAnsi" w:cstheme="minorBidi"/>
          <w:szCs w:val="22"/>
        </w:rPr>
      </w:pPr>
      <w:r>
        <w:t>12A.</w:t>
      </w:r>
      <w:r>
        <w:tab/>
        <w:t>Functions of electricity corporations</w:t>
      </w:r>
      <w:r>
        <w:tab/>
      </w:r>
      <w:r>
        <w:fldChar w:fldCharType="begin"/>
      </w:r>
      <w:r>
        <w:instrText xml:space="preserve"> PAGEREF _Toc482888407 \h </w:instrText>
      </w:r>
      <w:r>
        <w:fldChar w:fldCharType="separate"/>
      </w:r>
      <w:r>
        <w:t>7</w:t>
      </w:r>
      <w:r>
        <w:fldChar w:fldCharType="end"/>
      </w:r>
    </w:p>
    <w:p>
      <w:pPr>
        <w:pStyle w:val="TOC8"/>
        <w:rPr>
          <w:rFonts w:asciiTheme="minorHAnsi" w:eastAsiaTheme="minorEastAsia" w:hAnsiTheme="minorHAnsi" w:cstheme="minorBidi"/>
          <w:szCs w:val="22"/>
        </w:rPr>
      </w:pPr>
      <w:r>
        <w:t>12B.</w:t>
      </w:r>
      <w:r>
        <w:tab/>
        <w:t>Functions of Rule Change Panel</w:t>
      </w:r>
      <w:r>
        <w:tab/>
      </w:r>
      <w:r>
        <w:fldChar w:fldCharType="begin"/>
      </w:r>
      <w:r>
        <w:instrText xml:space="preserve"> PAGEREF _Toc482888408 \h </w:instrText>
      </w:r>
      <w:r>
        <w:fldChar w:fldCharType="separate"/>
      </w:r>
      <w:r>
        <w:t>7</w:t>
      </w:r>
      <w:r>
        <w:fldChar w:fldCharType="end"/>
      </w:r>
    </w:p>
    <w:p>
      <w:pPr>
        <w:pStyle w:val="TOC8"/>
        <w:rPr>
          <w:rFonts w:asciiTheme="minorHAnsi" w:eastAsiaTheme="minorEastAsia" w:hAnsiTheme="minorHAnsi" w:cstheme="minorBidi"/>
          <w:szCs w:val="22"/>
        </w:rPr>
      </w:pPr>
      <w:r>
        <w:t>13.</w:t>
      </w:r>
      <w:r>
        <w:tab/>
        <w:t>Functions of System Management</w:t>
      </w:r>
      <w:r>
        <w:tab/>
      </w:r>
      <w:r>
        <w:fldChar w:fldCharType="begin"/>
      </w:r>
      <w:r>
        <w:instrText xml:space="preserve"> PAGEREF _Toc482888409 \h </w:instrText>
      </w:r>
      <w:r>
        <w:fldChar w:fldCharType="separate"/>
      </w:r>
      <w:r>
        <w:t>8</w:t>
      </w:r>
      <w:r>
        <w:fldChar w:fldCharType="end"/>
      </w:r>
    </w:p>
    <w:p>
      <w:pPr>
        <w:pStyle w:val="TOC8"/>
        <w:rPr>
          <w:rFonts w:asciiTheme="minorHAnsi" w:eastAsiaTheme="minorEastAsia" w:hAnsiTheme="minorHAnsi" w:cstheme="minorBidi"/>
          <w:szCs w:val="22"/>
        </w:rPr>
      </w:pPr>
      <w:r>
        <w:t>14.</w:t>
      </w:r>
      <w:r>
        <w:tab/>
        <w:t>Market rules as to registration</w:t>
      </w:r>
      <w:r>
        <w:tab/>
      </w:r>
      <w:r>
        <w:fldChar w:fldCharType="begin"/>
      </w:r>
      <w:r>
        <w:instrText xml:space="preserve"> PAGEREF _Toc482888410 \h </w:instrText>
      </w:r>
      <w:r>
        <w:fldChar w:fldCharType="separate"/>
      </w:r>
      <w:r>
        <w:t>8</w:t>
      </w:r>
      <w:r>
        <w:fldChar w:fldCharType="end"/>
      </w:r>
    </w:p>
    <w:p>
      <w:pPr>
        <w:pStyle w:val="TOC8"/>
        <w:rPr>
          <w:rFonts w:asciiTheme="minorHAnsi" w:eastAsiaTheme="minorEastAsia" w:hAnsiTheme="minorHAnsi" w:cstheme="minorBidi"/>
          <w:szCs w:val="22"/>
        </w:rPr>
      </w:pPr>
      <w:r>
        <w:t>15.</w:t>
      </w:r>
      <w:r>
        <w:tab/>
        <w:t>Functions of registered participants</w:t>
      </w:r>
      <w:r>
        <w:tab/>
      </w:r>
      <w:r>
        <w:fldChar w:fldCharType="begin"/>
      </w:r>
      <w:r>
        <w:instrText xml:space="preserve"> PAGEREF _Toc482888411 \h </w:instrText>
      </w:r>
      <w:r>
        <w:fldChar w:fldCharType="separate"/>
      </w:r>
      <w:r>
        <w:t>9</w:t>
      </w:r>
      <w:r>
        <w:fldChar w:fldCharType="end"/>
      </w:r>
    </w:p>
    <w:p>
      <w:pPr>
        <w:pStyle w:val="TOC8"/>
        <w:rPr>
          <w:rFonts w:asciiTheme="minorHAnsi" w:eastAsiaTheme="minorEastAsia" w:hAnsiTheme="minorHAnsi" w:cstheme="minorBidi"/>
          <w:szCs w:val="22"/>
        </w:rPr>
      </w:pPr>
      <w:r>
        <w:t>16.</w:t>
      </w:r>
      <w:r>
        <w:tab/>
        <w:t>Evidence as to registered participants and exemptions</w:t>
      </w:r>
      <w:r>
        <w:tab/>
      </w:r>
      <w:r>
        <w:fldChar w:fldCharType="begin"/>
      </w:r>
      <w:r>
        <w:instrText xml:space="preserve"> PAGEREF _Toc482888412 \h </w:instrText>
      </w:r>
      <w:r>
        <w:fldChar w:fldCharType="separate"/>
      </w:r>
      <w:r>
        <w:t>9</w:t>
      </w:r>
      <w:r>
        <w:fldChar w:fldCharType="end"/>
      </w:r>
    </w:p>
    <w:p>
      <w:pPr>
        <w:pStyle w:val="TOC8"/>
        <w:rPr>
          <w:rFonts w:asciiTheme="minorHAnsi" w:eastAsiaTheme="minorEastAsia" w:hAnsiTheme="minorHAnsi" w:cstheme="minorBidi"/>
          <w:szCs w:val="22"/>
        </w:rPr>
      </w:pPr>
      <w:r>
        <w:t>17.</w:t>
      </w:r>
      <w:r>
        <w:tab/>
        <w:t>Market rules generally</w:t>
      </w:r>
      <w:r>
        <w:tab/>
      </w:r>
      <w:r>
        <w:fldChar w:fldCharType="begin"/>
      </w:r>
      <w:r>
        <w:instrText xml:space="preserve"> PAGEREF _Toc482888413 \h </w:instrText>
      </w:r>
      <w:r>
        <w:fldChar w:fldCharType="separate"/>
      </w:r>
      <w:r>
        <w:t>10</w:t>
      </w:r>
      <w:r>
        <w:fldChar w:fldCharType="end"/>
      </w:r>
    </w:p>
    <w:p>
      <w:pPr>
        <w:pStyle w:val="TOC8"/>
        <w:rPr>
          <w:rFonts w:asciiTheme="minorHAnsi" w:eastAsiaTheme="minorEastAsia" w:hAnsiTheme="minorHAnsi" w:cstheme="minorBidi"/>
          <w:szCs w:val="22"/>
        </w:rPr>
      </w:pPr>
      <w:r>
        <w:t>17A.</w:t>
      </w:r>
      <w:r>
        <w:tab/>
        <w:t>Transitional market rules for transfer of functions to AEMO</w:t>
      </w:r>
      <w:r>
        <w:tab/>
      </w:r>
      <w:r>
        <w:fldChar w:fldCharType="begin"/>
      </w:r>
      <w:r>
        <w:instrText xml:space="preserve"> PAGEREF _Toc482888414 \h </w:instrText>
      </w:r>
      <w:r>
        <w:fldChar w:fldCharType="separate"/>
      </w:r>
      <w:r>
        <w:t>11</w:t>
      </w:r>
      <w:r>
        <w:fldChar w:fldCharType="end"/>
      </w:r>
    </w:p>
    <w:p>
      <w:pPr>
        <w:pStyle w:val="TOC8"/>
        <w:rPr>
          <w:rFonts w:asciiTheme="minorHAnsi" w:eastAsiaTheme="minorEastAsia" w:hAnsiTheme="minorHAnsi" w:cstheme="minorBidi"/>
          <w:szCs w:val="22"/>
        </w:rPr>
      </w:pPr>
      <w:r>
        <w:t>17B.</w:t>
      </w:r>
      <w:r>
        <w:tab/>
        <w:t>Transitional market rules for transfer of functions from IMO to Authority or Rule Change Panel</w:t>
      </w:r>
      <w:r>
        <w:tab/>
      </w:r>
      <w:r>
        <w:fldChar w:fldCharType="begin"/>
      </w:r>
      <w:r>
        <w:instrText xml:space="preserve"> PAGEREF _Toc482888415 \h </w:instrText>
      </w:r>
      <w:r>
        <w:fldChar w:fldCharType="separate"/>
      </w:r>
      <w:r>
        <w:t>12</w:t>
      </w:r>
      <w:r>
        <w:fldChar w:fldCharType="end"/>
      </w:r>
    </w:p>
    <w:p>
      <w:pPr>
        <w:pStyle w:val="TOC8"/>
        <w:rPr>
          <w:rFonts w:asciiTheme="minorHAnsi" w:eastAsiaTheme="minorEastAsia" w:hAnsiTheme="minorHAnsi" w:cstheme="minorBidi"/>
          <w:szCs w:val="22"/>
        </w:rPr>
      </w:pPr>
      <w:r>
        <w:t>18.</w:t>
      </w:r>
      <w:r>
        <w:tab/>
        <w:t>Trade practices authorisation</w:t>
      </w:r>
      <w:r>
        <w:tab/>
      </w:r>
      <w:r>
        <w:fldChar w:fldCharType="begin"/>
      </w:r>
      <w:r>
        <w:instrText xml:space="preserve"> PAGEREF _Toc482888416 \h </w:instrText>
      </w:r>
      <w:r>
        <w:fldChar w:fldCharType="separate"/>
      </w:r>
      <w:r>
        <w:t>13</w:t>
      </w:r>
      <w:r>
        <w:fldChar w:fldCharType="end"/>
      </w:r>
    </w:p>
    <w:p>
      <w:pPr>
        <w:pStyle w:val="TOC8"/>
        <w:rPr>
          <w:rFonts w:asciiTheme="minorHAnsi" w:eastAsiaTheme="minorEastAsia" w:hAnsiTheme="minorHAnsi" w:cstheme="minorBidi"/>
          <w:szCs w:val="22"/>
        </w:rPr>
      </w:pPr>
      <w:r>
        <w:t>18A.</w:t>
      </w:r>
      <w:r>
        <w:tab/>
        <w:t xml:space="preserve">Excluded matters for purposes of </w:t>
      </w:r>
      <w:r>
        <w:rPr>
          <w:i/>
          <w:iCs/>
        </w:rPr>
        <w:t>Corporations Act 2001</w:t>
      </w:r>
      <w:r>
        <w:t xml:space="preserve"> (Commonwealth)</w:t>
      </w:r>
      <w:r>
        <w:tab/>
      </w:r>
      <w:r>
        <w:fldChar w:fldCharType="begin"/>
      </w:r>
      <w:r>
        <w:instrText xml:space="preserve"> PAGEREF _Toc482888417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requirement</w:t>
      </w:r>
    </w:p>
    <w:p>
      <w:pPr>
        <w:pStyle w:val="TOC8"/>
        <w:rPr>
          <w:rFonts w:asciiTheme="minorHAnsi" w:eastAsiaTheme="minorEastAsia" w:hAnsiTheme="minorHAnsi" w:cstheme="minorBidi"/>
          <w:szCs w:val="22"/>
        </w:rPr>
      </w:pPr>
      <w:r>
        <w:t>19.</w:t>
      </w:r>
      <w:r>
        <w:tab/>
        <w:t>Registration required for certain activities</w:t>
      </w:r>
      <w:r>
        <w:tab/>
      </w:r>
      <w:r>
        <w:fldChar w:fldCharType="begin"/>
      </w:r>
      <w:r>
        <w:instrText xml:space="preserve"> PAGEREF _Toc482888419 \h </w:instrText>
      </w:r>
      <w:r>
        <w:fldChar w:fldCharType="separate"/>
      </w:r>
      <w:r>
        <w:t>15</w:t>
      </w:r>
      <w:r>
        <w:fldChar w:fldCharType="end"/>
      </w:r>
    </w:p>
    <w:p>
      <w:pPr>
        <w:pStyle w:val="TOC8"/>
        <w:rPr>
          <w:rFonts w:asciiTheme="minorHAnsi" w:eastAsiaTheme="minorEastAsia" w:hAnsiTheme="minorHAnsi" w:cstheme="minorBidi"/>
          <w:szCs w:val="22"/>
        </w:rPr>
      </w:pPr>
      <w:r>
        <w:t>20.</w:t>
      </w:r>
      <w:r>
        <w:tab/>
        <w:t>Notice of failure to register</w:t>
      </w:r>
      <w:r>
        <w:tab/>
      </w:r>
      <w:r>
        <w:fldChar w:fldCharType="begin"/>
      </w:r>
      <w:r>
        <w:instrText xml:space="preserve"> PAGEREF _Toc482888420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Market costs</w:t>
      </w:r>
    </w:p>
    <w:p>
      <w:pPr>
        <w:pStyle w:val="TOC8"/>
        <w:rPr>
          <w:rFonts w:asciiTheme="minorHAnsi" w:eastAsiaTheme="minorEastAsia" w:hAnsiTheme="minorHAnsi" w:cstheme="minorBidi"/>
          <w:szCs w:val="22"/>
        </w:rPr>
      </w:pPr>
      <w:r>
        <w:t>21.</w:t>
      </w:r>
      <w:r>
        <w:tab/>
        <w:t>Allocation of costs</w:t>
      </w:r>
      <w:r>
        <w:tab/>
      </w:r>
      <w:r>
        <w:fldChar w:fldCharType="begin"/>
      </w:r>
      <w:r>
        <w:instrText xml:space="preserve"> PAGEREF _Toc482888422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 of the market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_Toc482888425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Investigation</w:t>
      </w:r>
    </w:p>
    <w:p>
      <w:pPr>
        <w:pStyle w:val="TOC8"/>
        <w:rPr>
          <w:rFonts w:asciiTheme="minorHAnsi" w:eastAsiaTheme="minorEastAsia" w:hAnsiTheme="minorHAnsi" w:cstheme="minorBidi"/>
          <w:szCs w:val="22"/>
        </w:rPr>
      </w:pPr>
      <w:r>
        <w:t>23.</w:t>
      </w:r>
      <w:r>
        <w:tab/>
        <w:t>Authorised persons</w:t>
      </w:r>
      <w:r>
        <w:tab/>
      </w:r>
      <w:r>
        <w:fldChar w:fldCharType="begin"/>
      </w:r>
      <w:r>
        <w:instrText xml:space="preserve"> PAGEREF _Toc482888427 \h </w:instrText>
      </w:r>
      <w:r>
        <w:fldChar w:fldCharType="separate"/>
      </w:r>
      <w:r>
        <w:t>19</w:t>
      </w:r>
      <w:r>
        <w:fldChar w:fldCharType="end"/>
      </w:r>
    </w:p>
    <w:p>
      <w:pPr>
        <w:pStyle w:val="TOC8"/>
        <w:rPr>
          <w:rFonts w:asciiTheme="minorHAnsi" w:eastAsiaTheme="minorEastAsia" w:hAnsiTheme="minorHAnsi" w:cstheme="minorBidi"/>
          <w:szCs w:val="22"/>
        </w:rPr>
      </w:pPr>
      <w:r>
        <w:t>24.</w:t>
      </w:r>
      <w:r>
        <w:tab/>
        <w:t>Search warrants</w:t>
      </w:r>
      <w:r>
        <w:tab/>
      </w:r>
      <w:r>
        <w:fldChar w:fldCharType="begin"/>
      </w:r>
      <w:r>
        <w:instrText xml:space="preserve"> PAGEREF _Toc482888428 \h </w:instrText>
      </w:r>
      <w:r>
        <w:fldChar w:fldCharType="separate"/>
      </w:r>
      <w:r>
        <w:t>19</w:t>
      </w:r>
      <w:r>
        <w:fldChar w:fldCharType="end"/>
      </w:r>
    </w:p>
    <w:p>
      <w:pPr>
        <w:pStyle w:val="TOC8"/>
        <w:rPr>
          <w:rFonts w:asciiTheme="minorHAnsi" w:eastAsiaTheme="minorEastAsia" w:hAnsiTheme="minorHAnsi" w:cstheme="minorBidi"/>
          <w:szCs w:val="22"/>
        </w:rPr>
      </w:pPr>
      <w:r>
        <w:t>25.</w:t>
      </w:r>
      <w:r>
        <w:tab/>
        <w:t>Announcement before entry</w:t>
      </w:r>
      <w:r>
        <w:tab/>
      </w:r>
      <w:r>
        <w:fldChar w:fldCharType="begin"/>
      </w:r>
      <w:r>
        <w:instrText xml:space="preserve"> PAGEREF _Toc482888429 \h </w:instrText>
      </w:r>
      <w:r>
        <w:fldChar w:fldCharType="separate"/>
      </w:r>
      <w:r>
        <w:t>21</w:t>
      </w:r>
      <w:r>
        <w:fldChar w:fldCharType="end"/>
      </w:r>
    </w:p>
    <w:p>
      <w:pPr>
        <w:pStyle w:val="TOC8"/>
        <w:rPr>
          <w:rFonts w:asciiTheme="minorHAnsi" w:eastAsiaTheme="minorEastAsia" w:hAnsiTheme="minorHAnsi" w:cstheme="minorBidi"/>
          <w:szCs w:val="22"/>
        </w:rPr>
      </w:pPr>
      <w:r>
        <w:t>26.</w:t>
      </w:r>
      <w:r>
        <w:tab/>
        <w:t>Details of warrant to be given to occupier</w:t>
      </w:r>
      <w:r>
        <w:tab/>
      </w:r>
      <w:r>
        <w:fldChar w:fldCharType="begin"/>
      </w:r>
      <w:r>
        <w:instrText xml:space="preserve"> PAGEREF _Toc482888430 \h </w:instrText>
      </w:r>
      <w:r>
        <w:fldChar w:fldCharType="separate"/>
      </w:r>
      <w:r>
        <w:t>21</w:t>
      </w:r>
      <w:r>
        <w:fldChar w:fldCharType="end"/>
      </w:r>
    </w:p>
    <w:p>
      <w:pPr>
        <w:pStyle w:val="TOC8"/>
        <w:rPr>
          <w:rFonts w:asciiTheme="minorHAnsi" w:eastAsiaTheme="minorEastAsia" w:hAnsiTheme="minorHAnsi" w:cstheme="minorBidi"/>
          <w:szCs w:val="22"/>
        </w:rPr>
      </w:pPr>
      <w:r>
        <w:t>27.</w:t>
      </w:r>
      <w:r>
        <w:tab/>
        <w:t>Copies of seized documents</w:t>
      </w:r>
      <w:r>
        <w:tab/>
      </w:r>
      <w:r>
        <w:fldChar w:fldCharType="begin"/>
      </w:r>
      <w:r>
        <w:instrText xml:space="preserve"> PAGEREF _Toc482888431 \h </w:instrText>
      </w:r>
      <w:r>
        <w:fldChar w:fldCharType="separate"/>
      </w:r>
      <w:r>
        <w:t>22</w:t>
      </w:r>
      <w:r>
        <w:fldChar w:fldCharType="end"/>
      </w:r>
    </w:p>
    <w:p>
      <w:pPr>
        <w:pStyle w:val="TOC8"/>
        <w:rPr>
          <w:rFonts w:asciiTheme="minorHAnsi" w:eastAsiaTheme="minorEastAsia" w:hAnsiTheme="minorHAnsi" w:cstheme="minorBidi"/>
          <w:szCs w:val="22"/>
        </w:rPr>
      </w:pPr>
      <w:r>
        <w:t>28.</w:t>
      </w:r>
      <w:r>
        <w:tab/>
        <w:t>Retention and return of seized documents etc.</w:t>
      </w:r>
      <w:r>
        <w:tab/>
      </w:r>
      <w:r>
        <w:fldChar w:fldCharType="begin"/>
      </w:r>
      <w:r>
        <w:instrText xml:space="preserve"> PAGEREF _Toc482888432 \h </w:instrText>
      </w:r>
      <w:r>
        <w:fldChar w:fldCharType="separate"/>
      </w:r>
      <w:r>
        <w:t>22</w:t>
      </w:r>
      <w:r>
        <w:fldChar w:fldCharType="end"/>
      </w:r>
    </w:p>
    <w:p>
      <w:pPr>
        <w:pStyle w:val="TOC8"/>
        <w:rPr>
          <w:rFonts w:asciiTheme="minorHAnsi" w:eastAsiaTheme="minorEastAsia" w:hAnsiTheme="minorHAnsi" w:cstheme="minorBidi"/>
          <w:szCs w:val="22"/>
        </w:rPr>
      </w:pPr>
      <w:r>
        <w:t>29.</w:t>
      </w:r>
      <w:r>
        <w:tab/>
        <w:t>Obstruction of persons authorised to enter</w:t>
      </w:r>
      <w:r>
        <w:tab/>
      </w:r>
      <w:r>
        <w:fldChar w:fldCharType="begin"/>
      </w:r>
      <w:r>
        <w:instrText xml:space="preserve"> PAGEREF _Toc482888433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Orders and penalties</w:t>
      </w:r>
    </w:p>
    <w:p>
      <w:pPr>
        <w:pStyle w:val="TOC8"/>
        <w:rPr>
          <w:rFonts w:asciiTheme="minorHAnsi" w:eastAsiaTheme="minorEastAsia" w:hAnsiTheme="minorHAnsi" w:cstheme="minorBidi"/>
          <w:szCs w:val="22"/>
        </w:rPr>
      </w:pPr>
      <w:r>
        <w:t>30.</w:t>
      </w:r>
      <w:r>
        <w:tab/>
        <w:t>Civil penalty provisions and civil penalties</w:t>
      </w:r>
      <w:r>
        <w:tab/>
      </w:r>
      <w:r>
        <w:fldChar w:fldCharType="begin"/>
      </w:r>
      <w:r>
        <w:instrText xml:space="preserve"> PAGEREF _Toc482888435 \h </w:instrText>
      </w:r>
      <w:r>
        <w:fldChar w:fldCharType="separate"/>
      </w:r>
      <w:r>
        <w:t>24</w:t>
      </w:r>
      <w:r>
        <w:fldChar w:fldCharType="end"/>
      </w:r>
    </w:p>
    <w:p>
      <w:pPr>
        <w:pStyle w:val="TOC8"/>
        <w:rPr>
          <w:rFonts w:asciiTheme="minorHAnsi" w:eastAsiaTheme="minorEastAsia" w:hAnsiTheme="minorHAnsi" w:cstheme="minorBidi"/>
          <w:szCs w:val="22"/>
        </w:rPr>
      </w:pPr>
      <w:r>
        <w:t>31.</w:t>
      </w:r>
      <w:r>
        <w:tab/>
        <w:t>Authority may demand civil penalty for contravention of category A civil penalty provision</w:t>
      </w:r>
      <w:r>
        <w:tab/>
      </w:r>
      <w:r>
        <w:fldChar w:fldCharType="begin"/>
      </w:r>
      <w:r>
        <w:instrText xml:space="preserve"> PAGEREF _Toc482888436 \h </w:instrText>
      </w:r>
      <w:r>
        <w:fldChar w:fldCharType="separate"/>
      </w:r>
      <w:r>
        <w:t>24</w:t>
      </w:r>
      <w:r>
        <w:fldChar w:fldCharType="end"/>
      </w:r>
    </w:p>
    <w:p>
      <w:pPr>
        <w:pStyle w:val="TOC8"/>
        <w:rPr>
          <w:rFonts w:asciiTheme="minorHAnsi" w:eastAsiaTheme="minorEastAsia" w:hAnsiTheme="minorHAnsi" w:cstheme="minorBidi"/>
          <w:szCs w:val="22"/>
        </w:rPr>
      </w:pPr>
      <w:r>
        <w:t>32.</w:t>
      </w:r>
      <w:r>
        <w:tab/>
        <w:t>Applications for orders from Board for contraventions of provisions of market rules</w:t>
      </w:r>
      <w:r>
        <w:tab/>
      </w:r>
      <w:r>
        <w:fldChar w:fldCharType="begin"/>
      </w:r>
      <w:r>
        <w:instrText xml:space="preserve"> PAGEREF _Toc482888437 \h </w:instrText>
      </w:r>
      <w:r>
        <w:fldChar w:fldCharType="separate"/>
      </w:r>
      <w:r>
        <w:t>27</w:t>
      </w:r>
      <w:r>
        <w:fldChar w:fldCharType="end"/>
      </w:r>
    </w:p>
    <w:p>
      <w:pPr>
        <w:pStyle w:val="TOC8"/>
        <w:rPr>
          <w:rFonts w:asciiTheme="minorHAnsi" w:eastAsiaTheme="minorEastAsia" w:hAnsiTheme="minorHAnsi" w:cstheme="minorBidi"/>
          <w:szCs w:val="22"/>
        </w:rPr>
      </w:pPr>
      <w:r>
        <w:t>33.</w:t>
      </w:r>
      <w:r>
        <w:tab/>
        <w:t>Orders Board may make for contraventions of provisions of market rules</w:t>
      </w:r>
      <w:r>
        <w:tab/>
      </w:r>
      <w:r>
        <w:fldChar w:fldCharType="begin"/>
      </w:r>
      <w:r>
        <w:instrText xml:space="preserve"> PAGEREF _Toc482888438 \h </w:instrText>
      </w:r>
      <w:r>
        <w:fldChar w:fldCharType="separate"/>
      </w:r>
      <w:r>
        <w:t>27</w:t>
      </w:r>
      <w:r>
        <w:fldChar w:fldCharType="end"/>
      </w:r>
    </w:p>
    <w:p>
      <w:pPr>
        <w:pStyle w:val="TOC8"/>
        <w:rPr>
          <w:rFonts w:asciiTheme="minorHAnsi" w:eastAsiaTheme="minorEastAsia" w:hAnsiTheme="minorHAnsi" w:cstheme="minorBidi"/>
          <w:szCs w:val="22"/>
        </w:rPr>
      </w:pPr>
      <w:r>
        <w:t>34.</w:t>
      </w:r>
      <w:r>
        <w:tab/>
        <w:t>Enforcement of orders of Board</w:t>
      </w:r>
      <w:r>
        <w:tab/>
      </w:r>
      <w:r>
        <w:fldChar w:fldCharType="begin"/>
      </w:r>
      <w:r>
        <w:instrText xml:space="preserve"> PAGEREF _Toc482888439 \h </w:instrText>
      </w:r>
      <w:r>
        <w:fldChar w:fldCharType="separate"/>
      </w:r>
      <w:r>
        <w:t>29</w:t>
      </w:r>
      <w:r>
        <w:fldChar w:fldCharType="end"/>
      </w:r>
    </w:p>
    <w:p>
      <w:pPr>
        <w:pStyle w:val="TOC8"/>
        <w:rPr>
          <w:rFonts w:asciiTheme="minorHAnsi" w:eastAsiaTheme="minorEastAsia" w:hAnsiTheme="minorHAnsi" w:cstheme="minorBidi"/>
          <w:szCs w:val="22"/>
        </w:rPr>
      </w:pPr>
      <w:r>
        <w:t>35.</w:t>
      </w:r>
      <w:r>
        <w:tab/>
        <w:t>Contravention of provision of market rules not an offence</w:t>
      </w:r>
      <w:r>
        <w:tab/>
      </w:r>
      <w:r>
        <w:fldChar w:fldCharType="begin"/>
      </w:r>
      <w:r>
        <w:instrText xml:space="preserve"> PAGEREF _Toc482888440 \h </w:instrText>
      </w:r>
      <w:r>
        <w:fldChar w:fldCharType="separate"/>
      </w:r>
      <w:r>
        <w:t>30</w:t>
      </w:r>
      <w:r>
        <w:fldChar w:fldCharType="end"/>
      </w:r>
    </w:p>
    <w:p>
      <w:pPr>
        <w:pStyle w:val="TOC8"/>
        <w:rPr>
          <w:rFonts w:asciiTheme="minorHAnsi" w:eastAsiaTheme="minorEastAsia" w:hAnsiTheme="minorHAnsi" w:cstheme="minorBidi"/>
          <w:szCs w:val="22"/>
        </w:rPr>
      </w:pPr>
      <w:r>
        <w:t>36.</w:t>
      </w:r>
      <w:r>
        <w:tab/>
        <w:t>Conduct contravening more than one civil penalty provision</w:t>
      </w:r>
      <w:r>
        <w:tab/>
      </w:r>
      <w:r>
        <w:fldChar w:fldCharType="begin"/>
      </w:r>
      <w:r>
        <w:instrText xml:space="preserve"> PAGEREF _Toc482888441 \h </w:instrText>
      </w:r>
      <w:r>
        <w:fldChar w:fldCharType="separate"/>
      </w:r>
      <w:r>
        <w:t>30</w:t>
      </w:r>
      <w:r>
        <w:fldChar w:fldCharType="end"/>
      </w:r>
    </w:p>
    <w:p>
      <w:pPr>
        <w:pStyle w:val="TOC8"/>
        <w:rPr>
          <w:rFonts w:asciiTheme="minorHAnsi" w:eastAsiaTheme="minorEastAsia" w:hAnsiTheme="minorHAnsi" w:cstheme="minorBidi"/>
          <w:szCs w:val="22"/>
        </w:rPr>
      </w:pPr>
      <w:r>
        <w:t>37.</w:t>
      </w:r>
      <w:r>
        <w:tab/>
        <w:t>Application of civil penalties received by operator</w:t>
      </w:r>
      <w:r>
        <w:tab/>
      </w:r>
      <w:r>
        <w:fldChar w:fldCharType="begin"/>
      </w:r>
      <w:r>
        <w:instrText xml:space="preserve"> PAGEREF _Toc482888442 \h </w:instrText>
      </w:r>
      <w:r>
        <w:fldChar w:fldCharType="separate"/>
      </w:r>
      <w:r>
        <w:t>30</w:t>
      </w:r>
      <w:r>
        <w:fldChar w:fldCharType="end"/>
      </w:r>
    </w:p>
    <w:p>
      <w:pPr>
        <w:pStyle w:val="TOC8"/>
        <w:rPr>
          <w:rFonts w:asciiTheme="minorHAnsi" w:eastAsiaTheme="minorEastAsia" w:hAnsiTheme="minorHAnsi" w:cstheme="minorBidi"/>
          <w:szCs w:val="22"/>
        </w:rPr>
      </w:pPr>
      <w:r>
        <w:t>38.</w:t>
      </w:r>
      <w:r>
        <w:tab/>
        <w:t>Authority to notify certain persons of decisions not to take action</w:t>
      </w:r>
      <w:r>
        <w:tab/>
      </w:r>
      <w:r>
        <w:fldChar w:fldCharType="begin"/>
      </w:r>
      <w:r>
        <w:instrText xml:space="preserve"> PAGEREF _Toc482888443 \h </w:instrText>
      </w:r>
      <w:r>
        <w:fldChar w:fldCharType="separate"/>
      </w:r>
      <w:r>
        <w:t>31</w:t>
      </w:r>
      <w:r>
        <w:fldChar w:fldCharType="end"/>
      </w:r>
    </w:p>
    <w:p>
      <w:pPr>
        <w:pStyle w:val="TOC8"/>
        <w:rPr>
          <w:rFonts w:asciiTheme="minorHAnsi" w:eastAsiaTheme="minorEastAsia" w:hAnsiTheme="minorHAnsi" w:cstheme="minorBidi"/>
          <w:szCs w:val="22"/>
        </w:rPr>
      </w:pPr>
      <w:r>
        <w:t>39.</w:t>
      </w:r>
      <w:r>
        <w:tab/>
        <w:t>Applications for orders from Board — procedure</w:t>
      </w:r>
      <w:r>
        <w:tab/>
      </w:r>
      <w:r>
        <w:fldChar w:fldCharType="begin"/>
      </w:r>
      <w:r>
        <w:instrText xml:space="preserve"> PAGEREF _Toc482888444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Payments under the market rules</w:t>
      </w:r>
    </w:p>
    <w:p>
      <w:pPr>
        <w:pStyle w:val="TOC8"/>
        <w:rPr>
          <w:rFonts w:asciiTheme="minorHAnsi" w:eastAsiaTheme="minorEastAsia" w:hAnsiTheme="minorHAnsi" w:cstheme="minorBidi"/>
          <w:szCs w:val="22"/>
        </w:rPr>
      </w:pPr>
      <w:r>
        <w:t>40.</w:t>
      </w:r>
      <w:r>
        <w:tab/>
        <w:t>Obligation to make payments under market rules</w:t>
      </w:r>
      <w:r>
        <w:tab/>
      </w:r>
      <w:r>
        <w:fldChar w:fldCharType="begin"/>
      </w:r>
      <w:r>
        <w:instrText xml:space="preserve"> PAGEREF _Toc482888446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 — Review by the Board</w:t>
      </w:r>
    </w:p>
    <w:p>
      <w:pPr>
        <w:pStyle w:val="TOC8"/>
        <w:rPr>
          <w:rFonts w:asciiTheme="minorHAnsi" w:eastAsiaTheme="minorEastAsia" w:hAnsiTheme="minorHAnsi" w:cstheme="minorBidi"/>
          <w:szCs w:val="22"/>
        </w:rPr>
      </w:pPr>
      <w:r>
        <w:t>41.</w:t>
      </w:r>
      <w:r>
        <w:tab/>
        <w:t>Reviewable decisions and procedural decisions</w:t>
      </w:r>
      <w:r>
        <w:tab/>
      </w:r>
      <w:r>
        <w:fldChar w:fldCharType="begin"/>
      </w:r>
      <w:r>
        <w:instrText xml:space="preserve"> PAGEREF _Toc482888448 \h </w:instrText>
      </w:r>
      <w:r>
        <w:fldChar w:fldCharType="separate"/>
      </w:r>
      <w:r>
        <w:t>35</w:t>
      </w:r>
      <w:r>
        <w:fldChar w:fldCharType="end"/>
      </w:r>
    </w:p>
    <w:p>
      <w:pPr>
        <w:pStyle w:val="TOC8"/>
        <w:rPr>
          <w:rFonts w:asciiTheme="minorHAnsi" w:eastAsiaTheme="minorEastAsia" w:hAnsiTheme="minorHAnsi" w:cstheme="minorBidi"/>
          <w:szCs w:val="22"/>
        </w:rPr>
      </w:pPr>
      <w:r>
        <w:t>42.</w:t>
      </w:r>
      <w:r>
        <w:tab/>
        <w:t>Review by Board — all reviewable decisions</w:t>
      </w:r>
      <w:r>
        <w:tab/>
      </w:r>
      <w:r>
        <w:fldChar w:fldCharType="begin"/>
      </w:r>
      <w:r>
        <w:instrText xml:space="preserve"> PAGEREF _Toc482888449 \h </w:instrText>
      </w:r>
      <w:r>
        <w:fldChar w:fldCharType="separate"/>
      </w:r>
      <w:r>
        <w:t>35</w:t>
      </w:r>
      <w:r>
        <w:fldChar w:fldCharType="end"/>
      </w:r>
    </w:p>
    <w:p>
      <w:pPr>
        <w:pStyle w:val="TOC8"/>
        <w:rPr>
          <w:rFonts w:asciiTheme="minorHAnsi" w:eastAsiaTheme="minorEastAsia" w:hAnsiTheme="minorHAnsi" w:cstheme="minorBidi"/>
          <w:szCs w:val="22"/>
        </w:rPr>
      </w:pPr>
      <w:r>
        <w:t>43.</w:t>
      </w:r>
      <w:r>
        <w:tab/>
        <w:t>Review by Board — procedural decisions</w:t>
      </w:r>
      <w:r>
        <w:tab/>
      </w:r>
      <w:r>
        <w:fldChar w:fldCharType="begin"/>
      </w:r>
      <w:r>
        <w:instrText xml:space="preserve"> PAGEREF _Toc482888450 \h </w:instrText>
      </w:r>
      <w:r>
        <w:fldChar w:fldCharType="separate"/>
      </w:r>
      <w:r>
        <w:t>36</w:t>
      </w:r>
      <w:r>
        <w:fldChar w:fldCharType="end"/>
      </w:r>
    </w:p>
    <w:p>
      <w:pPr>
        <w:pStyle w:val="TOC8"/>
        <w:rPr>
          <w:rFonts w:asciiTheme="minorHAnsi" w:eastAsiaTheme="minorEastAsia" w:hAnsiTheme="minorHAnsi" w:cstheme="minorBidi"/>
          <w:szCs w:val="22"/>
        </w:rPr>
      </w:pPr>
      <w:r>
        <w:t>44.</w:t>
      </w:r>
      <w:r>
        <w:tab/>
        <w:t>Application for review</w:t>
      </w:r>
      <w:r>
        <w:tab/>
      </w:r>
      <w:r>
        <w:fldChar w:fldCharType="begin"/>
      </w:r>
      <w:r>
        <w:instrText xml:space="preserve"> PAGEREF _Toc482888451 \h </w:instrText>
      </w:r>
      <w:r>
        <w:fldChar w:fldCharType="separate"/>
      </w:r>
      <w:r>
        <w:t>36</w:t>
      </w:r>
      <w:r>
        <w:fldChar w:fldCharType="end"/>
      </w:r>
    </w:p>
    <w:p>
      <w:pPr>
        <w:pStyle w:val="TOC8"/>
        <w:rPr>
          <w:rFonts w:asciiTheme="minorHAnsi" w:eastAsiaTheme="minorEastAsia" w:hAnsiTheme="minorHAnsi" w:cstheme="minorBidi"/>
          <w:szCs w:val="22"/>
        </w:rPr>
      </w:pPr>
      <w:r>
        <w:t>45.</w:t>
      </w:r>
      <w:r>
        <w:tab/>
        <w:t>Effect of application for review</w:t>
      </w:r>
      <w:r>
        <w:tab/>
      </w:r>
      <w:r>
        <w:fldChar w:fldCharType="begin"/>
      </w:r>
      <w:r>
        <w:instrText xml:space="preserve"> PAGEREF _Toc482888452 \h </w:instrText>
      </w:r>
      <w:r>
        <w:fldChar w:fldCharType="separate"/>
      </w:r>
      <w:r>
        <w:t>37</w:t>
      </w:r>
      <w:r>
        <w:fldChar w:fldCharType="end"/>
      </w:r>
    </w:p>
    <w:p>
      <w:pPr>
        <w:pStyle w:val="TOC8"/>
        <w:rPr>
          <w:rFonts w:asciiTheme="minorHAnsi" w:eastAsiaTheme="minorEastAsia" w:hAnsiTheme="minorHAnsi" w:cstheme="minorBidi"/>
          <w:szCs w:val="22"/>
        </w:rPr>
      </w:pPr>
      <w:r>
        <w:t>46.</w:t>
      </w:r>
      <w:r>
        <w:tab/>
        <w:t>Conferences</w:t>
      </w:r>
      <w:r>
        <w:tab/>
      </w:r>
      <w:r>
        <w:fldChar w:fldCharType="begin"/>
      </w:r>
      <w:r>
        <w:instrText xml:space="preserve"> PAGEREF _Toc482888453 \h </w:instrText>
      </w:r>
      <w:r>
        <w:fldChar w:fldCharType="separate"/>
      </w:r>
      <w:r>
        <w:t>38</w:t>
      </w:r>
      <w:r>
        <w:fldChar w:fldCharType="end"/>
      </w:r>
    </w:p>
    <w:p>
      <w:pPr>
        <w:pStyle w:val="TOC8"/>
        <w:rPr>
          <w:rFonts w:asciiTheme="minorHAnsi" w:eastAsiaTheme="minorEastAsia" w:hAnsiTheme="minorHAnsi" w:cstheme="minorBidi"/>
          <w:szCs w:val="22"/>
        </w:rPr>
      </w:pPr>
      <w:r>
        <w:t>47.</w:t>
      </w:r>
      <w:r>
        <w:tab/>
        <w:t>Procedure</w:t>
      </w:r>
      <w:r>
        <w:tab/>
      </w:r>
      <w:r>
        <w:fldChar w:fldCharType="begin"/>
      </w:r>
      <w:r>
        <w:instrText xml:space="preserve"> PAGEREF _Toc482888454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The Board</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_Toc482888456 \h </w:instrText>
      </w:r>
      <w:r>
        <w:fldChar w:fldCharType="separate"/>
      </w:r>
      <w:r>
        <w:t>41</w:t>
      </w:r>
      <w:r>
        <w:fldChar w:fldCharType="end"/>
      </w:r>
    </w:p>
    <w:p>
      <w:pPr>
        <w:pStyle w:val="TOC8"/>
        <w:rPr>
          <w:rFonts w:asciiTheme="minorHAnsi" w:eastAsiaTheme="minorEastAsia" w:hAnsiTheme="minorHAnsi" w:cstheme="minorBidi"/>
          <w:szCs w:val="22"/>
        </w:rPr>
      </w:pPr>
      <w:r>
        <w:t>49.</w:t>
      </w:r>
      <w:r>
        <w:tab/>
        <w:t>Functions of Board</w:t>
      </w:r>
      <w:r>
        <w:tab/>
      </w:r>
      <w:r>
        <w:fldChar w:fldCharType="begin"/>
      </w:r>
      <w:r>
        <w:instrText xml:space="preserve"> PAGEREF _Toc482888457 \h </w:instrText>
      </w:r>
      <w:r>
        <w:fldChar w:fldCharType="separate"/>
      </w:r>
      <w:r>
        <w:t>41</w:t>
      </w:r>
      <w:r>
        <w:fldChar w:fldCharType="end"/>
      </w:r>
    </w:p>
    <w:p>
      <w:pPr>
        <w:pStyle w:val="TOC8"/>
        <w:rPr>
          <w:rFonts w:asciiTheme="minorHAnsi" w:eastAsiaTheme="minorEastAsia" w:hAnsiTheme="minorHAnsi" w:cstheme="minorBidi"/>
          <w:szCs w:val="22"/>
        </w:rPr>
      </w:pPr>
      <w:r>
        <w:t>50.</w:t>
      </w:r>
      <w:r>
        <w:tab/>
        <w:t>Proceedings before Board</w:t>
      </w:r>
      <w:r>
        <w:tab/>
      </w:r>
      <w:r>
        <w:fldChar w:fldCharType="begin"/>
      </w:r>
      <w:r>
        <w:instrText xml:space="preserve"> PAGEREF _Toc482888458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8 — Limitation of liability</w:t>
      </w:r>
    </w:p>
    <w:p>
      <w:pPr>
        <w:pStyle w:val="TOC8"/>
        <w:rPr>
          <w:rFonts w:asciiTheme="minorHAnsi" w:eastAsiaTheme="minorEastAsia" w:hAnsiTheme="minorHAnsi" w:cstheme="minorBidi"/>
          <w:szCs w:val="22"/>
        </w:rPr>
      </w:pPr>
      <w:r>
        <w:t>51.</w:t>
      </w:r>
      <w:r>
        <w:tab/>
        <w:t>Persons exempt from section 126(3)(a) of Act</w:t>
      </w:r>
      <w:r>
        <w:tab/>
      </w:r>
      <w:r>
        <w:fldChar w:fldCharType="begin"/>
      </w:r>
      <w:r>
        <w:instrText xml:space="preserve"> PAGEREF _Toc482888460 \h </w:instrText>
      </w:r>
      <w:r>
        <w:fldChar w:fldCharType="separate"/>
      </w:r>
      <w:r>
        <w:t>44</w:t>
      </w:r>
      <w:r>
        <w:fldChar w:fldCharType="end"/>
      </w:r>
    </w:p>
    <w:p>
      <w:pPr>
        <w:pStyle w:val="TOC8"/>
        <w:rPr>
          <w:rFonts w:asciiTheme="minorHAnsi" w:eastAsiaTheme="minorEastAsia" w:hAnsiTheme="minorHAnsi" w:cstheme="minorBidi"/>
          <w:szCs w:val="22"/>
        </w:rPr>
      </w:pPr>
      <w:r>
        <w:t>52.</w:t>
      </w:r>
      <w:r>
        <w:tab/>
        <w:t>Maximum civil monetary liability for certain market governance participants</w:t>
      </w:r>
      <w:r>
        <w:tab/>
      </w:r>
      <w:r>
        <w:fldChar w:fldCharType="begin"/>
      </w:r>
      <w:r>
        <w:instrText xml:space="preserve"> PAGEREF _Toc482888461 \h </w:instrText>
      </w:r>
      <w:r>
        <w:fldChar w:fldCharType="separate"/>
      </w:r>
      <w:r>
        <w:t>44</w:t>
      </w:r>
      <w:r>
        <w:fldChar w:fldCharType="end"/>
      </w:r>
    </w:p>
    <w:p>
      <w:pPr>
        <w:pStyle w:val="TOC8"/>
        <w:rPr>
          <w:rFonts w:asciiTheme="minorHAnsi" w:eastAsiaTheme="minorEastAsia" w:hAnsiTheme="minorHAnsi" w:cstheme="minorBidi"/>
          <w:szCs w:val="22"/>
        </w:rPr>
      </w:pPr>
      <w:r>
        <w:t>53.</w:t>
      </w:r>
      <w:r>
        <w:tab/>
        <w:t>Maximum civil monetary liability for officers and employees of market governance participants</w:t>
      </w:r>
      <w:r>
        <w:tab/>
      </w:r>
      <w:r>
        <w:fldChar w:fldCharType="begin"/>
      </w:r>
      <w:r>
        <w:instrText xml:space="preserve"> PAGEREF _Toc482888462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information and advice to Minister</w:t>
      </w:r>
    </w:p>
    <w:p>
      <w:pPr>
        <w:pStyle w:val="TOC8"/>
        <w:rPr>
          <w:rFonts w:asciiTheme="minorHAnsi" w:eastAsiaTheme="minorEastAsia" w:hAnsiTheme="minorHAnsi" w:cstheme="minorBidi"/>
          <w:szCs w:val="22"/>
        </w:rPr>
      </w:pPr>
      <w:r>
        <w:t>54.</w:t>
      </w:r>
      <w:r>
        <w:tab/>
        <w:t>Provision of information and advice to Minister: operator’s functions</w:t>
      </w:r>
      <w:r>
        <w:tab/>
      </w:r>
      <w:r>
        <w:fldChar w:fldCharType="begin"/>
      </w:r>
      <w:r>
        <w:instrText xml:space="preserve"> PAGEREF _Toc482888464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10 — Authority may prosecute offences</w:t>
      </w:r>
    </w:p>
    <w:p>
      <w:pPr>
        <w:pStyle w:val="TOC8"/>
        <w:rPr>
          <w:rFonts w:asciiTheme="minorHAnsi" w:eastAsiaTheme="minorEastAsia" w:hAnsiTheme="minorHAnsi" w:cstheme="minorBidi"/>
          <w:szCs w:val="22"/>
        </w:rPr>
      </w:pPr>
      <w:r>
        <w:t>55.</w:t>
      </w:r>
      <w:r>
        <w:tab/>
        <w:t>Authority may prosecute offences</w:t>
      </w:r>
      <w:r>
        <w:tab/>
      </w:r>
      <w:r>
        <w:fldChar w:fldCharType="begin"/>
      </w:r>
      <w:r>
        <w:instrText xml:space="preserve"> PAGEREF _Toc482888466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_Toc482888469 \h </w:instrText>
      </w:r>
      <w:r>
        <w:fldChar w:fldCharType="separate"/>
      </w:r>
      <w:r>
        <w:t>57</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_Toc482888470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_Toc482888472 \h </w:instrText>
      </w:r>
      <w:r>
        <w:fldChar w:fldCharType="separate"/>
      </w:r>
      <w:r>
        <w:t>59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_Toc482888473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3" w:name="_Toc473900054"/>
      <w:bookmarkStart w:id="4" w:name="_Toc473900137"/>
      <w:bookmarkStart w:id="5" w:name="_Toc48288839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82888393"/>
      <w:r>
        <w:rPr>
          <w:rStyle w:val="CharSectno"/>
        </w:rPr>
        <w:t>1</w:t>
      </w:r>
      <w:r>
        <w:t>.</w:t>
      </w:r>
      <w:r>
        <w:tab/>
        <w:t>Citation</w:t>
      </w:r>
      <w:bookmarkEnd w:id="6"/>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7" w:name="_Toc482888394"/>
      <w:r>
        <w:rPr>
          <w:rStyle w:val="CharSectno"/>
        </w:rPr>
        <w:t>2</w:t>
      </w:r>
      <w:r>
        <w:t>.</w:t>
      </w:r>
      <w:r>
        <w:tab/>
        <w:t>Purpose</w:t>
      </w:r>
      <w:bookmarkEnd w:id="7"/>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8" w:name="_Toc482888395"/>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Limited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Electricity Industry (Independent Market Operator) Regulations 2004</w:t>
      </w:r>
      <w:r>
        <w:t>;</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pPr>
      <w:r>
        <w:tab/>
      </w:r>
      <w:r>
        <w:rPr>
          <w:rStyle w:val="CharDefText"/>
        </w:rPr>
        <w:t>operator</w:t>
      </w:r>
      <w:r>
        <w:t xml:space="preserve"> means the AEMO;</w:t>
      </w:r>
    </w:p>
    <w:p>
      <w:pPr>
        <w:pStyle w:val="Defstart"/>
        <w:spacing w:before="60"/>
      </w:pPr>
      <w:r>
        <w:rPr>
          <w:b/>
        </w:rPr>
        <w:tab/>
      </w:r>
      <w:r>
        <w:rPr>
          <w:rStyle w:val="CharDefText"/>
        </w:rPr>
        <w:t>registered participant</w:t>
      </w:r>
      <w:r>
        <w:t xml:space="preserve"> means a participant described in section 121(2)(a) of the Act;</w:t>
      </w:r>
    </w:p>
    <w:p>
      <w:pPr>
        <w:pStyle w:val="Defstart"/>
      </w:pPr>
      <w:r>
        <w:rPr>
          <w:b/>
        </w:rPr>
        <w:tab/>
      </w:r>
      <w:r>
        <w:rPr>
          <w:rStyle w:val="CharDefText"/>
        </w:rPr>
        <w:t>Rule Change Panel</w:t>
      </w:r>
      <w:r>
        <w:t xml:space="preserve"> means the Rule Change Panel established by the </w:t>
      </w:r>
      <w:r>
        <w:rPr>
          <w:i/>
        </w:rPr>
        <w:t>Energy Industry (Rule Change Panel) Regulations 2016</w:t>
      </w:r>
      <w:r>
        <w:t xml:space="preserve"> regulation 4;</w:t>
      </w:r>
    </w:p>
    <w:p>
      <w:pPr>
        <w:pStyle w:val="Defstart"/>
        <w:spacing w:before="60"/>
      </w:pPr>
      <w:r>
        <w:rPr>
          <w:b/>
          <w:i/>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in Gazette 16 Aug 2005 p. 3829; </w:t>
      </w:r>
      <w:r>
        <w:rPr>
          <w:szCs w:val="24"/>
        </w:rPr>
        <w:t>2 Oct 2015 p. 39</w:t>
      </w:r>
      <w:r>
        <w:t>31; 13 Nov 2015 p. 4633; 23 Nov 2016 p. 5265.]</w:t>
      </w:r>
    </w:p>
    <w:p>
      <w:pPr>
        <w:pStyle w:val="Heading5"/>
      </w:pPr>
      <w:bookmarkStart w:id="9" w:name="_Toc482888396"/>
      <w:r>
        <w:rPr>
          <w:rStyle w:val="CharSectno"/>
        </w:rPr>
        <w:t>4A</w:t>
      </w:r>
      <w:r>
        <w:t>.</w:t>
      </w:r>
      <w:r>
        <w:tab/>
        <w:t>References to provisions of market rules in Schedules 1 and 2</w:t>
      </w:r>
      <w:bookmarkEnd w:id="9"/>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in Gazette 24 Feb 2015 p. 737.]</w:t>
      </w:r>
    </w:p>
    <w:p>
      <w:pPr>
        <w:pStyle w:val="Heading5"/>
      </w:pPr>
      <w:bookmarkStart w:id="10" w:name="_Toc482888397"/>
      <w:r>
        <w:rPr>
          <w:rStyle w:val="CharSectno"/>
        </w:rPr>
        <w:t>4</w:t>
      </w:r>
      <w:r>
        <w:t>.</w:t>
      </w:r>
      <w:r>
        <w:tab/>
        <w:t>Effect on earlier regulations and rules</w:t>
      </w:r>
      <w:bookmarkEnd w:id="10"/>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11" w:name="_Toc473900060"/>
      <w:bookmarkStart w:id="12" w:name="_Toc473900143"/>
      <w:bookmarkStart w:id="13" w:name="_Toc482888398"/>
      <w:r>
        <w:rPr>
          <w:rStyle w:val="CharPartNo"/>
        </w:rPr>
        <w:t>Part 2</w:t>
      </w:r>
      <w:r>
        <w:rPr>
          <w:rStyle w:val="CharDivNo"/>
        </w:rPr>
        <w:t> </w:t>
      </w:r>
      <w:r>
        <w:t>—</w:t>
      </w:r>
      <w:r>
        <w:rPr>
          <w:rStyle w:val="CharDivText"/>
        </w:rPr>
        <w:t> </w:t>
      </w:r>
      <w:r>
        <w:rPr>
          <w:rStyle w:val="CharPartText"/>
        </w:rPr>
        <w:t>The market rules</w:t>
      </w:r>
      <w:bookmarkEnd w:id="11"/>
      <w:bookmarkEnd w:id="12"/>
      <w:bookmarkEnd w:id="13"/>
    </w:p>
    <w:p>
      <w:pPr>
        <w:pStyle w:val="Heading5"/>
      </w:pPr>
      <w:bookmarkStart w:id="14" w:name="_Toc482888399"/>
      <w:r>
        <w:rPr>
          <w:rStyle w:val="CharSectno"/>
        </w:rPr>
        <w:t>5</w:t>
      </w:r>
      <w:r>
        <w:t>.</w:t>
      </w:r>
      <w:r>
        <w:tab/>
        <w:t>Market rules</w:t>
      </w:r>
      <w:bookmarkEnd w:id="14"/>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15" w:name="_Toc482888400"/>
      <w:r>
        <w:rPr>
          <w:rStyle w:val="CharSectno"/>
        </w:rPr>
        <w:t>6</w:t>
      </w:r>
      <w:r>
        <w:t>.</w:t>
      </w:r>
      <w:r>
        <w:tab/>
        <w:t>Market rules: general provisions</w:t>
      </w:r>
      <w:bookmarkEnd w:id="15"/>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16" w:name="_Toc482888401"/>
      <w:r>
        <w:rPr>
          <w:rStyle w:val="CharSectno"/>
        </w:rPr>
        <w:t>7</w:t>
      </w:r>
      <w:r>
        <w:t>.</w:t>
      </w:r>
      <w:r>
        <w:tab/>
        <w:t>Amending market rules</w:t>
      </w:r>
      <w:bookmarkEnd w:id="16"/>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 xml:space="preserve">Despite anything in this regulation or the market rules — </w:t>
      </w:r>
    </w:p>
    <w:p>
      <w:pPr>
        <w:pStyle w:val="Indenta"/>
      </w:pPr>
      <w:r>
        <w:tab/>
        <w:t>(a)</w:t>
      </w:r>
      <w:r>
        <w:tab/>
        <w:t>rules replacing the market rules in whole are to be made by the Minister and regulation 6(6) applies to them; and</w:t>
      </w:r>
    </w:p>
    <w:p>
      <w:pPr>
        <w:pStyle w:val="Indenta"/>
      </w:pPr>
      <w:r>
        <w:tab/>
        <w:t>(b)</w:t>
      </w:r>
      <w:r>
        <w:tab/>
        <w:t>rules amending, repealing or replacing market rules dealing with the matters referred to in regulation 12B(2) must be approved by the Minister before they are made.</w:t>
      </w:r>
    </w:p>
    <w:p>
      <w:pPr>
        <w:pStyle w:val="Subsection"/>
      </w:pPr>
      <w:r>
        <w:tab/>
        <w:t>(4)</w:t>
      </w:r>
      <w:r>
        <w:tab/>
        <w:t xml:space="preserve">Despite anything in this regulation or the market rules, the Minister may make amending rules during the period beginning on the day on which the </w:t>
      </w:r>
      <w:r>
        <w:rPr>
          <w:i/>
        </w:rPr>
        <w:t>Electricity Industry (Wholesale Electricity Market) Amendment Regulations (No. 3) 2015</w:t>
      </w:r>
      <w:r>
        <w:t xml:space="preserve"> regulation 5 comes into operation and ending on 1 July 2017.</w:t>
      </w:r>
    </w:p>
    <w:p>
      <w:pPr>
        <w:pStyle w:val="Footnotesection"/>
      </w:pPr>
      <w:r>
        <w:tab/>
        <w:t>[Regulation 7 amended in Gazette 13 Nov 2015 p. 4633</w:t>
      </w:r>
      <w:r>
        <w:noBreakHyphen/>
        <w:t>4; 23 Nov 2016 p. 5266.]</w:t>
      </w:r>
    </w:p>
    <w:p>
      <w:pPr>
        <w:pStyle w:val="Heading5"/>
      </w:pPr>
      <w:bookmarkStart w:id="17" w:name="_Toc482888402"/>
      <w:r>
        <w:rPr>
          <w:rStyle w:val="CharSectno"/>
        </w:rPr>
        <w:t>8</w:t>
      </w:r>
      <w:r>
        <w:t>.</w:t>
      </w:r>
      <w:r>
        <w:tab/>
        <w:t>Availability of copies of market rules</w:t>
      </w:r>
      <w:bookmarkEnd w:id="17"/>
    </w:p>
    <w:p>
      <w:pPr>
        <w:pStyle w:val="Subsection"/>
      </w:pPr>
      <w:r>
        <w:tab/>
      </w:r>
      <w:r>
        <w:tab/>
        <w:t xml:space="preserve">The Authority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a website maintained by the Authority.</w:t>
      </w:r>
    </w:p>
    <w:p>
      <w:pPr>
        <w:pStyle w:val="Footnotesection"/>
      </w:pPr>
      <w:r>
        <w:tab/>
        <w:t>[Regulation 8 amended in Gazette 23 Nov 2016 p. 5266.]</w:t>
      </w:r>
    </w:p>
    <w:p>
      <w:pPr>
        <w:pStyle w:val="Heading5"/>
      </w:pPr>
      <w:bookmarkStart w:id="18" w:name="_Toc482888403"/>
      <w:r>
        <w:rPr>
          <w:rStyle w:val="CharSectno"/>
        </w:rPr>
        <w:t>9</w:t>
      </w:r>
      <w:r>
        <w:t>.</w:t>
      </w:r>
      <w:r>
        <w:tab/>
        <w:t>Market procedures</w:t>
      </w:r>
      <w:bookmarkEnd w:id="18"/>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19" w:name="_Toc482888404"/>
      <w:r>
        <w:rPr>
          <w:rStyle w:val="CharSectno"/>
        </w:rPr>
        <w:t>10</w:t>
      </w:r>
      <w:r>
        <w:t>.</w:t>
      </w:r>
      <w:r>
        <w:tab/>
        <w:t>Functions of Ministers</w:t>
      </w:r>
      <w:bookmarkEnd w:id="19"/>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20" w:name="_Toc482888405"/>
      <w:r>
        <w:rPr>
          <w:rStyle w:val="CharSectno"/>
        </w:rPr>
        <w:t>11</w:t>
      </w:r>
      <w:r>
        <w:t>.</w:t>
      </w:r>
      <w:r>
        <w:tab/>
        <w:t>Functions of Economic Regulation Authority</w:t>
      </w:r>
      <w:bookmarkEnd w:id="20"/>
    </w:p>
    <w:p>
      <w:pPr>
        <w:pStyle w:val="Subsection"/>
      </w:pPr>
      <w:r>
        <w:tab/>
        <w:t>(1)</w:t>
      </w:r>
      <w:r>
        <w:tab/>
        <w:t>The market rules may confer functions and impose requirements on the Authority.</w:t>
      </w:r>
    </w:p>
    <w:p>
      <w:pPr>
        <w:pStyle w:val="Subsection"/>
      </w:pPr>
      <w:r>
        <w:tab/>
        <w:t>(2)</w:t>
      </w:r>
      <w:r>
        <w:tab/>
        <w:t>The Authority is responsible for the development, in accordance with the market rules, of amendments of and replacements for the market procedures, to the extent to which the procedures relate to its functions.</w:t>
      </w:r>
    </w:p>
    <w:p>
      <w:pPr>
        <w:pStyle w:val="Subsection"/>
      </w:pPr>
      <w:r>
        <w:tab/>
        <w:t>(3)</w:t>
      </w:r>
      <w:r>
        <w:tab/>
        <w:t>The Authority is to maintain an internet website for the purpose of publishing and releasing information to participants that relates to its functions under the market rules.</w:t>
      </w:r>
    </w:p>
    <w:p>
      <w:pPr>
        <w:pStyle w:val="Footnotesection"/>
      </w:pPr>
      <w:r>
        <w:tab/>
        <w:t>[Regulation 11 inserted in Gazette 24 Jun 2016 p. 2297.]</w:t>
      </w:r>
    </w:p>
    <w:p>
      <w:pPr>
        <w:pStyle w:val="Heading5"/>
      </w:pPr>
      <w:bookmarkStart w:id="21" w:name="_Toc482888406"/>
      <w:r>
        <w:rPr>
          <w:rStyle w:val="CharSectno"/>
        </w:rPr>
        <w:t>12</w:t>
      </w:r>
      <w:r>
        <w:t>.</w:t>
      </w:r>
      <w:r>
        <w:tab/>
        <w:t>Functions of operator and IMO</w:t>
      </w:r>
      <w:bookmarkEnd w:id="21"/>
    </w:p>
    <w:p>
      <w:pPr>
        <w:pStyle w:val="Subsection"/>
        <w:spacing w:before="120"/>
      </w:pPr>
      <w:r>
        <w:tab/>
        <w:t>(1)</w:t>
      </w:r>
      <w:r>
        <w:tab/>
        <w:t>The market rules may confer functions and impose requirements on the operator and on the IMO.</w:t>
      </w:r>
    </w:p>
    <w:p>
      <w:pPr>
        <w:pStyle w:val="Subsection"/>
        <w:spacing w:before="120"/>
      </w:pPr>
      <w:r>
        <w:tab/>
        <w:t>(2A)</w:t>
      </w:r>
      <w:r>
        <w:tab/>
        <w:t>The operator is responsible for the development, in accordance with the market rules, of amendments of and replacements for the market procedures, to the extent to which the procedures relate to its functions.</w:t>
      </w:r>
    </w:p>
    <w:p>
      <w:pPr>
        <w:pStyle w:val="Subsection"/>
        <w:spacing w:before="120"/>
      </w:pPr>
      <w:r>
        <w:tab/>
        <w:t>(2)</w:t>
      </w:r>
      <w:r>
        <w:tab/>
        <w:t>The IMO is responsible for the development, in accordance with the market rules, of amendments of and replacements for the market procedures, to the extent to which the procedures relate to its functions.</w:t>
      </w:r>
    </w:p>
    <w:p>
      <w:pPr>
        <w:pStyle w:val="Subsection"/>
        <w:spacing w:before="120"/>
      </w:pPr>
      <w:r>
        <w:tab/>
        <w:t>(3)</w:t>
      </w:r>
      <w:r>
        <w:tab/>
        <w:t>The operator is to maintain an internet website for the purpose of publishing and releasing information to participants.</w:t>
      </w:r>
    </w:p>
    <w:p>
      <w:pPr>
        <w:pStyle w:val="Subsection"/>
        <w:spacing w:before="120"/>
      </w:pPr>
      <w:r>
        <w:tab/>
        <w:t>(4)</w:t>
      </w:r>
      <w:r>
        <w:tab/>
        <w:t>The market rules may make provision for financial, accounting and governance matters in relation to the performance by the operator and the IMO of functions under the market rules.</w:t>
      </w:r>
    </w:p>
    <w:p>
      <w:pPr>
        <w:pStyle w:val="Ednotesubsection"/>
      </w:pPr>
      <w:r>
        <w:tab/>
        <w:t>[(5)</w:t>
      </w:r>
      <w:r>
        <w:tab/>
        <w:t>deleted]</w:t>
      </w:r>
    </w:p>
    <w:p>
      <w:pPr>
        <w:pStyle w:val="Footnotesection"/>
      </w:pPr>
      <w:r>
        <w:tab/>
        <w:t>[Regulation 12 amended in Gazette 13 Nov 2015 p. 4634 and 4637; 23 Nov 2016 p. 5266.]</w:t>
      </w:r>
    </w:p>
    <w:p>
      <w:pPr>
        <w:pStyle w:val="Heading5"/>
      </w:pPr>
      <w:bookmarkStart w:id="22" w:name="_Toc482888407"/>
      <w:r>
        <w:rPr>
          <w:rStyle w:val="CharSectno"/>
        </w:rPr>
        <w:t>12A</w:t>
      </w:r>
      <w:r>
        <w:t>.</w:t>
      </w:r>
      <w:r>
        <w:tab/>
        <w:t>Functions of electricity corporations</w:t>
      </w:r>
      <w:bookmarkEnd w:id="22"/>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in Gazette 31 Mar 2006 p. 1321; amended in Gazette 27 Dec 2013 p. 6475.]</w:t>
      </w:r>
    </w:p>
    <w:p>
      <w:pPr>
        <w:pStyle w:val="Heading5"/>
      </w:pPr>
      <w:bookmarkStart w:id="23" w:name="_Toc482888408"/>
      <w:r>
        <w:rPr>
          <w:rStyle w:val="CharSectno"/>
        </w:rPr>
        <w:t>12B</w:t>
      </w:r>
      <w:r>
        <w:t>.</w:t>
      </w:r>
      <w:r>
        <w:tab/>
        <w:t>Functions of Rule Change Panel</w:t>
      </w:r>
      <w:bookmarkEnd w:id="23"/>
    </w:p>
    <w:p>
      <w:pPr>
        <w:pStyle w:val="Subsection"/>
      </w:pPr>
      <w:r>
        <w:tab/>
        <w:t>(1)</w:t>
      </w:r>
      <w:r>
        <w:tab/>
        <w:t>The market rules may confer functions on the Rule Change Panel to the extent to which those functions relate to the matters referred to in regulation 7(1).</w:t>
      </w:r>
    </w:p>
    <w:p>
      <w:pPr>
        <w:pStyle w:val="Subsection"/>
      </w:pPr>
      <w:r>
        <w:tab/>
        <w:t>(2)</w:t>
      </w:r>
      <w:r>
        <w:tab/>
        <w:t>The market rules may make provision for governance matters, including financial management, relating to the performance of the functions of the Rule Change Panel under these regulations and the market rules.</w:t>
      </w:r>
    </w:p>
    <w:p>
      <w:pPr>
        <w:pStyle w:val="Footnotesection"/>
      </w:pPr>
      <w:r>
        <w:tab/>
        <w:t>[Regulation 12B inserted in Gazette 23 Nov 2016 p. 5267.]</w:t>
      </w:r>
    </w:p>
    <w:p>
      <w:pPr>
        <w:pStyle w:val="Heading5"/>
      </w:pPr>
      <w:bookmarkStart w:id="24" w:name="_Toc482888409"/>
      <w:r>
        <w:rPr>
          <w:rStyle w:val="CharSectno"/>
        </w:rPr>
        <w:t>13</w:t>
      </w:r>
      <w:r>
        <w:t>.</w:t>
      </w:r>
      <w:r>
        <w:tab/>
        <w:t>Functions of System Management</w:t>
      </w:r>
      <w:bookmarkEnd w:id="24"/>
    </w:p>
    <w:p>
      <w:pPr>
        <w:pStyle w:val="Subsection"/>
      </w:pPr>
      <w:r>
        <w:tab/>
        <w:t>(1)</w:t>
      </w:r>
      <w:r>
        <w:tab/>
        <w:t>The market rules are to confer on an entity the function of ensuring that the SWIS is operated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 13 Nov 2015 p. 4634 and 4637.]</w:t>
      </w:r>
    </w:p>
    <w:p>
      <w:pPr>
        <w:pStyle w:val="Heading5"/>
      </w:pPr>
      <w:bookmarkStart w:id="25" w:name="_Toc482888410"/>
      <w:r>
        <w:rPr>
          <w:rStyle w:val="CharSectno"/>
        </w:rPr>
        <w:t>14</w:t>
      </w:r>
      <w:r>
        <w:t>.</w:t>
      </w:r>
      <w:r>
        <w:tab/>
        <w:t>Market rules as to registration</w:t>
      </w:r>
      <w:bookmarkEnd w:id="25"/>
    </w:p>
    <w:p>
      <w:pPr>
        <w:pStyle w:val="Subsection"/>
      </w:pPr>
      <w:r>
        <w:tab/>
      </w:r>
      <w:r>
        <w:tab/>
        <w:t xml:space="preserve">The market rules may provide for the registration by the operator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operator;</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Footnotesection"/>
      </w:pPr>
      <w:r>
        <w:tab/>
        <w:t>[Regulation 14 amended in Gazette 13 Nov 2015 p. 4637.]</w:t>
      </w:r>
    </w:p>
    <w:p>
      <w:pPr>
        <w:pStyle w:val="Heading5"/>
      </w:pPr>
      <w:bookmarkStart w:id="26" w:name="_Toc482888411"/>
      <w:r>
        <w:rPr>
          <w:rStyle w:val="CharSectno"/>
        </w:rPr>
        <w:t>15</w:t>
      </w:r>
      <w:r>
        <w:t>.</w:t>
      </w:r>
      <w:r>
        <w:tab/>
        <w:t>Functions of registered participants</w:t>
      </w:r>
      <w:bookmarkEnd w:id="26"/>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operator,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Footnotesection"/>
      </w:pPr>
      <w:r>
        <w:tab/>
        <w:t>[Regulation 15 amended in Gazette 13 Nov 2015 p. 4634.]</w:t>
      </w:r>
    </w:p>
    <w:p>
      <w:pPr>
        <w:pStyle w:val="Heading5"/>
      </w:pPr>
      <w:bookmarkStart w:id="27" w:name="_Toc482888412"/>
      <w:r>
        <w:rPr>
          <w:rStyle w:val="CharSectno"/>
        </w:rPr>
        <w:t>16</w:t>
      </w:r>
      <w:r>
        <w:t>.</w:t>
      </w:r>
      <w:r>
        <w:tab/>
        <w:t>Evidence as to registered participants and exemptions</w:t>
      </w:r>
      <w:bookmarkEnd w:id="27"/>
    </w:p>
    <w:p>
      <w:pPr>
        <w:pStyle w:val="Subsection"/>
      </w:pPr>
      <w:r>
        <w:tab/>
        <w:t>(1)</w:t>
      </w:r>
      <w:r>
        <w:tab/>
        <w:t>A certificate signed by the chief executive officer, an officer or a director of the operator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operator certifying that a person has been granted an exemption under the market rules from the requirement to be registered in accordance with the market rules in relation to an activity is evidence that the person has been so exempted.</w:t>
      </w:r>
    </w:p>
    <w:p>
      <w:pPr>
        <w:pStyle w:val="Subsection"/>
      </w:pPr>
      <w:r>
        <w:tab/>
        <w:t>(3)</w:t>
      </w:r>
      <w:r>
        <w:tab/>
        <w:t xml:space="preserve">A certificate under subregulation (1) or (2), that was signed before the time at which the </w:t>
      </w:r>
      <w:r>
        <w:rPr>
          <w:i/>
        </w:rPr>
        <w:t>Electricity Industry (Wholesale Electricity Market) Amendment Regulations (No. 3) 2015</w:t>
      </w:r>
      <w:r>
        <w:t xml:space="preserve"> regulation 9 comes into operation and that has effect immediately before that time, has effect after that time, according to its terms, as if signed by the chief executive officer of the operator.</w:t>
      </w:r>
    </w:p>
    <w:p>
      <w:pPr>
        <w:pStyle w:val="Footnotesection"/>
      </w:pPr>
      <w:r>
        <w:tab/>
        <w:t>[Regulation 16 amended in Gazette 13 Nov 2015 p. 4635 and 4637.]</w:t>
      </w:r>
    </w:p>
    <w:p>
      <w:pPr>
        <w:pStyle w:val="Heading5"/>
      </w:pPr>
      <w:bookmarkStart w:id="28" w:name="_Toc482888413"/>
      <w:r>
        <w:rPr>
          <w:rStyle w:val="CharSectno"/>
        </w:rPr>
        <w:t>17</w:t>
      </w:r>
      <w:r>
        <w:t>.</w:t>
      </w:r>
      <w:r>
        <w:tab/>
        <w:t>Market rules generally</w:t>
      </w:r>
      <w:bookmarkEnd w:id="28"/>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29" w:name="_Toc482888414"/>
      <w:r>
        <w:rPr>
          <w:rStyle w:val="CharSectno"/>
        </w:rPr>
        <w:t>17A</w:t>
      </w:r>
      <w:r>
        <w:t>.</w:t>
      </w:r>
      <w:r>
        <w:tab/>
        <w:t>Transitional market rules for transfer of functions to AEMO</w:t>
      </w:r>
      <w:bookmarkEnd w:id="29"/>
    </w:p>
    <w:p>
      <w:pPr>
        <w:pStyle w:val="Subsection"/>
      </w:pPr>
      <w:r>
        <w:tab/>
        <w:t>(1)</w:t>
      </w:r>
      <w:r>
        <w:tab/>
        <w:t xml:space="preserve">Without limiting regulation 17(n), the market rules may provide for transitional matters arising in connection with the transfer of a function from a person (the </w:t>
      </w:r>
      <w:r>
        <w:rPr>
          <w:rStyle w:val="CharDefText"/>
        </w:rPr>
        <w:t>person</w:t>
      </w:r>
      <w:r>
        <w:t xml:space="preserve">) to the AEMO including, without limitation, by providing for — </w:t>
      </w:r>
    </w:p>
    <w:p>
      <w:pPr>
        <w:pStyle w:val="Indenta"/>
      </w:pPr>
      <w:r>
        <w:tab/>
        <w:t>(a)</w:t>
      </w:r>
      <w:r>
        <w:tab/>
        <w:t>a thing done or omitted to be done by, to or in relation to the person before the transfer to be taken after the transfer to have been done or omitted by, to or in relation to the AEMO; and</w:t>
      </w:r>
    </w:p>
    <w:p>
      <w:pPr>
        <w:pStyle w:val="Indenta"/>
      </w:pPr>
      <w:r>
        <w:tab/>
        <w:t>(b)</w:t>
      </w:r>
      <w:r>
        <w:tab/>
        <w:t>a right or obligation of the person before the transfer to be taken after the transfer to be a right or obligation of the AEMO; and</w:t>
      </w:r>
    </w:p>
    <w:p>
      <w:pPr>
        <w:pStyle w:val="Indenta"/>
      </w:pPr>
      <w:r>
        <w:tab/>
        <w:t>(c)</w:t>
      </w:r>
      <w:r>
        <w:tab/>
        <w:t>a reference to the person in an instrument or document made or given for the purposes of these regulations or the market rules to be taken after the transfer to be a reference to the AEMO.</w:t>
      </w:r>
    </w:p>
    <w:p>
      <w:pPr>
        <w:pStyle w:val="Subsection"/>
      </w:pPr>
      <w:r>
        <w:tab/>
        <w:t>(2)</w:t>
      </w:r>
      <w:r>
        <w:tab/>
        <w:t xml:space="preserve">A reference in this regulation to the transfer of a function from a person (the </w:t>
      </w:r>
      <w:r>
        <w:rPr>
          <w:rStyle w:val="CharDefText"/>
        </w:rPr>
        <w:t>person</w:t>
      </w:r>
      <w:r>
        <w:t xml:space="preserve">) to the AEMO is a reference to a function — </w:t>
      </w:r>
    </w:p>
    <w:p>
      <w:pPr>
        <w:pStyle w:val="Indenta"/>
      </w:pPr>
      <w:r>
        <w:tab/>
        <w:t>(a)</w:t>
      </w:r>
      <w:r>
        <w:tab/>
        <w:t>being conferred on the AEMO under these regulations or the market rules; and</w:t>
      </w:r>
    </w:p>
    <w:p>
      <w:pPr>
        <w:pStyle w:val="Indenta"/>
      </w:pPr>
      <w:r>
        <w:tab/>
        <w:t>(b)</w:t>
      </w:r>
      <w:r>
        <w:tab/>
        <w:t>ceasing to be a function of the person under these regulations or the market rules.</w:t>
      </w:r>
    </w:p>
    <w:p>
      <w:pPr>
        <w:pStyle w:val="Footnotesection"/>
      </w:pPr>
      <w:r>
        <w:tab/>
        <w:t>[Regulation 17A inserted in Gazette 25 Nov 2015 p. 4741-2.]</w:t>
      </w:r>
    </w:p>
    <w:p>
      <w:pPr>
        <w:pStyle w:val="Heading5"/>
      </w:pPr>
      <w:bookmarkStart w:id="30" w:name="_Toc482888415"/>
      <w:r>
        <w:rPr>
          <w:rStyle w:val="CharSectno"/>
        </w:rPr>
        <w:t>17B</w:t>
      </w:r>
      <w:r>
        <w:t>.</w:t>
      </w:r>
      <w:r>
        <w:tab/>
        <w:t>Transitional market rules for transfer of functions from IMO to Authority or Rule Change Panel</w:t>
      </w:r>
      <w:bookmarkEnd w:id="30"/>
    </w:p>
    <w:p>
      <w:pPr>
        <w:pStyle w:val="Subsection"/>
      </w:pPr>
      <w:r>
        <w:tab/>
        <w:t>(1)</w:t>
      </w:r>
      <w:r>
        <w:tab/>
        <w:t xml:space="preserve">Without limiting regulation 17(n), the market rules may provide for transitional matters arising in connection with the transfer of a function from the IMO to the Authority or Rule Change Panel including, without limitation, by providing for — </w:t>
      </w:r>
    </w:p>
    <w:p>
      <w:pPr>
        <w:pStyle w:val="Indenta"/>
      </w:pPr>
      <w:r>
        <w:tab/>
        <w:t>(a)</w:t>
      </w:r>
      <w:r>
        <w:tab/>
        <w:t>a thing done or omitted to be done by, to or in relation to the IMO before the transfer to be taken after the transfer to have been done or omitted by, to or in relation to the Authority or Rule Change Panel; and</w:t>
      </w:r>
    </w:p>
    <w:p>
      <w:pPr>
        <w:pStyle w:val="Indenta"/>
      </w:pPr>
      <w:r>
        <w:tab/>
        <w:t>(b)</w:t>
      </w:r>
      <w:r>
        <w:tab/>
        <w:t>a right or obligation of the IMO before the transfer to be taken after the transfer to be a right or obligation of the Authority or Rule Change Panel; and</w:t>
      </w:r>
    </w:p>
    <w:p>
      <w:pPr>
        <w:pStyle w:val="Indenta"/>
      </w:pPr>
      <w:r>
        <w:tab/>
        <w:t>(c)</w:t>
      </w:r>
      <w:r>
        <w:tab/>
        <w:t>a reference to the IMO in an instrument or document made or given for the purposes of these regulations or the market rules to be taken after the transfer to be a reference to the Authority or Rule Change Panel.</w:t>
      </w:r>
    </w:p>
    <w:p>
      <w:pPr>
        <w:pStyle w:val="Subsection"/>
      </w:pPr>
      <w:r>
        <w:tab/>
        <w:t>(2)</w:t>
      </w:r>
      <w:r>
        <w:tab/>
        <w:t xml:space="preserve">A reference in this regulation to the transfer of a function from the IMO to the Authority or Rule Change Panel is a reference to a function — </w:t>
      </w:r>
    </w:p>
    <w:p>
      <w:pPr>
        <w:pStyle w:val="Indenta"/>
      </w:pPr>
      <w:r>
        <w:tab/>
        <w:t>(a)</w:t>
      </w:r>
      <w:r>
        <w:tab/>
        <w:t>being conferred on the Authority or Rule Change Panel (whichever is relevant) under these regulations or the market rules; and</w:t>
      </w:r>
    </w:p>
    <w:p>
      <w:pPr>
        <w:pStyle w:val="Indenta"/>
      </w:pPr>
      <w:r>
        <w:tab/>
        <w:t>(b)</w:t>
      </w:r>
      <w:r>
        <w:tab/>
        <w:t>ceasing to be a function of the IMO under these regulations or the market rules.</w:t>
      </w:r>
    </w:p>
    <w:p>
      <w:pPr>
        <w:pStyle w:val="Footnotesection"/>
      </w:pPr>
      <w:r>
        <w:tab/>
        <w:t>[Regulation 17B inserted in Gazette 24 Jun 2016 p. 2297-8; amended in Gazette 23 Nov 2016 p. 5267</w:t>
      </w:r>
      <w:r>
        <w:noBreakHyphen/>
        <w:t>8.]</w:t>
      </w:r>
    </w:p>
    <w:p>
      <w:pPr>
        <w:pStyle w:val="Heading5"/>
      </w:pPr>
      <w:bookmarkStart w:id="31" w:name="_Toc482888416"/>
      <w:r>
        <w:rPr>
          <w:rStyle w:val="CharSectno"/>
        </w:rPr>
        <w:t>18</w:t>
      </w:r>
      <w:r>
        <w:t>.</w:t>
      </w:r>
      <w:r>
        <w:tab/>
        <w:t>Trade practices authorisation</w:t>
      </w:r>
      <w:bookmarkEnd w:id="31"/>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32" w:name="_Toc482888417"/>
      <w:r>
        <w:rPr>
          <w:rStyle w:val="CharSectno"/>
        </w:rPr>
        <w:t>18A</w:t>
      </w:r>
      <w:r>
        <w:t>.</w:t>
      </w:r>
      <w:r>
        <w:tab/>
        <w:t xml:space="preserve">Excluded matters for purposes of </w:t>
      </w:r>
      <w:r>
        <w:rPr>
          <w:i/>
          <w:iCs/>
        </w:rPr>
        <w:t>Corporations Act 2001</w:t>
      </w:r>
      <w:r>
        <w:t xml:space="preserve"> (Commonwealth)</w:t>
      </w:r>
      <w:bookmarkEnd w:id="32"/>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operator,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 amended in Gazette 13 Nov 2015 p. 4637.]</w:t>
      </w:r>
    </w:p>
    <w:p>
      <w:pPr>
        <w:pStyle w:val="Heading2"/>
      </w:pPr>
      <w:bookmarkStart w:id="33" w:name="_Toc473900080"/>
      <w:bookmarkStart w:id="34" w:name="_Toc473900163"/>
      <w:bookmarkStart w:id="35" w:name="_Toc482888418"/>
      <w:r>
        <w:rPr>
          <w:rStyle w:val="CharPartNo"/>
        </w:rPr>
        <w:t>Part 3</w:t>
      </w:r>
      <w:r>
        <w:rPr>
          <w:rStyle w:val="CharDivNo"/>
        </w:rPr>
        <w:t> </w:t>
      </w:r>
      <w:r>
        <w:t>—</w:t>
      </w:r>
      <w:r>
        <w:rPr>
          <w:rStyle w:val="CharDivText"/>
        </w:rPr>
        <w:t> </w:t>
      </w:r>
      <w:r>
        <w:rPr>
          <w:rStyle w:val="CharPartText"/>
        </w:rPr>
        <w:t>Registration requirement</w:t>
      </w:r>
      <w:bookmarkEnd w:id="33"/>
      <w:bookmarkEnd w:id="34"/>
      <w:bookmarkEnd w:id="35"/>
    </w:p>
    <w:p>
      <w:pPr>
        <w:pStyle w:val="Heading5"/>
      </w:pPr>
      <w:bookmarkStart w:id="36" w:name="_Toc482888419"/>
      <w:r>
        <w:rPr>
          <w:rStyle w:val="CharSectno"/>
        </w:rPr>
        <w:t>19</w:t>
      </w:r>
      <w:r>
        <w:t>.</w:t>
      </w:r>
      <w:r>
        <w:tab/>
        <w:t>Registration required for certain activities</w:t>
      </w:r>
      <w:bookmarkEnd w:id="36"/>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(2)</w:t>
      </w:r>
      <w:r>
        <w:tab/>
        <w:t xml:space="preserve">On or after the appointed day a person, other than the operator,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Authority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Footnotesection"/>
      </w:pPr>
      <w:r>
        <w:tab/>
        <w:t>[Regulation 19 amended in Gazette 13 Nov 2015 p. 4635; 24 Jun 2016 p. 2303.]</w:t>
      </w:r>
    </w:p>
    <w:p>
      <w:pPr>
        <w:pStyle w:val="Heading5"/>
      </w:pPr>
      <w:bookmarkStart w:id="37" w:name="_Toc482888420"/>
      <w:r>
        <w:rPr>
          <w:rStyle w:val="CharSectno"/>
        </w:rPr>
        <w:t>20</w:t>
      </w:r>
      <w:r>
        <w:t>.</w:t>
      </w:r>
      <w:r>
        <w:tab/>
        <w:t>Notice of failure to register</w:t>
      </w:r>
      <w:bookmarkEnd w:id="37"/>
    </w:p>
    <w:p>
      <w:pPr>
        <w:pStyle w:val="Subsection"/>
      </w:pPr>
      <w:r>
        <w:tab/>
      </w:r>
      <w:r>
        <w:tab/>
        <w:t xml:space="preserve">A notice under regulation 19 given by the Authority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Footnotesection"/>
      </w:pPr>
      <w:r>
        <w:tab/>
        <w:t>[Regulation 20 amended in Gazette 24 Jun 2016 p. 2303.]</w:t>
      </w:r>
    </w:p>
    <w:p>
      <w:pPr>
        <w:pStyle w:val="Heading2"/>
      </w:pPr>
      <w:bookmarkStart w:id="38" w:name="_Toc473900083"/>
      <w:bookmarkStart w:id="39" w:name="_Toc473900166"/>
      <w:bookmarkStart w:id="40" w:name="_Toc482888421"/>
      <w:r>
        <w:rPr>
          <w:rStyle w:val="CharPartNo"/>
        </w:rPr>
        <w:t>Part 4</w:t>
      </w:r>
      <w:r>
        <w:rPr>
          <w:rStyle w:val="CharDivNo"/>
        </w:rPr>
        <w:t> </w:t>
      </w:r>
      <w:r>
        <w:t>—</w:t>
      </w:r>
      <w:r>
        <w:rPr>
          <w:rStyle w:val="CharDivText"/>
        </w:rPr>
        <w:t> </w:t>
      </w:r>
      <w:r>
        <w:rPr>
          <w:rStyle w:val="CharPartText"/>
        </w:rPr>
        <w:t>Market costs</w:t>
      </w:r>
      <w:bookmarkEnd w:id="38"/>
      <w:bookmarkEnd w:id="39"/>
      <w:bookmarkEnd w:id="40"/>
    </w:p>
    <w:p>
      <w:pPr>
        <w:pStyle w:val="Heading5"/>
      </w:pPr>
      <w:bookmarkStart w:id="41" w:name="_Toc482888422"/>
      <w:r>
        <w:rPr>
          <w:rStyle w:val="CharSectno"/>
        </w:rPr>
        <w:t>21</w:t>
      </w:r>
      <w:r>
        <w:t>.</w:t>
      </w:r>
      <w:r>
        <w:tab/>
        <w:t>Allocation of costs</w:t>
      </w:r>
      <w:bookmarkEnd w:id="41"/>
    </w:p>
    <w:p>
      <w:pPr>
        <w:pStyle w:val="Subsection"/>
      </w:pPr>
      <w:r>
        <w:tab/>
        <w:t>(1)</w:t>
      </w:r>
      <w:r>
        <w:tab/>
        <w:t xml:space="preserve">A participant described in section 121(2)(b) or (c) of the Act (other than the Minister, the Minister administering the </w:t>
      </w:r>
      <w:r>
        <w:rPr>
          <w:i/>
          <w:iCs/>
        </w:rPr>
        <w:t>Electricity Corporations Act </w:t>
      </w:r>
      <w:r>
        <w:rPr>
          <w:i/>
        </w:rPr>
        <w:t>2005</w:t>
      </w:r>
      <w:r>
        <w:t xml:space="preserve">, the Authority or the Rule Change Panel) must — </w:t>
      </w:r>
    </w:p>
    <w:p>
      <w:pPr>
        <w:pStyle w:val="Indenta"/>
      </w:pPr>
      <w:r>
        <w:tab/>
        <w:t>(a)</w:t>
      </w:r>
      <w:r>
        <w:tab/>
        <w:t xml:space="preserve">implement accounting arrangements to identify costs of the participant in performing functions under these regulations, the </w:t>
      </w:r>
      <w:r>
        <w:rPr>
          <w:i/>
          <w:iCs/>
        </w:rPr>
        <w:t xml:space="preserve">Electricity Industry (Independent Market Operator) Regulations </w:t>
      </w:r>
      <w:r>
        <w:rPr>
          <w:i/>
        </w:rPr>
        <w:t>2004</w:t>
      </w:r>
      <w:r>
        <w:t xml:space="preserve">,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(1A)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operator must allocate between registered participants in accordance with the market rules — </w:t>
      </w:r>
    </w:p>
    <w:p>
      <w:pPr>
        <w:pStyle w:val="Indenta"/>
      </w:pPr>
      <w:r>
        <w:tab/>
        <w:t>(a)</w:t>
      </w:r>
      <w:r>
        <w:tab/>
        <w:t>costs identified and approved under subregulation (1); and</w:t>
      </w:r>
    </w:p>
    <w:p>
      <w:pPr>
        <w:pStyle w:val="Indenta"/>
      </w:pPr>
      <w:r>
        <w:tab/>
        <w:t>(b)</w:t>
      </w:r>
      <w:r>
        <w:tab/>
        <w:t xml:space="preserve">costs identified by the Minister or the Authority as costs of the Minister or Authority in performing functions under these regulations, the market rules or the </w:t>
      </w:r>
      <w:r>
        <w:rPr>
          <w:i/>
        </w:rPr>
        <w:t>Energy Industry (Rule Change Panel) Regulations 2016</w:t>
      </w:r>
      <w:r>
        <w:t xml:space="preserve">; and </w:t>
      </w:r>
    </w:p>
    <w:p>
      <w:pPr>
        <w:pStyle w:val="Indenta"/>
      </w:pPr>
      <w:r>
        <w:tab/>
        <w:t>(c)</w:t>
      </w:r>
      <w:r>
        <w:tab/>
        <w:t>costs identified by the Authority as costs incurred in the performance of the functions of the Rule Change Panel under these regulations or the market rules.</w:t>
      </w:r>
    </w:p>
    <w:p>
      <w:pPr>
        <w:pStyle w:val="Subsection"/>
      </w:pPr>
      <w:r>
        <w:tab/>
        <w:t>(2A)</w:t>
      </w:r>
      <w:r>
        <w:tab/>
        <w:t xml:space="preserve">Costs identified by the Authority under subregulation (2)(b) in relation to performing functions under the </w:t>
      </w:r>
      <w:r>
        <w:rPr>
          <w:i/>
        </w:rPr>
        <w:t>Energy Industry (Rule Change Panel) Regulations 2016</w:t>
      </w:r>
      <w:r>
        <w:t xml:space="preserve"> and costs identified by it under subregulation (2)(c) must not relate to functions under the </w:t>
      </w:r>
      <w:r>
        <w:rPr>
          <w:i/>
        </w:rPr>
        <w:t>Gas Services Information Act 2012</w:t>
      </w:r>
      <w:r>
        <w:t>.</w:t>
      </w:r>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in Gazette 31 Mar 2006 p. 1322; </w:t>
      </w:r>
      <w:r>
        <w:rPr>
          <w:szCs w:val="24"/>
        </w:rPr>
        <w:t>2 Oct 2015 p. 39</w:t>
      </w:r>
      <w:r>
        <w:t>31; 13 Nov 2015 p. 4635 and 4637; 24 Jun 2016 p. 2298; 23 Nov 2016 p. 5268</w:t>
      </w:r>
      <w:r>
        <w:noBreakHyphen/>
        <w:t>9.]</w:t>
      </w:r>
    </w:p>
    <w:p>
      <w:pPr>
        <w:pStyle w:val="Heading2"/>
      </w:pPr>
      <w:bookmarkStart w:id="42" w:name="_Toc473900085"/>
      <w:bookmarkStart w:id="43" w:name="_Toc473900168"/>
      <w:bookmarkStart w:id="44" w:name="_Toc482888423"/>
      <w:r>
        <w:rPr>
          <w:rStyle w:val="CharPartNo"/>
        </w:rPr>
        <w:t>Part 5</w:t>
      </w:r>
      <w:r>
        <w:t> — </w:t>
      </w:r>
      <w:r>
        <w:rPr>
          <w:rStyle w:val="CharPartText"/>
        </w:rPr>
        <w:t>Enforcement of the market rules</w:t>
      </w:r>
      <w:bookmarkEnd w:id="42"/>
      <w:bookmarkEnd w:id="43"/>
      <w:bookmarkEnd w:id="44"/>
    </w:p>
    <w:p>
      <w:pPr>
        <w:pStyle w:val="Footnoteheading"/>
        <w:spacing w:before="100"/>
      </w:pPr>
      <w:r>
        <w:tab/>
        <w:t>[Heading inserted in Gazette 16 Aug 2005 p. 3830.]</w:t>
      </w:r>
    </w:p>
    <w:p>
      <w:pPr>
        <w:pStyle w:val="Heading3"/>
        <w:spacing w:before="220"/>
      </w:pPr>
      <w:bookmarkStart w:id="45" w:name="_Toc473900086"/>
      <w:bookmarkStart w:id="46" w:name="_Toc473900169"/>
      <w:bookmarkStart w:id="47" w:name="_Toc482888424"/>
      <w:r>
        <w:rPr>
          <w:rStyle w:val="CharDivNo"/>
        </w:rPr>
        <w:t>Division 1</w:t>
      </w:r>
      <w:r>
        <w:t> — </w:t>
      </w:r>
      <w:r>
        <w:rPr>
          <w:rStyle w:val="CharDivText"/>
        </w:rPr>
        <w:t>Preliminary</w:t>
      </w:r>
      <w:bookmarkEnd w:id="45"/>
      <w:bookmarkEnd w:id="46"/>
      <w:bookmarkEnd w:id="47"/>
    </w:p>
    <w:p>
      <w:pPr>
        <w:pStyle w:val="Footnoteheading"/>
        <w:spacing w:before="100"/>
      </w:pPr>
      <w:r>
        <w:tab/>
        <w:t>[Heading inserted in Gazette 16 Aug 2005 p. 3830.]</w:t>
      </w:r>
    </w:p>
    <w:p>
      <w:pPr>
        <w:pStyle w:val="Heading5"/>
        <w:spacing w:before="180"/>
      </w:pPr>
      <w:bookmarkStart w:id="48" w:name="_Toc482888425"/>
      <w:r>
        <w:rPr>
          <w:rStyle w:val="CharSectno"/>
        </w:rPr>
        <w:t>22</w:t>
      </w:r>
      <w:r>
        <w:t>.</w:t>
      </w:r>
      <w:r>
        <w:tab/>
        <w:t>Terms used</w:t>
      </w:r>
      <w:bookmarkEnd w:id="48"/>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Authority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 amended in Gazette 24 Jun 2016 p. 2303.]</w:t>
      </w:r>
    </w:p>
    <w:p>
      <w:pPr>
        <w:pStyle w:val="Heading3"/>
        <w:spacing w:before="220"/>
      </w:pPr>
      <w:bookmarkStart w:id="49" w:name="_Toc473900088"/>
      <w:bookmarkStart w:id="50" w:name="_Toc473900171"/>
      <w:bookmarkStart w:id="51" w:name="_Toc482888426"/>
      <w:r>
        <w:rPr>
          <w:rStyle w:val="CharDivNo"/>
        </w:rPr>
        <w:t>Division 2</w:t>
      </w:r>
      <w:r>
        <w:t> — </w:t>
      </w:r>
      <w:r>
        <w:rPr>
          <w:rStyle w:val="CharDivText"/>
        </w:rPr>
        <w:t>Investigation</w:t>
      </w:r>
      <w:bookmarkEnd w:id="49"/>
      <w:bookmarkEnd w:id="50"/>
      <w:bookmarkEnd w:id="51"/>
    </w:p>
    <w:p>
      <w:pPr>
        <w:pStyle w:val="Footnoteheading"/>
        <w:spacing w:before="100"/>
      </w:pPr>
      <w:r>
        <w:tab/>
        <w:t>[Heading inserted in Gazette 16 Aug 2005 p. 3830.]</w:t>
      </w:r>
    </w:p>
    <w:p>
      <w:pPr>
        <w:pStyle w:val="Heading5"/>
        <w:spacing w:before="180"/>
      </w:pPr>
      <w:bookmarkStart w:id="52" w:name="_Toc482888427"/>
      <w:r>
        <w:rPr>
          <w:rStyle w:val="CharSectno"/>
        </w:rPr>
        <w:t>23</w:t>
      </w:r>
      <w:r>
        <w:t>.</w:t>
      </w:r>
      <w:r>
        <w:tab/>
        <w:t>Authorised persons</w:t>
      </w:r>
      <w:bookmarkEnd w:id="52"/>
    </w:p>
    <w:p>
      <w:pPr>
        <w:pStyle w:val="Subsection"/>
        <w:spacing w:before="120"/>
      </w:pPr>
      <w:r>
        <w:tab/>
      </w:r>
      <w:r>
        <w:tab/>
        <w:t>The Authority may, in writing, authorise an officer or employee of the Authority to be an authorised person for the purposes of this Division.</w:t>
      </w:r>
    </w:p>
    <w:p>
      <w:pPr>
        <w:pStyle w:val="Footnotesection"/>
        <w:spacing w:before="100"/>
        <w:ind w:left="890" w:hanging="890"/>
      </w:pPr>
      <w:r>
        <w:tab/>
        <w:t>[Regulation 23 inserted in Gazette 16 Aug 2005 p. 3830; amended in Gazette 24 Jun 2016 p. 2303.]</w:t>
      </w:r>
    </w:p>
    <w:p>
      <w:pPr>
        <w:pStyle w:val="Heading5"/>
        <w:spacing w:before="180"/>
      </w:pPr>
      <w:bookmarkStart w:id="53" w:name="_Toc482888428"/>
      <w:r>
        <w:rPr>
          <w:rStyle w:val="CharSectno"/>
        </w:rPr>
        <w:t>24</w:t>
      </w:r>
      <w:r>
        <w:t>.</w:t>
      </w:r>
      <w:r>
        <w:tab/>
        <w:t>Search warrants</w:t>
      </w:r>
      <w:bookmarkEnd w:id="53"/>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54" w:name="_Toc482888429"/>
      <w:r>
        <w:rPr>
          <w:rStyle w:val="CharSectno"/>
        </w:rPr>
        <w:t>25</w:t>
      </w:r>
      <w:r>
        <w:t>.</w:t>
      </w:r>
      <w:r>
        <w:tab/>
        <w:t>Announcement before entry</w:t>
      </w:r>
      <w:bookmarkEnd w:id="54"/>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55" w:name="_Toc482888430"/>
      <w:r>
        <w:rPr>
          <w:rStyle w:val="CharSectno"/>
        </w:rPr>
        <w:t>26</w:t>
      </w:r>
      <w:r>
        <w:t>.</w:t>
      </w:r>
      <w:r>
        <w:tab/>
        <w:t>Details of warrant to be given to occupier</w:t>
      </w:r>
      <w:bookmarkEnd w:id="55"/>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56" w:name="_Toc482888431"/>
      <w:r>
        <w:rPr>
          <w:rStyle w:val="CharSectno"/>
        </w:rPr>
        <w:t>27</w:t>
      </w:r>
      <w:r>
        <w:t>.</w:t>
      </w:r>
      <w:r>
        <w:tab/>
        <w:t>Copies of seized documents</w:t>
      </w:r>
      <w:bookmarkEnd w:id="56"/>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57" w:name="_Toc482888432"/>
      <w:r>
        <w:rPr>
          <w:rStyle w:val="CharSectno"/>
        </w:rPr>
        <w:t>28</w:t>
      </w:r>
      <w:r>
        <w:t>.</w:t>
      </w:r>
      <w:r>
        <w:tab/>
        <w:t>Retention and return of seized documents etc.</w:t>
      </w:r>
      <w:bookmarkEnd w:id="57"/>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58" w:name="_Toc482888433"/>
      <w:r>
        <w:rPr>
          <w:rStyle w:val="CharSectno"/>
        </w:rPr>
        <w:t>29</w:t>
      </w:r>
      <w:r>
        <w:t>.</w:t>
      </w:r>
      <w:r>
        <w:tab/>
        <w:t>Obstruction of persons authorised to enter</w:t>
      </w:r>
      <w:bookmarkEnd w:id="58"/>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59" w:name="_Toc473900096"/>
      <w:bookmarkStart w:id="60" w:name="_Toc473900179"/>
      <w:bookmarkStart w:id="61" w:name="_Toc482888434"/>
      <w:r>
        <w:rPr>
          <w:rStyle w:val="CharDivNo"/>
        </w:rPr>
        <w:t>Division 3</w:t>
      </w:r>
      <w:r>
        <w:t> — </w:t>
      </w:r>
      <w:r>
        <w:rPr>
          <w:rStyle w:val="CharDivText"/>
        </w:rPr>
        <w:t>Orders and penalties</w:t>
      </w:r>
      <w:bookmarkEnd w:id="59"/>
      <w:bookmarkEnd w:id="60"/>
      <w:bookmarkEnd w:id="61"/>
    </w:p>
    <w:p>
      <w:pPr>
        <w:pStyle w:val="Footnoteheading"/>
      </w:pPr>
      <w:r>
        <w:tab/>
        <w:t>[Heading inserted in Gazette 16 Aug 2005 p. 3835.]</w:t>
      </w:r>
    </w:p>
    <w:p>
      <w:pPr>
        <w:pStyle w:val="Heading5"/>
      </w:pPr>
      <w:bookmarkStart w:id="62" w:name="_Toc482888435"/>
      <w:r>
        <w:rPr>
          <w:rStyle w:val="CharSectno"/>
        </w:rPr>
        <w:t>30</w:t>
      </w:r>
      <w:r>
        <w:t>.</w:t>
      </w:r>
      <w:r>
        <w:tab/>
        <w:t>Civil penalty provisions and civil penalties</w:t>
      </w:r>
      <w:bookmarkEnd w:id="62"/>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63" w:name="_Toc482888436"/>
      <w:r>
        <w:rPr>
          <w:rStyle w:val="CharSectno"/>
        </w:rPr>
        <w:t>31</w:t>
      </w:r>
      <w:r>
        <w:t>.</w:t>
      </w:r>
      <w:r>
        <w:tab/>
        <w:t>Authority may demand civil penalty for contravention of category A civil penalty provision</w:t>
      </w:r>
      <w:bookmarkEnd w:id="63"/>
    </w:p>
    <w:p>
      <w:pPr>
        <w:pStyle w:val="Subsection"/>
      </w:pPr>
      <w:r>
        <w:tab/>
        <w:t>(1)</w:t>
      </w:r>
      <w:r>
        <w:tab/>
        <w:t>If the Authority considers that a participant has contravened a category A civil penalty provision, the Authority may, by notice given to the participant, demand that the participant pay to the operator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The demand must be made within 6 years after the day on which the participant is considered by the Authority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Authority considers the participant has contravened; and</w:t>
      </w:r>
    </w:p>
    <w:p>
      <w:pPr>
        <w:pStyle w:val="Indenta"/>
      </w:pPr>
      <w:r>
        <w:tab/>
        <w:t>(e)</w:t>
      </w:r>
      <w:r>
        <w:tab/>
        <w:t>provide details of the contravention, including the act or omission that the Authority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Authority’s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operator the amount demanded; or</w:t>
      </w:r>
    </w:p>
    <w:p>
      <w:pPr>
        <w:pStyle w:val="Indenti"/>
      </w:pPr>
      <w:r>
        <w:tab/>
        <w:t>(ii)</w:t>
      </w:r>
      <w:r>
        <w:tab/>
        <w:t>apply to the Board for review of the Authority’s decision to demand the penalty,</w:t>
      </w:r>
    </w:p>
    <w:p>
      <w:pPr>
        <w:pStyle w:val="Indenta"/>
      </w:pPr>
      <w:r>
        <w:tab/>
      </w:r>
      <w:r>
        <w:tab/>
        <w:t>the Authority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Authority the penalty demanded in the notice; or</w:t>
      </w:r>
    </w:p>
    <w:p>
      <w:pPr>
        <w:pStyle w:val="Indenta"/>
      </w:pPr>
      <w:r>
        <w:tab/>
        <w:t>(b)</w:t>
      </w:r>
      <w:r>
        <w:tab/>
        <w:t>apply to the Board for review, under Part 6, of the Authority’s decision to demand the penalty,</w:t>
      </w:r>
    </w:p>
    <w:p>
      <w:pPr>
        <w:pStyle w:val="Subsection"/>
      </w:pPr>
      <w:r>
        <w:tab/>
      </w:r>
      <w:r>
        <w:tab/>
        <w:t>the Authority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Authority made the demand in accordance with this regulation; and</w:t>
      </w:r>
    </w:p>
    <w:p>
      <w:pPr>
        <w:pStyle w:val="Indenta"/>
      </w:pPr>
      <w:r>
        <w:tab/>
        <w:t>(b)</w:t>
      </w:r>
      <w:r>
        <w:tab/>
        <w:t>the participant has not paid the civil penalty to the operator; and</w:t>
      </w:r>
    </w:p>
    <w:p>
      <w:pPr>
        <w:pStyle w:val="Indenta"/>
      </w:pPr>
      <w:r>
        <w:tab/>
        <w:t>(c)</w:t>
      </w:r>
      <w:r>
        <w:tab/>
        <w:t>the participant has not applied to the Board for review of the Authority’s decision to demand the amount.</w:t>
      </w:r>
    </w:p>
    <w:p>
      <w:pPr>
        <w:pStyle w:val="Subsection"/>
      </w:pPr>
      <w:r>
        <w:tab/>
        <w:t>(8)</w:t>
      </w:r>
      <w:r>
        <w:tab/>
        <w:t>The Authority may not demand that a participant pay the operator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 24 Jun 2016 p. 2298</w:t>
      </w:r>
      <w:r>
        <w:noBreakHyphen/>
        <w:t>300.]</w:t>
      </w:r>
    </w:p>
    <w:p>
      <w:pPr>
        <w:pStyle w:val="Heading5"/>
      </w:pPr>
      <w:bookmarkStart w:id="64" w:name="_Toc482888437"/>
      <w:r>
        <w:rPr>
          <w:rStyle w:val="CharSectno"/>
        </w:rPr>
        <w:t>32</w:t>
      </w:r>
      <w:r>
        <w:t>.</w:t>
      </w:r>
      <w:r>
        <w:tab/>
        <w:t>Applications for orders from Board for contraventions of provisions of market rules</w:t>
      </w:r>
      <w:bookmarkEnd w:id="64"/>
    </w:p>
    <w:p>
      <w:pPr>
        <w:pStyle w:val="Subsection"/>
      </w:pPr>
      <w:r>
        <w:tab/>
        <w:t>(1)</w:t>
      </w:r>
      <w:r>
        <w:tab/>
        <w:t>If the Authority considers that a participant has contravened a provision of the market rules, the Authority may apply to the Board for one or more orders under regulation 33.</w:t>
      </w:r>
    </w:p>
    <w:p>
      <w:pPr>
        <w:pStyle w:val="Subsection"/>
      </w:pPr>
      <w:r>
        <w:tab/>
        <w:t>(2)</w:t>
      </w:r>
      <w:r>
        <w:tab/>
        <w:t>The application must be made within 6 years after the day on which the participant is considered by the Authority to have contravened the provision.</w:t>
      </w:r>
    </w:p>
    <w:p>
      <w:pPr>
        <w:pStyle w:val="Ednotesubsection"/>
      </w:pPr>
      <w:r>
        <w:tab/>
        <w:t>[(3), (4)</w:t>
      </w:r>
      <w:r>
        <w:tab/>
        <w:t>deleted]</w:t>
      </w:r>
    </w:p>
    <w:p>
      <w:pPr>
        <w:pStyle w:val="Subsection"/>
      </w:pPr>
      <w:r>
        <w:tab/>
        <w:t>(5)</w:t>
      </w:r>
      <w:r>
        <w:tab/>
        <w:t>No other person may apply for an order under regulation 33.</w:t>
      </w:r>
    </w:p>
    <w:p>
      <w:pPr>
        <w:pStyle w:val="Ednotesubsection"/>
      </w:pPr>
      <w:r>
        <w:tab/>
        <w:t>[(6)</w:t>
      </w:r>
      <w:r>
        <w:tab/>
        <w:t>deleted]</w:t>
      </w:r>
    </w:p>
    <w:p>
      <w:pPr>
        <w:pStyle w:val="Footnotesection"/>
      </w:pPr>
      <w:r>
        <w:tab/>
        <w:t>[Regulation 32 inserted in Gazette 16 Aug 2005 p. 3839; amended in Gazette 13 Nov 2015 p. 4635; 24 Jun 2016 p. 2300.]</w:t>
      </w:r>
    </w:p>
    <w:p>
      <w:pPr>
        <w:pStyle w:val="Heading5"/>
      </w:pPr>
      <w:bookmarkStart w:id="65" w:name="_Toc482888438"/>
      <w:r>
        <w:rPr>
          <w:rStyle w:val="CharSectno"/>
        </w:rPr>
        <w:t>33</w:t>
      </w:r>
      <w:r>
        <w:t>.</w:t>
      </w:r>
      <w:r>
        <w:tab/>
        <w:t>Orders Board may make for contraventions of provisions of market rules</w:t>
      </w:r>
      <w:bookmarkEnd w:id="65"/>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operator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Authority to the participant under the market rules warning the participant that the Authority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operator or the Authority pay a civil penalty.</w:t>
      </w:r>
    </w:p>
    <w:p>
      <w:pPr>
        <w:pStyle w:val="Subsection"/>
      </w:pPr>
      <w:r>
        <w:tab/>
        <w:t>(6)</w:t>
      </w:r>
      <w:r>
        <w:tab/>
        <w:t>The Board may not make an order under this regulation that a participant pay a civil penalty in respect of the contravention of a civil penalty provision if the Authority has demanded that the participant pay to the operator a civil penalty in respect of the contravention.</w:t>
      </w:r>
    </w:p>
    <w:p>
      <w:pPr>
        <w:pStyle w:val="Footnotesection"/>
      </w:pPr>
      <w:r>
        <w:tab/>
        <w:t>[Regulation 33 inserted in Gazette 16 Aug 2005 p. 3839</w:t>
      </w:r>
      <w:r>
        <w:noBreakHyphen/>
        <w:t>42; amended in Gazette 5 Jun 2012 p. 2354; 13 Nov 2015 p. 4635; 24 Jun 2016 p. 2300.]</w:t>
      </w:r>
    </w:p>
    <w:p>
      <w:pPr>
        <w:pStyle w:val="Heading5"/>
      </w:pPr>
      <w:bookmarkStart w:id="66" w:name="_Toc482888439"/>
      <w:r>
        <w:rPr>
          <w:rStyle w:val="CharSectno"/>
        </w:rPr>
        <w:t>34</w:t>
      </w:r>
      <w:r>
        <w:t>.</w:t>
      </w:r>
      <w:r>
        <w:tab/>
        <w:t>Enforcement of orders of Board</w:t>
      </w:r>
      <w:bookmarkEnd w:id="66"/>
    </w:p>
    <w:p>
      <w:pPr>
        <w:pStyle w:val="Subsection"/>
      </w:pPr>
      <w:r>
        <w:tab/>
        <w:t>(1)</w:t>
      </w:r>
      <w:r>
        <w:tab/>
        <w:t>The Authority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 amended by 24 Jun 2016 p. 2303.]</w:t>
      </w:r>
    </w:p>
    <w:p>
      <w:pPr>
        <w:pStyle w:val="Heading5"/>
      </w:pPr>
      <w:bookmarkStart w:id="67" w:name="_Toc482888440"/>
      <w:r>
        <w:rPr>
          <w:rStyle w:val="CharSectno"/>
        </w:rPr>
        <w:t>35</w:t>
      </w:r>
      <w:r>
        <w:t>.</w:t>
      </w:r>
      <w:r>
        <w:tab/>
        <w:t>Contravention of provision of market rules not an offence</w:t>
      </w:r>
      <w:bookmarkEnd w:id="67"/>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68" w:name="_Toc482888441"/>
      <w:r>
        <w:rPr>
          <w:rStyle w:val="CharSectno"/>
        </w:rPr>
        <w:t>36</w:t>
      </w:r>
      <w:r>
        <w:t>.</w:t>
      </w:r>
      <w:r>
        <w:tab/>
        <w:t>Conduct contravening more than one civil penalty provision</w:t>
      </w:r>
      <w:bookmarkEnd w:id="68"/>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69" w:name="_Toc482888442"/>
      <w:r>
        <w:rPr>
          <w:rStyle w:val="CharSectno"/>
        </w:rPr>
        <w:t>37</w:t>
      </w:r>
      <w:r>
        <w:t>.</w:t>
      </w:r>
      <w:r>
        <w:tab/>
        <w:t>Application of civil penalties received by operator</w:t>
      </w:r>
      <w:bookmarkEnd w:id="69"/>
    </w:p>
    <w:p>
      <w:pPr>
        <w:pStyle w:val="Subsection"/>
      </w:pPr>
      <w:r>
        <w:tab/>
      </w:r>
      <w:r>
        <w:tab/>
        <w:t xml:space="preserve">A civil penalty received by the operator in respect of the contravention of a civil penalty provision must be — </w:t>
      </w:r>
    </w:p>
    <w:p>
      <w:pPr>
        <w:pStyle w:val="Indenta"/>
      </w:pPr>
      <w:r>
        <w:tab/>
        <w:t>(a)</w:t>
      </w:r>
      <w:r>
        <w:tab/>
        <w:t>if the market rules provide for the distribution of civil penalties received by the operator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 amended in Gazette 24 Jun 2016 p. 2300.]</w:t>
      </w:r>
    </w:p>
    <w:p>
      <w:pPr>
        <w:pStyle w:val="Heading5"/>
      </w:pPr>
      <w:bookmarkStart w:id="70" w:name="_Toc482888443"/>
      <w:r>
        <w:rPr>
          <w:rStyle w:val="CharSectno"/>
        </w:rPr>
        <w:t>38</w:t>
      </w:r>
      <w:r>
        <w:t>.</w:t>
      </w:r>
      <w:r>
        <w:tab/>
        <w:t>Authority to notify certain persons of decisions not to take action</w:t>
      </w:r>
      <w:bookmarkEnd w:id="70"/>
    </w:p>
    <w:p>
      <w:pPr>
        <w:pStyle w:val="Subsection"/>
      </w:pPr>
      <w:r>
        <w:tab/>
        <w:t>(1)</w:t>
      </w:r>
      <w:r>
        <w:tab/>
        <w:t xml:space="preserve">If the operator is given information by a person in relation to a contravention or possible contravention of a provision of the market rules by a participant — </w:t>
      </w:r>
    </w:p>
    <w:p>
      <w:pPr>
        <w:pStyle w:val="Indenta"/>
      </w:pPr>
      <w:r>
        <w:tab/>
        <w:t>(a)</w:t>
      </w:r>
      <w:r>
        <w:tab/>
        <w:t>the operator must give the information to the Authority; and</w:t>
      </w:r>
    </w:p>
    <w:p>
      <w:pPr>
        <w:pStyle w:val="Indenta"/>
      </w:pPr>
      <w:r>
        <w:tab/>
        <w:t>(b)</w:t>
      </w:r>
      <w:r>
        <w:tab/>
        <w:t>if authorised by the person to do so, the operator must give the person’s contact details to the Authority.</w:t>
      </w:r>
    </w:p>
    <w:p>
      <w:pPr>
        <w:pStyle w:val="Subsection"/>
      </w:pPr>
      <w:r>
        <w:tab/>
        <w:t>(2)</w:t>
      </w:r>
      <w:r>
        <w:tab/>
        <w:t xml:space="preserve">Subregulation (3) applies if the Authority is given information in relation to a contravention or possible contravention of a provision of the market rules by a participant — </w:t>
      </w:r>
    </w:p>
    <w:p>
      <w:pPr>
        <w:pStyle w:val="Indenta"/>
      </w:pPr>
      <w:r>
        <w:tab/>
        <w:t>(a)</w:t>
      </w:r>
      <w:r>
        <w:tab/>
        <w:t>by a person (otherwise than anonymously); or</w:t>
      </w:r>
    </w:p>
    <w:p>
      <w:pPr>
        <w:pStyle w:val="Indenta"/>
      </w:pPr>
      <w:r>
        <w:tab/>
        <w:t>(b)</w:t>
      </w:r>
      <w:r>
        <w:tab/>
        <w:t>by the operator under subregulation (1)(a), together with the contact details referred to in subregulation (1)(b).</w:t>
      </w:r>
    </w:p>
    <w:p>
      <w:pPr>
        <w:pStyle w:val="Subsection"/>
      </w:pPr>
      <w:r>
        <w:tab/>
        <w:t>(3)</w:t>
      </w:r>
      <w:r>
        <w:tab/>
        <w:t xml:space="preserve">If the Authority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Authority must, in writing, notify the person who gave the information to the Authority or to the operator (whichever is relevant) of the decision.</w:t>
      </w:r>
    </w:p>
    <w:p>
      <w:pPr>
        <w:pStyle w:val="Footnotesection"/>
      </w:pPr>
      <w:r>
        <w:tab/>
        <w:t>[Regulation 38 inserted in Gazette 24 Jun 2016 p. 2301.]</w:t>
      </w:r>
    </w:p>
    <w:p>
      <w:pPr>
        <w:pStyle w:val="Heading5"/>
        <w:spacing w:before="180"/>
      </w:pPr>
      <w:bookmarkStart w:id="71" w:name="_Toc482888444"/>
      <w:r>
        <w:rPr>
          <w:rStyle w:val="CharSectno"/>
        </w:rPr>
        <w:t>39</w:t>
      </w:r>
      <w:r>
        <w:t>.</w:t>
      </w:r>
      <w:r>
        <w:tab/>
        <w:t>Applications for orders from Board — procedure</w:t>
      </w:r>
      <w:bookmarkEnd w:id="71"/>
    </w:p>
    <w:p>
      <w:pPr>
        <w:pStyle w:val="Subsection"/>
      </w:pPr>
      <w:r>
        <w:tab/>
        <w:t>(1)</w:t>
      </w:r>
      <w:r>
        <w:tab/>
        <w:t xml:space="preserve">An application by the Authority to the Board for an order under regulation 31(7) or 33(1) must — </w:t>
      </w:r>
    </w:p>
    <w:p>
      <w:pPr>
        <w:pStyle w:val="Indenta"/>
      </w:pPr>
      <w:r>
        <w:tab/>
        <w:t>(a)</w:t>
      </w:r>
      <w:r>
        <w:tab/>
        <w:t>be in writing; and</w:t>
      </w:r>
    </w:p>
    <w:p>
      <w:pPr>
        <w:pStyle w:val="Indenta"/>
      </w:pPr>
      <w:r>
        <w:tab/>
        <w:t>(b)</w:t>
      </w:r>
      <w:r>
        <w:tab/>
        <w:t>state that the applicant is the Authority; and</w:t>
      </w:r>
    </w:p>
    <w:p>
      <w:pPr>
        <w:pStyle w:val="Indenta"/>
      </w:pPr>
      <w:r>
        <w:tab/>
        <w:t>(c)</w:t>
      </w:r>
      <w:r>
        <w:tab/>
        <w:t>specify the provision of the regulations under which the Authority is making the application; and</w:t>
      </w:r>
    </w:p>
    <w:p>
      <w:pPr>
        <w:pStyle w:val="Indenta"/>
      </w:pPr>
      <w:r>
        <w:tab/>
        <w:t>(d)</w:t>
      </w:r>
      <w:r>
        <w:tab/>
        <w:t>provide details of the contravention of the market rules that the Authority considers has occurred, including the name and address of the participant alleged to have contravened the market rules; and</w:t>
      </w:r>
    </w:p>
    <w:p>
      <w:pPr>
        <w:pStyle w:val="Indenta"/>
      </w:pPr>
      <w:r>
        <w:tab/>
        <w:t>(e)</w:t>
      </w:r>
      <w:r>
        <w:tab/>
        <w:t>specify the nature of the order sought.</w:t>
      </w:r>
    </w:p>
    <w:p>
      <w:pPr>
        <w:pStyle w:val="Ednotesubsection"/>
      </w:pPr>
      <w:r>
        <w:tab/>
        <w:t>[(2)</w:t>
      </w:r>
      <w:r>
        <w:tab/>
        <w:t>deleted]</w:t>
      </w:r>
    </w:p>
    <w:p>
      <w:pPr>
        <w:pStyle w:val="Footnotesection"/>
        <w:spacing w:before="100"/>
        <w:ind w:left="890" w:hanging="890"/>
      </w:pPr>
      <w:r>
        <w:tab/>
        <w:t>[Regulation 39 inserted in Gazette 16 Aug 2005 p. 3843</w:t>
      </w:r>
      <w:r>
        <w:noBreakHyphen/>
        <w:t>4; amended in Gazette 13 Nov 2015 p. 4635; 24 Jun 2016 p. 2301.]</w:t>
      </w:r>
    </w:p>
    <w:p>
      <w:pPr>
        <w:pStyle w:val="Heading3"/>
      </w:pPr>
      <w:bookmarkStart w:id="72" w:name="_Toc473900107"/>
      <w:bookmarkStart w:id="73" w:name="_Toc473900190"/>
      <w:bookmarkStart w:id="74" w:name="_Toc482888445"/>
      <w:r>
        <w:rPr>
          <w:rStyle w:val="CharDivNo"/>
        </w:rPr>
        <w:t>Division 4</w:t>
      </w:r>
      <w:r>
        <w:t> — </w:t>
      </w:r>
      <w:r>
        <w:rPr>
          <w:rStyle w:val="CharDivText"/>
        </w:rPr>
        <w:t>Payments under the market rules</w:t>
      </w:r>
      <w:bookmarkEnd w:id="72"/>
      <w:bookmarkEnd w:id="73"/>
      <w:bookmarkEnd w:id="74"/>
    </w:p>
    <w:p>
      <w:pPr>
        <w:pStyle w:val="Footnoteheading"/>
      </w:pPr>
      <w:r>
        <w:tab/>
        <w:t>[Heading inserted in Gazette 16 Aug 2005 p. 3844.]</w:t>
      </w:r>
    </w:p>
    <w:p>
      <w:pPr>
        <w:pStyle w:val="Heading5"/>
        <w:spacing w:before="240"/>
      </w:pPr>
      <w:bookmarkStart w:id="75" w:name="_Toc482888446"/>
      <w:r>
        <w:rPr>
          <w:rStyle w:val="CharSectno"/>
        </w:rPr>
        <w:t>40</w:t>
      </w:r>
      <w:r>
        <w:t>.</w:t>
      </w:r>
      <w:r>
        <w:tab/>
        <w:t>Obligation to make payments under market rules</w:t>
      </w:r>
      <w:bookmarkEnd w:id="75"/>
    </w:p>
    <w:p>
      <w:pPr>
        <w:pStyle w:val="Subsection"/>
      </w:pPr>
      <w:r>
        <w:tab/>
        <w:t>(1AA)</w:t>
      </w:r>
      <w:r>
        <w:tab/>
        <w:t xml:space="preserve">In this regulation — </w:t>
      </w:r>
    </w:p>
    <w:p>
      <w:pPr>
        <w:pStyle w:val="Defstart"/>
      </w:pPr>
      <w:r>
        <w:tab/>
      </w:r>
      <w:r>
        <w:rPr>
          <w:rStyle w:val="CharDefText"/>
        </w:rPr>
        <w:t>person required to pay</w:t>
      </w:r>
      <w:r>
        <w:t xml:space="preserve"> means, as the case requires — </w:t>
      </w:r>
    </w:p>
    <w:p>
      <w:pPr>
        <w:pStyle w:val="Defpara"/>
      </w:pPr>
      <w:r>
        <w:tab/>
        <w:t>(a)</w:t>
      </w:r>
      <w:r>
        <w:tab/>
        <w:t>a registered participant required to pay an amount, as referred to in subregulation (1)(a)(i) or (2)(a)(i); or</w:t>
      </w:r>
    </w:p>
    <w:p>
      <w:pPr>
        <w:pStyle w:val="Defpara"/>
      </w:pPr>
      <w:r>
        <w:tab/>
        <w:t>(b)</w:t>
      </w:r>
      <w:r>
        <w:tab/>
        <w:t>the operator required to pay an amount, as referred to in subregulation (1)(a)(ii) or (2)(a)(ii).</w:t>
      </w:r>
    </w:p>
    <w:p>
      <w:pPr>
        <w:pStyle w:val="Subsection"/>
        <w:spacing w:before="180"/>
      </w:pPr>
      <w:r>
        <w:tab/>
        <w:t>(1)</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pPr>
      <w:r>
        <w:tab/>
        <w:t>(a)</w:t>
      </w:r>
      <w:r>
        <w:tab/>
        <w:t xml:space="preserve">either — </w:t>
      </w:r>
    </w:p>
    <w:p>
      <w:pPr>
        <w:pStyle w:val="Indenti"/>
      </w:pPr>
      <w:r>
        <w:tab/>
        <w:t>(i)</w:t>
      </w:r>
      <w:r>
        <w:tab/>
        <w:t>a registered participant is required to pay an amount to another registered participant or to the operator; or</w:t>
      </w:r>
    </w:p>
    <w:p>
      <w:pPr>
        <w:pStyle w:val="Indenti"/>
      </w:pPr>
      <w:r>
        <w:tab/>
        <w:t>(ii)</w:t>
      </w:r>
      <w:r>
        <w:tab/>
        <w:t>the operator is required to pay an amount to a registered participant;</w:t>
      </w:r>
    </w:p>
    <w:p>
      <w:pPr>
        <w:pStyle w:val="Indenta"/>
      </w:pPr>
      <w:r>
        <w:tab/>
      </w:r>
      <w:r>
        <w:tab/>
        <w:t>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spacing w:before="100"/>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operator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 amended in Gazette 13 Nov 2015 p. 4636; 24 Jun 2016 p. 2302.]</w:t>
      </w:r>
    </w:p>
    <w:p>
      <w:pPr>
        <w:pStyle w:val="Heading2"/>
      </w:pPr>
      <w:bookmarkStart w:id="76" w:name="_Toc473900109"/>
      <w:bookmarkStart w:id="77" w:name="_Toc473900192"/>
      <w:bookmarkStart w:id="78" w:name="_Toc482888447"/>
      <w:r>
        <w:rPr>
          <w:rStyle w:val="CharPartNo"/>
        </w:rPr>
        <w:t>Part 6</w:t>
      </w:r>
      <w:r>
        <w:rPr>
          <w:rStyle w:val="CharDivNo"/>
        </w:rPr>
        <w:t> </w:t>
      </w:r>
      <w:r>
        <w:t>—</w:t>
      </w:r>
      <w:r>
        <w:rPr>
          <w:rStyle w:val="CharDivText"/>
        </w:rPr>
        <w:t> </w:t>
      </w:r>
      <w:r>
        <w:rPr>
          <w:rStyle w:val="CharPartText"/>
        </w:rPr>
        <w:t>Review by the Board</w:t>
      </w:r>
      <w:bookmarkEnd w:id="76"/>
      <w:bookmarkEnd w:id="77"/>
      <w:bookmarkEnd w:id="78"/>
    </w:p>
    <w:p>
      <w:pPr>
        <w:pStyle w:val="Footnoteheading"/>
      </w:pPr>
      <w:r>
        <w:tab/>
        <w:t>[Heading inserted in Gazette 16 Aug 2005 p. 3845.]</w:t>
      </w:r>
    </w:p>
    <w:p>
      <w:pPr>
        <w:pStyle w:val="Heading5"/>
        <w:spacing w:before="260"/>
      </w:pPr>
      <w:bookmarkStart w:id="79" w:name="_Toc482888448"/>
      <w:r>
        <w:rPr>
          <w:rStyle w:val="CharSectno"/>
        </w:rPr>
        <w:t>41</w:t>
      </w:r>
      <w:r>
        <w:t>.</w:t>
      </w:r>
      <w:r>
        <w:tab/>
        <w:t>Reviewable decisions and procedural decisions</w:t>
      </w:r>
      <w:bookmarkEnd w:id="79"/>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80" w:name="_Toc482888449"/>
      <w:r>
        <w:rPr>
          <w:rStyle w:val="CharSectno"/>
        </w:rPr>
        <w:t>42</w:t>
      </w:r>
      <w:r>
        <w:t>.</w:t>
      </w:r>
      <w:r>
        <w:tab/>
        <w:t>Review by Board — all reviewable decisions</w:t>
      </w:r>
      <w:bookmarkEnd w:id="80"/>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operator or the IMO (whichever is relevant);</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 13 Nov 2015 p. 4636.]</w:t>
      </w:r>
    </w:p>
    <w:p>
      <w:pPr>
        <w:pStyle w:val="Heading5"/>
      </w:pPr>
      <w:bookmarkStart w:id="81" w:name="_Toc482888450"/>
      <w:r>
        <w:rPr>
          <w:rStyle w:val="CharSectno"/>
        </w:rPr>
        <w:t>43</w:t>
      </w:r>
      <w:r>
        <w:t>.</w:t>
      </w:r>
      <w:r>
        <w:tab/>
        <w:t>Review by Board — procedural decisions</w:t>
      </w:r>
      <w:bookmarkEnd w:id="81"/>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82" w:name="_Toc482888451"/>
      <w:r>
        <w:rPr>
          <w:rStyle w:val="CharSectno"/>
        </w:rPr>
        <w:t>44</w:t>
      </w:r>
      <w:r>
        <w:t>.</w:t>
      </w:r>
      <w:r>
        <w:tab/>
        <w:t>Application for review</w:t>
      </w:r>
      <w:bookmarkEnd w:id="82"/>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83" w:name="_Toc482888452"/>
      <w:r>
        <w:rPr>
          <w:rStyle w:val="CharSectno"/>
        </w:rPr>
        <w:t>45</w:t>
      </w:r>
      <w:r>
        <w:t>.</w:t>
      </w:r>
      <w:r>
        <w:tab/>
        <w:t>Effect of application for review</w:t>
      </w:r>
      <w:bookmarkEnd w:id="83"/>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84" w:name="_Toc482888453"/>
      <w:r>
        <w:rPr>
          <w:rStyle w:val="CharSectno"/>
        </w:rPr>
        <w:t>46</w:t>
      </w:r>
      <w:r>
        <w:t>.</w:t>
      </w:r>
      <w:r>
        <w:tab/>
        <w:t>Conferences</w:t>
      </w:r>
      <w:bookmarkEnd w:id="84"/>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85" w:name="_Toc482888454"/>
      <w:r>
        <w:rPr>
          <w:rStyle w:val="CharSectno"/>
        </w:rPr>
        <w:t>47</w:t>
      </w:r>
      <w:r>
        <w:t>.</w:t>
      </w:r>
      <w:r>
        <w:tab/>
        <w:t>Procedure</w:t>
      </w:r>
      <w:bookmarkEnd w:id="85"/>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86" w:name="_Toc473900117"/>
      <w:bookmarkStart w:id="87" w:name="_Toc473900200"/>
      <w:bookmarkStart w:id="88" w:name="_Toc482888455"/>
      <w:r>
        <w:rPr>
          <w:rStyle w:val="CharPartNo"/>
        </w:rPr>
        <w:t>Part 7</w:t>
      </w:r>
      <w:r>
        <w:t> — </w:t>
      </w:r>
      <w:r>
        <w:rPr>
          <w:rStyle w:val="CharPartText"/>
        </w:rPr>
        <w:t>The Board</w:t>
      </w:r>
      <w:bookmarkEnd w:id="86"/>
      <w:bookmarkEnd w:id="87"/>
      <w:bookmarkEnd w:id="88"/>
    </w:p>
    <w:p>
      <w:pPr>
        <w:pStyle w:val="Footnoteheading"/>
      </w:pPr>
      <w:r>
        <w:tab/>
        <w:t>[Heading inserted in Gazette 16 Aug 2005 p. 3851.]</w:t>
      </w:r>
    </w:p>
    <w:p>
      <w:pPr>
        <w:pStyle w:val="Heading5"/>
      </w:pPr>
      <w:bookmarkStart w:id="89" w:name="_Toc482888456"/>
      <w:r>
        <w:rPr>
          <w:rStyle w:val="CharSectno"/>
        </w:rPr>
        <w:t>48</w:t>
      </w:r>
      <w:r>
        <w:t>.</w:t>
      </w:r>
      <w:r>
        <w:tab/>
        <w:t>Terms used</w:t>
      </w:r>
      <w:bookmarkEnd w:id="89"/>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90" w:name="_Toc482888457"/>
      <w:r>
        <w:rPr>
          <w:rStyle w:val="CharSectno"/>
        </w:rPr>
        <w:t>49</w:t>
      </w:r>
      <w:r>
        <w:t>.</w:t>
      </w:r>
      <w:r>
        <w:tab/>
        <w:t>Functions of Board</w:t>
      </w:r>
      <w:bookmarkEnd w:id="90"/>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91" w:name="_Toc482888458"/>
      <w:r>
        <w:rPr>
          <w:rStyle w:val="CharSectno"/>
        </w:rPr>
        <w:t>50</w:t>
      </w:r>
      <w:r>
        <w:t>.</w:t>
      </w:r>
      <w:r>
        <w:tab/>
        <w:t>Proceedings before Board</w:t>
      </w:r>
      <w:bookmarkEnd w:id="91"/>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92" w:name="_Toc473900121"/>
      <w:bookmarkStart w:id="93" w:name="_Toc473900204"/>
      <w:bookmarkStart w:id="94" w:name="_Toc482888459"/>
      <w:r>
        <w:rPr>
          <w:rStyle w:val="CharPartNo"/>
        </w:rPr>
        <w:t>Part 8</w:t>
      </w:r>
      <w:r>
        <w:t> — </w:t>
      </w:r>
      <w:r>
        <w:rPr>
          <w:rStyle w:val="CharPartText"/>
        </w:rPr>
        <w:t>Limitation of liability</w:t>
      </w:r>
      <w:bookmarkEnd w:id="92"/>
      <w:bookmarkEnd w:id="93"/>
      <w:bookmarkEnd w:id="94"/>
    </w:p>
    <w:p>
      <w:pPr>
        <w:pStyle w:val="Footnoteheading"/>
      </w:pPr>
      <w:r>
        <w:tab/>
        <w:t>[Heading inserted in Gazette 16 Aug 2005 p. 3853.]</w:t>
      </w:r>
    </w:p>
    <w:p>
      <w:pPr>
        <w:pStyle w:val="Heading5"/>
      </w:pPr>
      <w:bookmarkStart w:id="95" w:name="_Toc482888460"/>
      <w:r>
        <w:rPr>
          <w:rStyle w:val="CharSectno"/>
        </w:rPr>
        <w:t>51</w:t>
      </w:r>
      <w:r>
        <w:t>.</w:t>
      </w:r>
      <w:r>
        <w:tab/>
        <w:t>Persons exempt from section 126(3)(a) of Act</w:t>
      </w:r>
      <w:bookmarkEnd w:id="95"/>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Rule Change Panel;</w:t>
      </w:r>
    </w:p>
    <w:p>
      <w:pPr>
        <w:pStyle w:val="Indenta"/>
      </w:pPr>
      <w:r>
        <w:tab/>
        <w:t>(f)</w:t>
      </w:r>
      <w:r>
        <w:tab/>
        <w:t>the Board.</w:t>
      </w:r>
    </w:p>
    <w:p>
      <w:pPr>
        <w:pStyle w:val="Footnotesection"/>
      </w:pPr>
      <w:r>
        <w:tab/>
        <w:t>[Regulation 51 inserted in Gazette 16 Aug 2005 p. 3853; amended in Gazette 31 Mar 2006 p. 1322; 13 Nov 2015 p. 4636; 24 Jun 2016 p. 2302; 23 Nov 2016 p. 5269.]</w:t>
      </w:r>
    </w:p>
    <w:p>
      <w:pPr>
        <w:pStyle w:val="Heading5"/>
      </w:pPr>
      <w:bookmarkStart w:id="96" w:name="_Toc482888461"/>
      <w:r>
        <w:rPr>
          <w:rStyle w:val="CharSectno"/>
        </w:rPr>
        <w:t>52</w:t>
      </w:r>
      <w:r>
        <w:t>.</w:t>
      </w:r>
      <w:r>
        <w:tab/>
        <w:t>Maximum civil monetary liability for certain market governance participants</w:t>
      </w:r>
      <w:bookmarkEnd w:id="96"/>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(3A)</w:t>
      </w:r>
      <w:r>
        <w:tab/>
        <w:t xml:space="preserve">For the period of 12 months commencing at the time at which the </w:t>
      </w:r>
      <w:r>
        <w:rPr>
          <w:i/>
        </w:rPr>
        <w:t>Electricity Industry (Wholesale Electricity Market) Amendment Regulations (No. 3) 2015</w:t>
      </w:r>
      <w:r>
        <w:t xml:space="preserve"> regulation 18 comes into operation, subregulation (2) has effect in relation to the operator (including in relation to its system management function) as if — </w:t>
      </w:r>
    </w:p>
    <w:p>
      <w:pPr>
        <w:pStyle w:val="Indenta"/>
      </w:pPr>
      <w:r>
        <w:tab/>
        <w:t>(a)</w:t>
      </w:r>
      <w:r>
        <w:tab/>
        <w:t>in paragraph (a), $10 000 were substituted for $100 000; and</w:t>
      </w:r>
    </w:p>
    <w:p>
      <w:pPr>
        <w:pStyle w:val="Indenta"/>
      </w:pPr>
      <w:r>
        <w:tab/>
        <w:t>(b)</w:t>
      </w:r>
      <w:r>
        <w:tab/>
        <w:t>in paragraph (b), $100 000 were substituted for $10 000 000.</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 amended in Gazette 13 Nov 2015 p. 4636.]</w:t>
      </w:r>
    </w:p>
    <w:p>
      <w:pPr>
        <w:pStyle w:val="Heading5"/>
      </w:pPr>
      <w:bookmarkStart w:id="97" w:name="_Toc482888462"/>
      <w:r>
        <w:rPr>
          <w:rStyle w:val="CharSectno"/>
        </w:rPr>
        <w:t>53</w:t>
      </w:r>
      <w:r>
        <w:t>.</w:t>
      </w:r>
      <w:r>
        <w:tab/>
        <w:t>Maximum civil monetary liability for officers and employees of market governance participants</w:t>
      </w:r>
      <w:bookmarkEnd w:id="97"/>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pStyle w:val="Heading2"/>
      </w:pPr>
      <w:bookmarkStart w:id="98" w:name="_Toc473900125"/>
      <w:bookmarkStart w:id="99" w:name="_Toc473900208"/>
      <w:bookmarkStart w:id="100" w:name="_Toc482888463"/>
      <w:r>
        <w:rPr>
          <w:rStyle w:val="CharPartNo"/>
        </w:rPr>
        <w:t>Part 9</w:t>
      </w:r>
      <w:r>
        <w:t> — </w:t>
      </w:r>
      <w:r>
        <w:rPr>
          <w:rStyle w:val="CharPartText"/>
        </w:rPr>
        <w:t>Provision of information and advice to Minister</w:t>
      </w:r>
      <w:bookmarkEnd w:id="98"/>
      <w:bookmarkEnd w:id="99"/>
      <w:bookmarkEnd w:id="100"/>
    </w:p>
    <w:p>
      <w:pPr>
        <w:pStyle w:val="Heading5"/>
      </w:pPr>
      <w:bookmarkStart w:id="101" w:name="_Toc482888464"/>
      <w:r>
        <w:rPr>
          <w:rStyle w:val="CharSectno"/>
        </w:rPr>
        <w:t>54</w:t>
      </w:r>
      <w:r>
        <w:t>.</w:t>
      </w:r>
      <w:r>
        <w:tab/>
        <w:t>Provision of information and advice to Minister: operator’s functions</w:t>
      </w:r>
      <w:bookmarkEnd w:id="101"/>
    </w:p>
    <w:p>
      <w:pPr>
        <w:pStyle w:val="Subsection"/>
      </w:pPr>
      <w:r>
        <w:tab/>
        <w:t>(1)</w:t>
      </w:r>
      <w:r>
        <w:tab/>
        <w:t xml:space="preserve">In this regulation — </w:t>
      </w:r>
    </w:p>
    <w:p>
      <w:pPr>
        <w:pStyle w:val="Defstart"/>
      </w:pPr>
      <w:r>
        <w:tab/>
      </w:r>
      <w:r>
        <w:rPr>
          <w:rStyle w:val="CharDefText"/>
        </w:rPr>
        <w:t>protected information</w:t>
      </w:r>
      <w:r>
        <w:t xml:space="preserve"> means information — </w:t>
      </w:r>
    </w:p>
    <w:p>
      <w:pPr>
        <w:pStyle w:val="Defpara"/>
      </w:pPr>
      <w:r>
        <w:tab/>
        <w:t>(a)</w:t>
      </w:r>
      <w:r>
        <w:tab/>
        <w:t>given to the operator in confidence; or</w:t>
      </w:r>
    </w:p>
    <w:p>
      <w:pPr>
        <w:pStyle w:val="Defpara"/>
      </w:pPr>
      <w:r>
        <w:tab/>
        <w:t>(b)</w:t>
      </w:r>
      <w:r>
        <w:tab/>
        <w:t>given to the operator, in connection with the performance of its functions that, in the opinion of the operator, would adversely affect the commercial interest of the person who gave the information if it were publicly disclosed.</w:t>
      </w:r>
    </w:p>
    <w:p>
      <w:pPr>
        <w:pStyle w:val="Subsection"/>
      </w:pPr>
      <w:r>
        <w:tab/>
        <w:t>(2)</w:t>
      </w:r>
      <w:r>
        <w:tab/>
        <w:t xml:space="preserve">The Minister may request the operator to — </w:t>
      </w:r>
    </w:p>
    <w:p>
      <w:pPr>
        <w:pStyle w:val="Indenta"/>
      </w:pPr>
      <w:r>
        <w:tab/>
        <w:t>(a)</w:t>
      </w:r>
      <w:r>
        <w:tab/>
        <w:t>provide information about the performance of its functions under these regulations or the market rules; or</w:t>
      </w:r>
    </w:p>
    <w:p>
      <w:pPr>
        <w:pStyle w:val="Indenta"/>
      </w:pPr>
      <w:r>
        <w:tab/>
        <w:t>(b)</w:t>
      </w:r>
      <w:r>
        <w:tab/>
        <w:t>provide advice, including advice in the nature of feasibility studies and consultancy services.</w:t>
      </w:r>
    </w:p>
    <w:p>
      <w:pPr>
        <w:pStyle w:val="Subsection"/>
      </w:pPr>
      <w:r>
        <w:tab/>
        <w:t>(3)</w:t>
      </w:r>
      <w:r>
        <w:tab/>
        <w:t>The operator must comply with a request.</w:t>
      </w:r>
    </w:p>
    <w:p>
      <w:pPr>
        <w:pStyle w:val="Subsection"/>
      </w:pPr>
      <w:r>
        <w:tab/>
        <w:t>(4)</w:t>
      </w:r>
      <w:r>
        <w:tab/>
        <w:t>Protected information provided in response to a request under subregulation (2) must be identified as such by the operator at the time of providing the information.</w:t>
      </w:r>
    </w:p>
    <w:p>
      <w:pPr>
        <w:pStyle w:val="Subsection"/>
      </w:pPr>
      <w:r>
        <w:tab/>
        <w:t>(5)</w:t>
      </w:r>
      <w:r>
        <w:tab/>
        <w:t>The costs of the operator in complying with a request under subregulation (2)(a) are not recoverable by way of fees to be paid by registered participants under the market rules.</w:t>
      </w:r>
    </w:p>
    <w:p>
      <w:pPr>
        <w:pStyle w:val="Footnotesection"/>
      </w:pPr>
      <w:r>
        <w:tab/>
        <w:t>[Regulation 54 inserted in Gazette 13 Nov 2015 p. 4636-7.]</w:t>
      </w:r>
    </w:p>
    <w:p>
      <w:pPr>
        <w:pStyle w:val="Heading2"/>
      </w:pPr>
      <w:bookmarkStart w:id="102" w:name="_Toc473900127"/>
      <w:bookmarkStart w:id="103" w:name="_Toc473900210"/>
      <w:bookmarkStart w:id="104" w:name="_Toc482888465"/>
      <w:r>
        <w:rPr>
          <w:rStyle w:val="CharPartNo"/>
        </w:rPr>
        <w:t>Part 10</w:t>
      </w:r>
      <w:r>
        <w:rPr>
          <w:rStyle w:val="CharDivNo"/>
        </w:rPr>
        <w:t> </w:t>
      </w:r>
      <w:r>
        <w:t>—</w:t>
      </w:r>
      <w:r>
        <w:rPr>
          <w:rStyle w:val="CharDivText"/>
        </w:rPr>
        <w:t> </w:t>
      </w:r>
      <w:r>
        <w:rPr>
          <w:rStyle w:val="CharPartText"/>
        </w:rPr>
        <w:t>Authority may prosecute offences</w:t>
      </w:r>
      <w:bookmarkEnd w:id="102"/>
      <w:bookmarkEnd w:id="103"/>
      <w:bookmarkEnd w:id="104"/>
    </w:p>
    <w:p>
      <w:pPr>
        <w:pStyle w:val="Footnoteheading"/>
      </w:pPr>
      <w:r>
        <w:tab/>
        <w:t>[Heading inserted in Gazette 24 Jun 2016 p. 2303.]</w:t>
      </w:r>
    </w:p>
    <w:p>
      <w:pPr>
        <w:pStyle w:val="Heading5"/>
      </w:pPr>
      <w:bookmarkStart w:id="105" w:name="_Toc482888466"/>
      <w:r>
        <w:rPr>
          <w:rStyle w:val="CharSectno"/>
        </w:rPr>
        <w:t>55</w:t>
      </w:r>
      <w:r>
        <w:t>.</w:t>
      </w:r>
      <w:r>
        <w:tab/>
        <w:t>Authority may prosecute offences</w:t>
      </w:r>
      <w:bookmarkEnd w:id="105"/>
    </w:p>
    <w:p>
      <w:pPr>
        <w:pStyle w:val="Subsection"/>
      </w:pPr>
      <w:r>
        <w:tab/>
      </w:r>
      <w:r>
        <w:tab/>
        <w:t>A prosecution for an offence against these regulations may be commenced by the Authority or a person authorised by the Authority to do so.</w:t>
      </w:r>
    </w:p>
    <w:p>
      <w:pPr>
        <w:pStyle w:val="Footnotesection"/>
      </w:pPr>
      <w:r>
        <w:tab/>
        <w:t>[Regulation 55 inserted in Gazette 24 Jun 2016 p. 2303.]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6" w:name="_Toc473900129"/>
      <w:bookmarkStart w:id="107" w:name="_Toc473900212"/>
      <w:bookmarkStart w:id="108" w:name="_Toc482888467"/>
      <w:r>
        <w:rPr>
          <w:rStyle w:val="CharSchNo"/>
        </w:rPr>
        <w:t>Schedule 1</w:t>
      </w:r>
      <w:r>
        <w:rPr>
          <w:rStyle w:val="CharSDivNo"/>
        </w:rPr>
        <w:t> </w:t>
      </w:r>
      <w:r>
        <w:t>—</w:t>
      </w:r>
      <w:r>
        <w:rPr>
          <w:rStyle w:val="CharSDivText"/>
        </w:rPr>
        <w:t> </w:t>
      </w:r>
      <w:r>
        <w:rPr>
          <w:rStyle w:val="CharSchText"/>
        </w:rPr>
        <w:t>Civil penalty provisions and amounts</w:t>
      </w:r>
      <w:bookmarkEnd w:id="106"/>
      <w:bookmarkEnd w:id="107"/>
      <w:bookmarkEnd w:id="108"/>
    </w:p>
    <w:p>
      <w:pPr>
        <w:pStyle w:val="yShoulderClause"/>
      </w:pPr>
      <w:r>
        <w:rPr>
          <w:szCs w:val="22"/>
        </w:rPr>
        <w:t>[r. 4A, 30, 31 and 33]</w:t>
      </w:r>
    </w:p>
    <w:p>
      <w:pPr>
        <w:pStyle w:val="yFootnoteheading"/>
        <w:spacing w:after="120"/>
      </w:pPr>
      <w:r>
        <w:tab/>
        <w:t>[Heading inserted in Gazette 5 Jun 2012 p. 2354; amended in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 amended in Gazette 24 Feb 2015 p. 738.]</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0" w:name="_Toc473900130"/>
      <w:bookmarkStart w:id="111" w:name="_Toc473900213"/>
      <w:bookmarkStart w:id="112" w:name="_Toc482888468"/>
      <w:r>
        <w:rPr>
          <w:rStyle w:val="CharSchNo"/>
        </w:rPr>
        <w:t>Schedule 2</w:t>
      </w:r>
      <w:r>
        <w:t> — </w:t>
      </w:r>
      <w:r>
        <w:rPr>
          <w:rStyle w:val="CharSchText"/>
        </w:rPr>
        <w:t>Reviewable decisions and procedural decisions</w:t>
      </w:r>
      <w:bookmarkEnd w:id="110"/>
      <w:bookmarkEnd w:id="111"/>
      <w:bookmarkEnd w:id="112"/>
    </w:p>
    <w:p>
      <w:pPr>
        <w:pStyle w:val="yShoulderClause"/>
        <w:spacing w:before="40"/>
      </w:pPr>
      <w:r>
        <w:rPr>
          <w:szCs w:val="22"/>
        </w:rPr>
        <w:t>[r. 4A and 41]</w:t>
      </w:r>
    </w:p>
    <w:p>
      <w:pPr>
        <w:pStyle w:val="yFootnoteheading"/>
        <w:spacing w:before="40"/>
      </w:pPr>
      <w:r>
        <w:tab/>
        <w:t>[Heading inserted in Gazette 16 Aug 2005 p. 3861; amended in Gazette 24 Feb 2015 p. 738.]</w:t>
      </w:r>
    </w:p>
    <w:p>
      <w:pPr>
        <w:pStyle w:val="yHeading5"/>
        <w:spacing w:before="200"/>
      </w:pPr>
      <w:bookmarkStart w:id="113" w:name="_Toc482888469"/>
      <w:r>
        <w:rPr>
          <w:rStyle w:val="CharSClsNo"/>
        </w:rPr>
        <w:t>1</w:t>
      </w:r>
      <w:r>
        <w:t>.</w:t>
      </w:r>
      <w:r>
        <w:tab/>
        <w:t>Reviewable decisions</w:t>
      </w:r>
      <w:bookmarkEnd w:id="113"/>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spacing w:before="200"/>
      </w:pPr>
      <w:bookmarkStart w:id="114" w:name="_Toc482888470"/>
      <w:r>
        <w:rPr>
          <w:rStyle w:val="CharSClsNo"/>
        </w:rPr>
        <w:t>2</w:t>
      </w:r>
      <w:r>
        <w:t>.</w:t>
      </w:r>
      <w:r>
        <w:tab/>
        <w:t>Procedural decisions</w:t>
      </w:r>
      <w:bookmarkEnd w:id="114"/>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spacing w:before="20" w:after="20"/>
            </w:pPr>
            <w:r>
              <w:t>cl. 2.10.2A(a)</w:t>
            </w:r>
          </w:p>
        </w:tc>
        <w:tc>
          <w:tcPr>
            <w:tcW w:w="2835" w:type="dxa"/>
          </w:tcPr>
          <w:p>
            <w:pPr>
              <w:pStyle w:val="yTable"/>
              <w:keepNext/>
              <w:keepLines/>
              <w:spacing w:before="20" w:after="20"/>
            </w:pPr>
            <w:r>
              <w:t>cl. 2.10.13</w:t>
            </w:r>
          </w:p>
        </w:tc>
      </w:tr>
      <w:tr>
        <w:tc>
          <w:tcPr>
            <w:tcW w:w="2835" w:type="dxa"/>
          </w:tcPr>
          <w:p>
            <w:pPr>
              <w:pStyle w:val="yTable"/>
              <w:spacing w:before="20" w:after="20"/>
            </w:pPr>
            <w:r>
              <w:t>cl. 2.10.14</w:t>
            </w:r>
          </w:p>
        </w:tc>
        <w:tc>
          <w:tcPr>
            <w:tcW w:w="2835" w:type="dxa"/>
          </w:tcPr>
          <w:p>
            <w:pPr>
              <w:pStyle w:val="yTable"/>
              <w:keepNext/>
              <w:keepLines/>
              <w:spacing w:before="20" w:after="20"/>
            </w:pPr>
          </w:p>
        </w:tc>
      </w:tr>
    </w:tbl>
    <w:p>
      <w:pPr>
        <w:pStyle w:val="yFootnotesection"/>
        <w:spacing w:before="80"/>
      </w:pPr>
      <w:r>
        <w:tab/>
        <w:t>[Clause 2 inserted in Gazette 16 Aug 2005 p. 3862; amended in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15" w:name="_Toc473900133"/>
      <w:bookmarkStart w:id="116" w:name="_Toc473900216"/>
      <w:bookmarkStart w:id="117" w:name="_Toc482888471"/>
      <w:r>
        <w:t>Notes</w:t>
      </w:r>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8" w:name="_Toc482888472"/>
      <w:r>
        <w:t>Compilation table</w:t>
      </w:r>
      <w:bookmarkEnd w:id="11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rPr>
          <w:cantSplit/>
        </w:trPr>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c>
          <w:tcPr>
            <w:tcW w:w="3118" w:type="dxa"/>
            <w:shd w:val="clear" w:color="auto" w:fill="auto"/>
          </w:tcPr>
          <w:p>
            <w:pPr>
              <w:pStyle w:val="nTable"/>
              <w:spacing w:after="40"/>
              <w:rPr>
                <w:i/>
              </w:rPr>
            </w:pPr>
            <w:r>
              <w:rPr>
                <w:i/>
              </w:rPr>
              <w:t>Electricity Industry (Wholesale Electricity Market) Amendment Regulations (No. 2) 2015</w:t>
            </w:r>
          </w:p>
        </w:tc>
        <w:tc>
          <w:tcPr>
            <w:tcW w:w="1276" w:type="dxa"/>
            <w:shd w:val="clear" w:color="auto" w:fill="auto"/>
          </w:tcPr>
          <w:p>
            <w:pPr>
              <w:pStyle w:val="nTable"/>
              <w:spacing w:after="40"/>
            </w:pPr>
            <w:r>
              <w:t>2 Oct 2015 p. 3930-1</w:t>
            </w:r>
          </w:p>
        </w:tc>
        <w:tc>
          <w:tcPr>
            <w:tcW w:w="2693" w:type="dxa"/>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r>
        <w:tc>
          <w:tcPr>
            <w:tcW w:w="3118" w:type="dxa"/>
            <w:shd w:val="clear" w:color="auto" w:fill="auto"/>
          </w:tcPr>
          <w:p>
            <w:pPr>
              <w:pStyle w:val="nTable"/>
              <w:spacing w:after="40"/>
            </w:pPr>
            <w:r>
              <w:rPr>
                <w:i/>
              </w:rPr>
              <w:t>Electricity Industry (Wholesale Electricity Market) Amendment Regulations (No. 3) 2015</w:t>
            </w:r>
            <w:r>
              <w:t xml:space="preserve"> </w:t>
            </w:r>
          </w:p>
        </w:tc>
        <w:tc>
          <w:tcPr>
            <w:tcW w:w="1276" w:type="dxa"/>
            <w:shd w:val="clear" w:color="auto" w:fill="auto"/>
          </w:tcPr>
          <w:p>
            <w:pPr>
              <w:pStyle w:val="nTable"/>
              <w:spacing w:after="40"/>
            </w:pPr>
            <w:r>
              <w:t>13 Nov 2015 p. 4633</w:t>
            </w:r>
            <w:r>
              <w:noBreakHyphen/>
              <w:t>7</w:t>
            </w:r>
          </w:p>
        </w:tc>
        <w:tc>
          <w:tcPr>
            <w:tcW w:w="2693" w:type="dxa"/>
            <w:shd w:val="clear" w:color="auto" w:fill="auto"/>
          </w:tcPr>
          <w:p>
            <w:pPr>
              <w:pStyle w:val="nTable"/>
              <w:spacing w:after="40"/>
              <w:rPr>
                <w:snapToGrid w:val="0"/>
              </w:rPr>
            </w:pPr>
            <w:r>
              <w:rPr>
                <w:snapToGrid w:val="0"/>
              </w:rPr>
              <w:t xml:space="preserve">r. 1 and 2: </w:t>
            </w:r>
            <w:r>
              <w:t>13 Nov 2015</w:t>
            </w:r>
            <w:r>
              <w:rPr>
                <w:snapToGrid w:val="0"/>
              </w:rPr>
              <w:t xml:space="preserve"> (see r. 2(a));</w:t>
            </w:r>
            <w:r>
              <w:rPr>
                <w:snapToGrid w:val="0"/>
              </w:rPr>
              <w:br/>
              <w:t>r. 5: 14 Nov 2015 (see r. 2(b));</w:t>
            </w:r>
            <w:r>
              <w:rPr>
                <w:snapToGrid w:val="0"/>
              </w:rPr>
              <w:br/>
            </w:r>
            <w:r>
              <w:t>Regulations other than 1, 2, 5, 7, 17(2) and 18: 30 Nov 2015 8.00 am (see r. 2(d));</w:t>
            </w:r>
            <w:r>
              <w:br/>
              <w:t xml:space="preserve">r. 7, 17(2) and 18: 1 Jul 2016 8.00 am (see r. 2(c) and </w:t>
            </w:r>
            <w:r>
              <w:rPr>
                <w:i/>
              </w:rPr>
              <w:t>Gazette</w:t>
            </w:r>
            <w:r>
              <w:t xml:space="preserve"> 31 May 2016 p. 1657)</w:t>
            </w:r>
          </w:p>
        </w:tc>
      </w:tr>
      <w:tr>
        <w:tc>
          <w:tcPr>
            <w:tcW w:w="3118" w:type="dxa"/>
            <w:shd w:val="clear" w:color="auto" w:fill="auto"/>
          </w:tcPr>
          <w:p>
            <w:pPr>
              <w:pStyle w:val="nTable"/>
              <w:spacing w:after="40"/>
              <w:rPr>
                <w:i/>
              </w:rPr>
            </w:pPr>
            <w:r>
              <w:rPr>
                <w:i/>
              </w:rPr>
              <w:t>Electricity Industry (Wholesale Electricity Market) Amendment Regulations (No. 4) 2015</w:t>
            </w:r>
          </w:p>
        </w:tc>
        <w:tc>
          <w:tcPr>
            <w:tcW w:w="1276" w:type="dxa"/>
            <w:shd w:val="clear" w:color="auto" w:fill="auto"/>
          </w:tcPr>
          <w:p>
            <w:pPr>
              <w:pStyle w:val="nTable"/>
              <w:spacing w:after="40"/>
            </w:pPr>
            <w:r>
              <w:t>25 Nov 2015 p. 4741-2</w:t>
            </w:r>
          </w:p>
        </w:tc>
        <w:tc>
          <w:tcPr>
            <w:tcW w:w="2693" w:type="dxa"/>
            <w:shd w:val="clear" w:color="auto" w:fill="auto"/>
          </w:tcPr>
          <w:p>
            <w:pPr>
              <w:pStyle w:val="nTable"/>
              <w:spacing w:after="40"/>
              <w:rPr>
                <w:snapToGrid w:val="0"/>
              </w:rPr>
            </w:pPr>
            <w:r>
              <w:rPr>
                <w:snapToGrid w:val="0"/>
              </w:rPr>
              <w:t xml:space="preserve">r. 1 and 2: </w:t>
            </w:r>
            <w:r>
              <w:t>25 Nov 2015</w:t>
            </w:r>
            <w:r>
              <w:rPr>
                <w:snapToGrid w:val="0"/>
              </w:rPr>
              <w:t xml:space="preserve"> (see r. 2(a));</w:t>
            </w:r>
            <w:r>
              <w:rPr>
                <w:snapToGrid w:val="0"/>
              </w:rPr>
              <w:br/>
              <w:t>Regulations other than r. 1 and 2: 26 Nov 2015 (see r. 2(b))</w:t>
            </w:r>
          </w:p>
        </w:tc>
      </w:tr>
      <w:tr>
        <w:tc>
          <w:tcPr>
            <w:tcW w:w="3118" w:type="dxa"/>
            <w:shd w:val="clear" w:color="auto" w:fill="auto"/>
          </w:tcPr>
          <w:p>
            <w:pPr>
              <w:pStyle w:val="nTable"/>
              <w:spacing w:after="40"/>
              <w:rPr>
                <w:i/>
              </w:rPr>
            </w:pPr>
            <w:r>
              <w:rPr>
                <w:i/>
              </w:rPr>
              <w:t>Electricity Industry (Wholesale Electricity Market) Amendment Regulations 2016</w:t>
            </w:r>
          </w:p>
        </w:tc>
        <w:tc>
          <w:tcPr>
            <w:tcW w:w="1276" w:type="dxa"/>
            <w:shd w:val="clear" w:color="auto" w:fill="auto"/>
          </w:tcPr>
          <w:p>
            <w:pPr>
              <w:pStyle w:val="nTable"/>
              <w:spacing w:after="40"/>
            </w:pPr>
            <w:r>
              <w:t>24 Jun 2016 p. 2296-303</w:t>
            </w:r>
          </w:p>
        </w:tc>
        <w:tc>
          <w:tcPr>
            <w:tcW w:w="2693"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 xml:space="preserve">Regulations other than r. 1 and 2: 1 Jul 2016 (see r. 2(b) and </w:t>
            </w:r>
            <w:r>
              <w:rPr>
                <w:i/>
                <w:snapToGrid w:val="0"/>
              </w:rPr>
              <w:t>Gazette</w:t>
            </w:r>
            <w:r>
              <w:rPr>
                <w:snapToGrid w:val="0"/>
              </w:rPr>
              <w:t xml:space="preserve"> 30 Jun 2016 p. 2695)</w:t>
            </w:r>
          </w:p>
        </w:tc>
      </w:tr>
      <w:tr>
        <w:trPr>
          <w:cantSplit/>
        </w:trPr>
        <w:tc>
          <w:tcPr>
            <w:tcW w:w="3118" w:type="dxa"/>
            <w:tcBorders>
              <w:bottom w:val="single" w:sz="4" w:space="0" w:color="auto"/>
            </w:tcBorders>
            <w:shd w:val="clear" w:color="auto" w:fill="auto"/>
          </w:tcPr>
          <w:p>
            <w:pPr>
              <w:pStyle w:val="nTable"/>
              <w:spacing w:after="40"/>
            </w:pPr>
            <w:r>
              <w:rPr>
                <w:i/>
              </w:rPr>
              <w:t>Electricity Industry (Wholesale Electricity Market) Amendment Regulations (No. 2) 2016</w:t>
            </w:r>
            <w:r>
              <w:t xml:space="preserve"> (other than r. 9)</w:t>
            </w:r>
          </w:p>
        </w:tc>
        <w:tc>
          <w:tcPr>
            <w:tcW w:w="1276" w:type="dxa"/>
            <w:tcBorders>
              <w:bottom w:val="single" w:sz="4" w:space="0" w:color="auto"/>
            </w:tcBorders>
            <w:shd w:val="clear" w:color="auto" w:fill="auto"/>
          </w:tcPr>
          <w:p>
            <w:pPr>
              <w:pStyle w:val="nTable"/>
              <w:spacing w:after="40"/>
            </w:pPr>
            <w:r>
              <w:t>23 Nov 2016 p. 5265-9</w:t>
            </w:r>
          </w:p>
        </w:tc>
        <w:tc>
          <w:tcPr>
            <w:tcW w:w="2693" w:type="dxa"/>
            <w:tcBorders>
              <w:bottom w:val="single" w:sz="4" w:space="0" w:color="auto"/>
            </w:tcBorders>
            <w:shd w:val="clear" w:color="auto" w:fill="auto"/>
          </w:tcPr>
          <w:p>
            <w:pPr>
              <w:pStyle w:val="nTable"/>
              <w:spacing w:after="40"/>
              <w:rPr>
                <w:snapToGrid w:val="0"/>
              </w:rPr>
            </w:pPr>
            <w:r>
              <w:rPr>
                <w:snapToGrid w:val="0"/>
              </w:rPr>
              <w:t>r. 1 and 2: 23</w:t>
            </w:r>
            <w:r>
              <w:t> Nov 2016</w:t>
            </w:r>
            <w:r>
              <w:rPr>
                <w:snapToGrid w:val="0"/>
              </w:rPr>
              <w:t xml:space="preserve"> (see r. 2(a));</w:t>
            </w:r>
            <w:r>
              <w:rPr>
                <w:snapToGrid w:val="0"/>
              </w:rPr>
              <w:br/>
              <w:t xml:space="preserve">Regulations other than r. 1, 2 and 9: 24 Nov 2016 (see r. 2(c) and </w:t>
            </w:r>
            <w:r>
              <w:rPr>
                <w:i/>
                <w:snapToGrid w:val="0"/>
              </w:rPr>
              <w:t>Gazette</w:t>
            </w:r>
            <w:r>
              <w:rPr>
                <w:snapToGrid w:val="0"/>
              </w:rPr>
              <w:t xml:space="preserve"> 23 Nov 2016 p. 5249)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9" w:name="_Toc482888473"/>
      <w:r>
        <w:t>Provisions that have not come into operation</w:t>
      </w:r>
      <w:bookmarkEnd w:id="1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keepNext/>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keepNext/>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c>
          <w:tcPr>
            <w:tcW w:w="3118" w:type="dxa"/>
            <w:tcBorders>
              <w:bottom w:val="single" w:sz="4" w:space="0" w:color="auto"/>
            </w:tcBorders>
            <w:shd w:val="clear" w:color="auto" w:fill="auto"/>
          </w:tcPr>
          <w:p>
            <w:pPr>
              <w:pStyle w:val="nTable"/>
              <w:spacing w:after="40"/>
              <w:ind w:right="113"/>
              <w:rPr>
                <w:vertAlign w:val="superscript"/>
              </w:rPr>
            </w:pPr>
            <w:r>
              <w:rPr>
                <w:i/>
              </w:rPr>
              <w:t>Electricity Industry (Wholesale Electricity Market) Amendment Regulations (No. 2) 2016</w:t>
            </w:r>
            <w:r>
              <w:t xml:space="preserve"> r. 9</w:t>
            </w:r>
            <w:r>
              <w:rPr>
                <w:vertAlign w:val="superscript"/>
              </w:rPr>
              <w:t> 5</w:t>
            </w:r>
          </w:p>
        </w:tc>
        <w:tc>
          <w:tcPr>
            <w:tcW w:w="1276" w:type="dxa"/>
            <w:tcBorders>
              <w:bottom w:val="single" w:sz="4" w:space="0" w:color="auto"/>
            </w:tcBorders>
            <w:shd w:val="clear" w:color="auto" w:fill="auto"/>
          </w:tcPr>
          <w:p>
            <w:pPr>
              <w:pStyle w:val="nTable"/>
              <w:spacing w:after="40"/>
            </w:pPr>
            <w:r>
              <w:t>23 Nov 2016 p. 5265-9</w:t>
            </w:r>
          </w:p>
        </w:tc>
        <w:tc>
          <w:tcPr>
            <w:tcW w:w="2693" w:type="dxa"/>
            <w:tcBorders>
              <w:bottom w:val="single" w:sz="4" w:space="0" w:color="auto"/>
            </w:tcBorders>
            <w:shd w:val="clear" w:color="auto" w:fill="auto"/>
          </w:tcPr>
          <w:p>
            <w:pPr>
              <w:pStyle w:val="nTable"/>
              <w:spacing w:after="40"/>
              <w:rPr>
                <w:snapToGrid w:val="0"/>
              </w:rPr>
            </w:pPr>
            <w:r>
              <w:rPr>
                <w:snapToGrid w:val="0"/>
              </w:rPr>
              <w:t>3 Apr 2017 (see r. 2(b))</w:t>
            </w:r>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3</w:t>
      </w:r>
      <w:r>
        <w:rPr>
          <w:vertAlign w:val="superscript"/>
        </w:rPr>
        <w:tab/>
      </w:r>
      <w:r>
        <w:t xml:space="preserve">Now known as the </w:t>
      </w:r>
      <w:r>
        <w:rPr>
          <w:i/>
        </w:rPr>
        <w:t>Energy Arbitration and Review Act 1998</w:t>
      </w:r>
      <w:r>
        <w:t>.</w:t>
      </w:r>
    </w:p>
    <w:p>
      <w:pPr>
        <w:pStyle w:val="nSubsection"/>
      </w:pPr>
      <w:r>
        <w:rPr>
          <w:vertAlign w:val="superscript"/>
        </w:rPr>
        <w:t>4</w:t>
      </w:r>
      <w:r>
        <w:tab/>
        <w:t>Footnote no longer required.</w:t>
      </w:r>
    </w:p>
    <w:p>
      <w:pPr>
        <w:pStyle w:val="nSubsection"/>
      </w:pPr>
      <w:r>
        <w:rPr>
          <w:vertAlign w:val="superscript"/>
        </w:rPr>
        <w:t>5</w:t>
      </w:r>
      <w:r>
        <w:tab/>
        <w:t xml:space="preserve">On the date as at which this compilation was prepared, </w:t>
      </w:r>
      <w:r>
        <w:rPr>
          <w:snapToGrid w:val="0"/>
        </w:rPr>
        <w:t xml:space="preserve">the </w:t>
      </w:r>
      <w:r>
        <w:rPr>
          <w:i/>
        </w:rPr>
        <w:t>Electricity Industry (Wholesale Electricity Market) Amendment Regulations (No. 2) 2016</w:t>
      </w:r>
      <w:r>
        <w:rPr>
          <w:sz w:val="19"/>
          <w:szCs w:val="19"/>
        </w:rPr>
        <w:t xml:space="preserve"> r. 9</w:t>
      </w:r>
      <w:r>
        <w:t xml:space="preserve"> had not come into operation.  It reads as follows:</w:t>
      </w:r>
    </w:p>
    <w:p>
      <w:pPr>
        <w:pStyle w:val="BlankOpen"/>
      </w:pPr>
    </w:p>
    <w:p>
      <w:pPr>
        <w:pStyle w:val="nzHeading5"/>
      </w:pPr>
      <w:r>
        <w:rPr>
          <w:rStyle w:val="CharSectno"/>
        </w:rPr>
        <w:t>9</w:t>
      </w:r>
      <w:r>
        <w:t>.</w:t>
      </w:r>
      <w:r>
        <w:tab/>
        <w:t>Regulation 12B amended</w:t>
      </w:r>
    </w:p>
    <w:p>
      <w:pPr>
        <w:pStyle w:val="nzSubsection"/>
      </w:pPr>
      <w:r>
        <w:tab/>
      </w:r>
      <w:r>
        <w:tab/>
        <w:t>After regulation 12B(2) insert:</w:t>
      </w:r>
    </w:p>
    <w:p>
      <w:pPr>
        <w:pStyle w:val="BlankOpen"/>
      </w:pPr>
    </w:p>
    <w:p>
      <w:pPr>
        <w:pStyle w:val="nzSubsection"/>
      </w:pPr>
      <w:r>
        <w:tab/>
        <w:t>(3)</w:t>
      </w:r>
      <w:r>
        <w:tab/>
        <w:t>The Rule Change Panel is responsible for the development, in accordance with the market rules, of amendments of and replacements for the market rules.</w:t>
      </w:r>
    </w:p>
    <w:p>
      <w:pPr>
        <w:pStyle w:val="BlankClose"/>
      </w:pPr>
    </w:p>
    <w:p>
      <w:pPr>
        <w:pStyle w:val="BlankClose"/>
      </w:pP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1" w:name="_Toc473900136"/>
      <w:bookmarkStart w:id="122" w:name="_Toc473900219"/>
      <w:bookmarkStart w:id="123" w:name="_Toc482888474"/>
      <w:r>
        <w:rPr>
          <w:sz w:val="28"/>
        </w:rPr>
        <w:t>Defined terms</w:t>
      </w:r>
      <w:bookmarkEnd w:id="121"/>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w:t>
      </w:r>
    </w:p>
    <w:p>
      <w:pPr>
        <w:pStyle w:val="DefinedTerms"/>
      </w:pPr>
      <w:r>
        <w:t>amend</w:t>
      </w:r>
      <w:r>
        <w:tab/>
        <w:t>3</w:t>
      </w:r>
    </w:p>
    <w:p>
      <w:pPr>
        <w:pStyle w:val="DefinedTerms"/>
      </w:pPr>
      <w:r>
        <w:t>amending rules</w:t>
      </w:r>
      <w:r>
        <w:tab/>
        <w:t>3</w:t>
      </w:r>
    </w:p>
    <w:p>
      <w:pPr>
        <w:pStyle w:val="DefinedTerms"/>
      </w:pPr>
      <w:r>
        <w:t>appointed day</w:t>
      </w:r>
      <w:r>
        <w:tab/>
        <w:t>19(3)</w:t>
      </w:r>
    </w:p>
    <w:p>
      <w:pPr>
        <w:pStyle w:val="DefinedTerms"/>
      </w:pPr>
      <w:r>
        <w:t>arrangement</w:t>
      </w:r>
      <w:r>
        <w:tab/>
        <w:t>18(1)</w:t>
      </w:r>
    </w:p>
    <w:p>
      <w:pPr>
        <w:pStyle w:val="DefinedTerms"/>
      </w:pPr>
      <w:r>
        <w:t>authorised person</w:t>
      </w:r>
      <w:r>
        <w:tab/>
        <w:t>22</w:t>
      </w:r>
    </w:p>
    <w:p>
      <w:pPr>
        <w:pStyle w:val="DefinedTerms"/>
      </w:pPr>
      <w:r>
        <w:t>Board function</w:t>
      </w:r>
      <w:r>
        <w:tab/>
        <w:t>49(1)</w:t>
      </w:r>
    </w:p>
    <w:p>
      <w:pPr>
        <w:pStyle w:val="DefinedTerms"/>
      </w:pPr>
      <w:r>
        <w:t>civil penalty</w:t>
      </w:r>
      <w:r>
        <w:tab/>
        <w:t>22</w:t>
      </w:r>
    </w:p>
    <w:p>
      <w:pPr>
        <w:pStyle w:val="DefinedTerms"/>
      </w:pPr>
      <w:r>
        <w:t>civil penalty provision</w:t>
      </w:r>
      <w:r>
        <w:tab/>
        <w:t>22</w:t>
      </w:r>
    </w:p>
    <w:p>
      <w:pPr>
        <w:pStyle w:val="DefinedTerms"/>
      </w:pPr>
      <w:r>
        <w:t>civil penalty provisions</w:t>
      </w:r>
      <w:r>
        <w:tab/>
        <w:t>30(1)</w:t>
      </w:r>
    </w:p>
    <w:p>
      <w:pPr>
        <w:pStyle w:val="DefinedTerms"/>
      </w:pPr>
      <w:r>
        <w:t>IMO</w:t>
      </w:r>
      <w:r>
        <w:tab/>
        <w:t>3</w:t>
      </w:r>
    </w:p>
    <w:p>
      <w:pPr>
        <w:pStyle w:val="DefinedTerms"/>
      </w:pPr>
      <w:r>
        <w:t>impose requirements</w:t>
      </w:r>
      <w:r>
        <w:tab/>
        <w:t>3</w:t>
      </w:r>
    </w:p>
    <w:p>
      <w:pPr>
        <w:pStyle w:val="DefinedTerms"/>
      </w:pPr>
      <w:r>
        <w:t>market</w:t>
      </w:r>
      <w:r>
        <w:tab/>
        <w:t>2</w:t>
      </w:r>
    </w:p>
    <w:p>
      <w:pPr>
        <w:pStyle w:val="DefinedTerms"/>
      </w:pPr>
      <w:r>
        <w:t>market procedures</w:t>
      </w:r>
      <w:r>
        <w:tab/>
        <w:t>3</w:t>
      </w:r>
    </w:p>
    <w:p>
      <w:pPr>
        <w:pStyle w:val="DefinedTerms"/>
      </w:pPr>
      <w:r>
        <w:t>market rules</w:t>
      </w:r>
      <w:r>
        <w:tab/>
        <w:t>5, 6(1)</w:t>
      </w:r>
    </w:p>
    <w:p>
      <w:pPr>
        <w:pStyle w:val="DefinedTerms"/>
      </w:pPr>
      <w:r>
        <w:t>market website</w:t>
      </w:r>
      <w:r>
        <w:tab/>
        <w:t>3</w:t>
      </w:r>
    </w:p>
    <w:p>
      <w:pPr>
        <w:pStyle w:val="DefinedTerms"/>
      </w:pPr>
      <w:r>
        <w:t>new rules</w:t>
      </w:r>
      <w:r>
        <w:tab/>
        <w:t>4(1)</w:t>
      </w:r>
    </w:p>
    <w:p>
      <w:pPr>
        <w:pStyle w:val="DefinedTerms"/>
      </w:pPr>
      <w:r>
        <w:t>operator</w:t>
      </w:r>
      <w:r>
        <w:tab/>
        <w:t>3</w:t>
      </w:r>
    </w:p>
    <w:p>
      <w:pPr>
        <w:pStyle w:val="DefinedTerms"/>
      </w:pPr>
      <w:r>
        <w:t>person</w:t>
      </w:r>
      <w:r>
        <w:tab/>
        <w:t>17A(1), 17A(2)</w:t>
      </w:r>
    </w:p>
    <w:p>
      <w:pPr>
        <w:pStyle w:val="DefinedTerms"/>
      </w:pPr>
      <w:r>
        <w:t>person required to pay</w:t>
      </w:r>
      <w:r>
        <w:tab/>
        <w:t>40(1AA)</w:t>
      </w:r>
    </w:p>
    <w:p>
      <w:pPr>
        <w:pStyle w:val="DefinedTerms"/>
      </w:pPr>
      <w:r>
        <w:t>procedural decision</w:t>
      </w:r>
      <w:r>
        <w:tab/>
        <w:t>41(1), 48</w:t>
      </w:r>
    </w:p>
    <w:p>
      <w:pPr>
        <w:pStyle w:val="DefinedTerms"/>
      </w:pPr>
      <w:r>
        <w:t>protected information</w:t>
      </w:r>
      <w:r>
        <w:tab/>
        <w:t>54(1)</w:t>
      </w:r>
    </w:p>
    <w:p>
      <w:pPr>
        <w:pStyle w:val="DefinedTerms"/>
      </w:pPr>
      <w:r>
        <w:t>registered participant</w:t>
      </w:r>
      <w:r>
        <w:tab/>
        <w:t>3</w:t>
      </w:r>
    </w:p>
    <w:p>
      <w:pPr>
        <w:pStyle w:val="DefinedTerms"/>
      </w:pPr>
      <w:r>
        <w:t>relevant act or omission</w:t>
      </w:r>
      <w:r>
        <w:tab/>
        <w:t>52(2)</w:t>
      </w:r>
    </w:p>
    <w:p>
      <w:pPr>
        <w:pStyle w:val="DefinedTerms"/>
      </w:pPr>
      <w:r>
        <w:t>reviewable decision</w:t>
      </w:r>
      <w:r>
        <w:tab/>
        <w:t>41(1), 48</w:t>
      </w:r>
    </w:p>
    <w:p>
      <w:pPr>
        <w:pStyle w:val="DefinedTerms"/>
      </w:pPr>
      <w:r>
        <w:t>Rule Change Panel</w:t>
      </w:r>
      <w:r>
        <w:tab/>
        <w:t>3</w:t>
      </w:r>
    </w:p>
    <w:p>
      <w:pPr>
        <w:pStyle w:val="DefinedTerms"/>
      </w:pPr>
      <w:r>
        <w:t>short term trading, balancing and reserve capacity</w:t>
      </w:r>
      <w:r>
        <w:tab/>
        <w:t>18A(1)</w:t>
      </w:r>
    </w:p>
    <w:p>
      <w:pPr>
        <w:pStyle w:val="DefinedTerms"/>
      </w:pPr>
      <w:r>
        <w:t>specified</w:t>
      </w:r>
      <w:r>
        <w:tab/>
        <w:t>3</w:t>
      </w:r>
    </w:p>
    <w:p>
      <w:pPr>
        <w:pStyle w:val="DefinedTerms"/>
      </w:pPr>
      <w:r>
        <w:t>SWIS</w:t>
      </w:r>
      <w:r>
        <w:tab/>
        <w:t>3</w:t>
      </w:r>
    </w:p>
    <w:p>
      <w:pPr>
        <w:pStyle w:val="DefinedTerms"/>
      </w:pPr>
      <w:r>
        <w:t>System Management</w:t>
      </w:r>
      <w:r>
        <w:tab/>
        <w:t>3, 13(2)</w:t>
      </w:r>
    </w:p>
    <w:p>
      <w:pPr>
        <w:pStyle w:val="DefinedTerms"/>
      </w:pPr>
      <w:r>
        <w:t>top</w:t>
      </w:r>
      <w:r>
        <w:noBreakHyphen/>
        <w:t>up and spill rules</w:t>
      </w:r>
      <w:r>
        <w:tab/>
        <w:t>4(1)</w:t>
      </w:r>
    </w:p>
    <w:p>
      <w:pPr>
        <w:pStyle w:val="DefinedTerms"/>
      </w:pPr>
      <w:r>
        <w:t>under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109" w:name="Schedule"/>
    <w:bookmarkEnd w:id="1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3154502"/>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 w:name="WAFER_20151117125738" w:val="UpdateStyles"/>
    <w:docVar w:name="WAFER_20151117125738_GUID" w:val="d0b733b6-c8a1-4447-93a5-d6c109d754c2"/>
    <w:docVar w:name="WAFER_20151117131119" w:val="UsedStyles"/>
    <w:docVar w:name="WAFER_20151117131119_GUID" w:val="06282c0d-c19c-44af-b787-4a531e62cbe5"/>
    <w:docVar w:name="WAFER_20170203154502" w:val="RemoveTocBookmarks,RemoveUnusedBookmarks,RemoveLanguageTags,UsedStyles,ResetPageSize"/>
    <w:docVar w:name="WAFER_20170203154502_GUID" w:val="aab8c5ad-e595-4eca-9afc-48de5ac033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258">
      <w:bodyDiv w:val="1"/>
      <w:marLeft w:val="0"/>
      <w:marRight w:val="0"/>
      <w:marTop w:val="0"/>
      <w:marBottom w:val="0"/>
      <w:divBdr>
        <w:top w:val="none" w:sz="0" w:space="0" w:color="auto"/>
        <w:left w:val="none" w:sz="0" w:space="0" w:color="auto"/>
        <w:bottom w:val="none" w:sz="0" w:space="0" w:color="auto"/>
        <w:right w:val="none" w:sz="0" w:space="0" w:color="auto"/>
      </w:divBdr>
    </w:div>
    <w:div w:id="75396453">
      <w:bodyDiv w:val="1"/>
      <w:marLeft w:val="0"/>
      <w:marRight w:val="0"/>
      <w:marTop w:val="0"/>
      <w:marBottom w:val="0"/>
      <w:divBdr>
        <w:top w:val="none" w:sz="0" w:space="0" w:color="auto"/>
        <w:left w:val="none" w:sz="0" w:space="0" w:color="auto"/>
        <w:bottom w:val="none" w:sz="0" w:space="0" w:color="auto"/>
        <w:right w:val="none" w:sz="0" w:space="0" w:color="auto"/>
      </w:divBdr>
    </w:div>
    <w:div w:id="366374217">
      <w:bodyDiv w:val="1"/>
      <w:marLeft w:val="0"/>
      <w:marRight w:val="0"/>
      <w:marTop w:val="0"/>
      <w:marBottom w:val="0"/>
      <w:divBdr>
        <w:top w:val="none" w:sz="0" w:space="0" w:color="auto"/>
        <w:left w:val="none" w:sz="0" w:space="0" w:color="auto"/>
        <w:bottom w:val="none" w:sz="0" w:space="0" w:color="auto"/>
        <w:right w:val="none" w:sz="0" w:space="0" w:color="auto"/>
      </w:divBdr>
    </w:div>
    <w:div w:id="862787713">
      <w:bodyDiv w:val="1"/>
      <w:marLeft w:val="0"/>
      <w:marRight w:val="0"/>
      <w:marTop w:val="0"/>
      <w:marBottom w:val="0"/>
      <w:divBdr>
        <w:top w:val="none" w:sz="0" w:space="0" w:color="auto"/>
        <w:left w:val="none" w:sz="0" w:space="0" w:color="auto"/>
        <w:bottom w:val="none" w:sz="0" w:space="0" w:color="auto"/>
        <w:right w:val="none" w:sz="0" w:space="0" w:color="auto"/>
      </w:divBdr>
    </w:div>
    <w:div w:id="1300572886">
      <w:bodyDiv w:val="1"/>
      <w:marLeft w:val="0"/>
      <w:marRight w:val="0"/>
      <w:marTop w:val="0"/>
      <w:marBottom w:val="0"/>
      <w:divBdr>
        <w:top w:val="none" w:sz="0" w:space="0" w:color="auto"/>
        <w:left w:val="none" w:sz="0" w:space="0" w:color="auto"/>
        <w:bottom w:val="none" w:sz="0" w:space="0" w:color="auto"/>
        <w:right w:val="none" w:sz="0" w:space="0" w:color="auto"/>
      </w:divBdr>
    </w:div>
    <w:div w:id="1433472692">
      <w:bodyDiv w:val="1"/>
      <w:marLeft w:val="0"/>
      <w:marRight w:val="0"/>
      <w:marTop w:val="0"/>
      <w:marBottom w:val="0"/>
      <w:divBdr>
        <w:top w:val="none" w:sz="0" w:space="0" w:color="auto"/>
        <w:left w:val="none" w:sz="0" w:space="0" w:color="auto"/>
        <w:bottom w:val="none" w:sz="0" w:space="0" w:color="auto"/>
        <w:right w:val="none" w:sz="0" w:space="0" w:color="auto"/>
      </w:divBdr>
    </w:div>
    <w:div w:id="1539660743">
      <w:bodyDiv w:val="1"/>
      <w:marLeft w:val="0"/>
      <w:marRight w:val="0"/>
      <w:marTop w:val="0"/>
      <w:marBottom w:val="0"/>
      <w:divBdr>
        <w:top w:val="none" w:sz="0" w:space="0" w:color="auto"/>
        <w:left w:val="none" w:sz="0" w:space="0" w:color="auto"/>
        <w:bottom w:val="none" w:sz="0" w:space="0" w:color="auto"/>
        <w:right w:val="none" w:sz="0" w:space="0" w:color="auto"/>
      </w:divBdr>
    </w:div>
    <w:div w:id="20124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CFAED-2122-48BB-8568-43EAEEF2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14326</Words>
  <Characters>71059</Characters>
  <Application>Microsoft Office Word</Application>
  <DocSecurity>0</DocSecurity>
  <Lines>2292</Lines>
  <Paragraphs>1423</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83962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2004 - 02-i0-02</dc:title>
  <dc:subject/>
  <dc:creator/>
  <cp:keywords/>
  <dc:description/>
  <cp:lastModifiedBy>svcMRProcess</cp:lastModifiedBy>
  <cp:revision>4</cp:revision>
  <cp:lastPrinted>2013-08-12T01:24:00Z</cp:lastPrinted>
  <dcterms:created xsi:type="dcterms:W3CDTF">2018-09-11T07:00:00Z</dcterms:created>
  <dcterms:modified xsi:type="dcterms:W3CDTF">2018-09-11T07:01:00Z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ReprintNo">
    <vt:lpwstr>2</vt:lpwstr>
  </property>
  <property fmtid="{D5CDD505-2E9C-101B-9397-08002B2CF9AE}" pid="4" name="ReprintedAsAt">
    <vt:filetime>2013-08-15T16:00:00Z</vt:filetime>
  </property>
  <property fmtid="{D5CDD505-2E9C-101B-9397-08002B2CF9AE}" pid="5" name="AsAtDate">
    <vt:lpwstr>24 Nov 2016</vt:lpwstr>
  </property>
  <property fmtid="{D5CDD505-2E9C-101B-9397-08002B2CF9AE}" pid="6" name="Suffix">
    <vt:lpwstr>02-i0-02</vt:lpwstr>
  </property>
  <property fmtid="{D5CDD505-2E9C-101B-9397-08002B2CF9AE}" pid="7" name="OWLSUId">
    <vt:i4>7017</vt:i4>
  </property>
  <property fmtid="{D5CDD505-2E9C-101B-9397-08002B2CF9AE}" pid="8" name="DocumentType">
    <vt:lpwstr>Reg</vt:lpwstr>
  </property>
  <property fmtid="{D5CDD505-2E9C-101B-9397-08002B2CF9AE}" pid="9" name="CommencementDate">
    <vt:lpwstr>20161124</vt:lpwstr>
  </property>
</Properties>
</file>