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Weapons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Weapons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Weapons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_Toc468113115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_Toc468113116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_Toc468113117 \h </w:instrText>
      </w:r>
      <w:r>
        <w:fldChar w:fldCharType="separate"/>
      </w:r>
      <w:r>
        <w:t>1</w:t>
      </w:r>
      <w:r>
        <w:fldChar w:fldCharType="end"/>
      </w:r>
    </w:p>
    <w:p>
      <w:pPr>
        <w:pStyle w:val="TOC8"/>
        <w:rPr>
          <w:rFonts w:asciiTheme="minorHAnsi" w:eastAsiaTheme="minorEastAsia" w:hAnsiTheme="minorHAnsi" w:cstheme="minorBidi"/>
          <w:szCs w:val="22"/>
        </w:rPr>
      </w:pPr>
      <w:r>
        <w:t>4.</w:t>
      </w:r>
      <w:r>
        <w:tab/>
        <w:t>Prohibited weapons prescribed (Act s. 3) (Sch. 1)</w:t>
      </w:r>
      <w:r>
        <w:tab/>
      </w:r>
      <w:r>
        <w:fldChar w:fldCharType="begin"/>
      </w:r>
      <w:r>
        <w:instrText xml:space="preserve"> PAGEREF _Toc468113118 \h </w:instrText>
      </w:r>
      <w:r>
        <w:fldChar w:fldCharType="separate"/>
      </w:r>
      <w:r>
        <w:t>2</w:t>
      </w:r>
      <w:r>
        <w:fldChar w:fldCharType="end"/>
      </w:r>
    </w:p>
    <w:p>
      <w:pPr>
        <w:pStyle w:val="TOC8"/>
        <w:rPr>
          <w:rFonts w:asciiTheme="minorHAnsi" w:eastAsiaTheme="minorEastAsia" w:hAnsiTheme="minorHAnsi" w:cstheme="minorBidi"/>
          <w:szCs w:val="22"/>
        </w:rPr>
      </w:pPr>
      <w:r>
        <w:t>5.</w:t>
      </w:r>
      <w:r>
        <w:tab/>
        <w:t>Controlled weapons prescribed (Act s. 3) (Sch. 2)</w:t>
      </w:r>
      <w:r>
        <w:tab/>
      </w:r>
      <w:r>
        <w:fldChar w:fldCharType="begin"/>
      </w:r>
      <w:r>
        <w:instrText xml:space="preserve"> PAGEREF _Toc468113119 \h </w:instrText>
      </w:r>
      <w:r>
        <w:fldChar w:fldCharType="separate"/>
      </w:r>
      <w:r>
        <w:t>2</w:t>
      </w:r>
      <w:r>
        <w:fldChar w:fldCharType="end"/>
      </w:r>
    </w:p>
    <w:p>
      <w:pPr>
        <w:pStyle w:val="TOC8"/>
        <w:rPr>
          <w:rFonts w:asciiTheme="minorHAnsi" w:eastAsiaTheme="minorEastAsia" w:hAnsiTheme="minorHAnsi" w:cstheme="minorBidi"/>
          <w:szCs w:val="22"/>
        </w:rPr>
      </w:pPr>
      <w:r>
        <w:t>6.</w:t>
      </w:r>
      <w:r>
        <w:tab/>
        <w:t>Briefcase etc. giving electric shock prescribed (Act s. 7(3) and (4))</w:t>
      </w:r>
      <w:r>
        <w:tab/>
      </w:r>
      <w:r>
        <w:fldChar w:fldCharType="begin"/>
      </w:r>
      <w:r>
        <w:instrText xml:space="preserve"> PAGEREF _Toc468113120 \h </w:instrText>
      </w:r>
      <w:r>
        <w:fldChar w:fldCharType="separate"/>
      </w:r>
      <w:r>
        <w:t>2</w:t>
      </w:r>
      <w:r>
        <w:fldChar w:fldCharType="end"/>
      </w:r>
    </w:p>
    <w:p>
      <w:pPr>
        <w:pStyle w:val="TOC8"/>
        <w:rPr>
          <w:rFonts w:asciiTheme="minorHAnsi" w:eastAsiaTheme="minorEastAsia" w:hAnsiTheme="minorHAnsi" w:cstheme="minorBidi"/>
          <w:szCs w:val="22"/>
        </w:rPr>
      </w:pPr>
      <w:r>
        <w:t>7.</w:t>
      </w:r>
      <w:r>
        <w:tab/>
        <w:t>Oleoresin capsicum spray weapon prescribed (Act s. 7(3) and (4))</w:t>
      </w:r>
      <w:r>
        <w:tab/>
      </w:r>
      <w:r>
        <w:fldChar w:fldCharType="begin"/>
      </w:r>
      <w:r>
        <w:instrText xml:space="preserve"> PAGEREF _Toc468113121 \h </w:instrText>
      </w:r>
      <w:r>
        <w:fldChar w:fldCharType="separate"/>
      </w:r>
      <w:r>
        <w:t>3</w:t>
      </w:r>
      <w:r>
        <w:fldChar w:fldCharType="end"/>
      </w:r>
    </w:p>
    <w:p>
      <w:pPr>
        <w:pStyle w:val="TOC8"/>
        <w:rPr>
          <w:rFonts w:asciiTheme="minorHAnsi" w:eastAsiaTheme="minorEastAsia" w:hAnsiTheme="minorHAnsi" w:cstheme="minorBidi"/>
          <w:szCs w:val="22"/>
        </w:rPr>
      </w:pPr>
      <w:r>
        <w:t>8.</w:t>
      </w:r>
      <w:r>
        <w:tab/>
        <w:t>Circumstances prescribed (Act s. 10(3))</w:t>
      </w:r>
      <w:r>
        <w:tab/>
      </w:r>
      <w:r>
        <w:fldChar w:fldCharType="begin"/>
      </w:r>
      <w:r>
        <w:instrText xml:space="preserve"> PAGEREF _Toc468113122 \h </w:instrText>
      </w:r>
      <w:r>
        <w:fldChar w:fldCharType="separate"/>
      </w:r>
      <w:r>
        <w:t>3</w:t>
      </w:r>
      <w:r>
        <w:fldChar w:fldCharType="end"/>
      </w:r>
    </w:p>
    <w:p>
      <w:pPr>
        <w:pStyle w:val="TOC8"/>
        <w:rPr>
          <w:rFonts w:asciiTheme="minorHAnsi" w:eastAsiaTheme="minorEastAsia" w:hAnsiTheme="minorHAnsi" w:cstheme="minorBidi"/>
          <w:szCs w:val="22"/>
        </w:rPr>
      </w:pPr>
      <w:r>
        <w:t>9.</w:t>
      </w:r>
      <w:r>
        <w:tab/>
        <w:t>Collectors of prohibited weapons, exceptions of from Act s. 6(1)(a)-(c)</w:t>
      </w:r>
      <w:r>
        <w:tab/>
      </w:r>
      <w:r>
        <w:fldChar w:fldCharType="begin"/>
      </w:r>
      <w:r>
        <w:instrText xml:space="preserve"> PAGEREF _Toc468113123 \h </w:instrText>
      </w:r>
      <w:r>
        <w:fldChar w:fldCharType="separate"/>
      </w:r>
      <w:r>
        <w:t>5</w:t>
      </w:r>
      <w:r>
        <w:fldChar w:fldCharType="end"/>
      </w:r>
    </w:p>
    <w:p>
      <w:pPr>
        <w:pStyle w:val="TOC8"/>
        <w:rPr>
          <w:rFonts w:asciiTheme="minorHAnsi" w:eastAsiaTheme="minorEastAsia" w:hAnsiTheme="minorHAnsi" w:cstheme="minorBidi"/>
          <w:szCs w:val="22"/>
        </w:rPr>
      </w:pPr>
      <w:r>
        <w:t>10.</w:t>
      </w:r>
      <w:r>
        <w:tab/>
        <w:t>Prison officers etc. excepted from Act s. 6-8</w:t>
      </w:r>
      <w:r>
        <w:tab/>
      </w:r>
      <w:r>
        <w:fldChar w:fldCharType="begin"/>
      </w:r>
      <w:r>
        <w:instrText xml:space="preserve"> PAGEREF _Toc468113124 \h </w:instrText>
      </w:r>
      <w:r>
        <w:fldChar w:fldCharType="separate"/>
      </w:r>
      <w:r>
        <w:t>6</w:t>
      </w:r>
      <w:r>
        <w:fldChar w:fldCharType="end"/>
      </w:r>
    </w:p>
    <w:p>
      <w:pPr>
        <w:pStyle w:val="TOC8"/>
        <w:rPr>
          <w:rFonts w:asciiTheme="minorHAnsi" w:eastAsiaTheme="minorEastAsia" w:hAnsiTheme="minorHAnsi" w:cstheme="minorBidi"/>
          <w:szCs w:val="22"/>
        </w:rPr>
      </w:pPr>
      <w:r>
        <w:t>11.</w:t>
      </w:r>
      <w:r>
        <w:tab/>
        <w:t>Blow pipes, certain people excepted from Act s. 6 as to</w:t>
      </w:r>
      <w:r>
        <w:tab/>
      </w:r>
      <w:r>
        <w:fldChar w:fldCharType="begin"/>
      </w:r>
      <w:r>
        <w:instrText xml:space="preserve"> PAGEREF _Toc468113125 \h </w:instrText>
      </w:r>
      <w:r>
        <w:fldChar w:fldCharType="separate"/>
      </w:r>
      <w:r>
        <w:t>7</w:t>
      </w:r>
      <w:r>
        <w:fldChar w:fldCharType="end"/>
      </w:r>
    </w:p>
    <w:p>
      <w:pPr>
        <w:pStyle w:val="TOC8"/>
        <w:rPr>
          <w:rFonts w:asciiTheme="minorHAnsi" w:eastAsiaTheme="minorEastAsia" w:hAnsiTheme="minorHAnsi" w:cstheme="minorBidi"/>
          <w:szCs w:val="22"/>
        </w:rPr>
      </w:pPr>
      <w:r>
        <w:t>12.</w:t>
      </w:r>
      <w:r>
        <w:tab/>
        <w:t>Federal and interstate police officers excepted from Act s. 6-8</w:t>
      </w:r>
      <w:r>
        <w:tab/>
      </w:r>
      <w:r>
        <w:fldChar w:fldCharType="begin"/>
      </w:r>
      <w:r>
        <w:instrText xml:space="preserve"> PAGEREF _Toc468113126 \h </w:instrText>
      </w:r>
      <w:r>
        <w:fldChar w:fldCharType="separate"/>
      </w:r>
      <w:r>
        <w:t>8</w:t>
      </w:r>
      <w:r>
        <w:fldChar w:fldCharType="end"/>
      </w:r>
    </w:p>
    <w:p>
      <w:pPr>
        <w:pStyle w:val="TOC8"/>
        <w:rPr>
          <w:rFonts w:asciiTheme="minorHAnsi" w:eastAsiaTheme="minorEastAsia" w:hAnsiTheme="minorHAnsi" w:cstheme="minorBidi"/>
          <w:szCs w:val="22"/>
        </w:rPr>
      </w:pPr>
      <w:r>
        <w:t>13.</w:t>
      </w:r>
      <w:r>
        <w:tab/>
        <w:t>Dramatic productions, exceptions from Act s. 6 for people connected with</w:t>
      </w:r>
      <w:r>
        <w:tab/>
      </w:r>
      <w:r>
        <w:fldChar w:fldCharType="begin"/>
      </w:r>
      <w:r>
        <w:instrText xml:space="preserve"> PAGEREF _Toc468113127 \h </w:instrText>
      </w:r>
      <w:r>
        <w:fldChar w:fldCharType="separate"/>
      </w:r>
      <w:r>
        <w:t>8</w:t>
      </w:r>
      <w:r>
        <w:fldChar w:fldCharType="end"/>
      </w:r>
    </w:p>
    <w:p>
      <w:pPr>
        <w:pStyle w:val="TOC8"/>
        <w:rPr>
          <w:rFonts w:asciiTheme="minorHAnsi" w:eastAsiaTheme="minorEastAsia" w:hAnsiTheme="minorHAnsi" w:cstheme="minorBidi"/>
          <w:szCs w:val="22"/>
        </w:rPr>
      </w:pPr>
      <w:r>
        <w:t>14.</w:t>
      </w:r>
      <w:r>
        <w:tab/>
        <w:t>Crossbows for competitions etc., excepting people from Act s. 6 in relation to</w:t>
      </w:r>
      <w:r>
        <w:tab/>
      </w:r>
      <w:r>
        <w:fldChar w:fldCharType="begin"/>
      </w:r>
      <w:r>
        <w:instrText xml:space="preserve"> PAGEREF _Toc468113128 \h </w:instrText>
      </w:r>
      <w:r>
        <w:fldChar w:fldCharType="separate"/>
      </w:r>
      <w:r>
        <w:t>10</w:t>
      </w:r>
      <w:r>
        <w:fldChar w:fldCharType="end"/>
      </w:r>
    </w:p>
    <w:p>
      <w:pPr>
        <w:pStyle w:val="TOC8"/>
        <w:rPr>
          <w:rFonts w:asciiTheme="minorHAnsi" w:eastAsiaTheme="minorEastAsia" w:hAnsiTheme="minorHAnsi" w:cstheme="minorBidi"/>
          <w:szCs w:val="22"/>
        </w:rPr>
      </w:pPr>
      <w:r>
        <w:t>15.</w:t>
      </w:r>
      <w:r>
        <w:tab/>
        <w:t>Crossbows for occupational purposes, excepting people from Act s. 6(1)(a)-(c) in relation to</w:t>
      </w:r>
      <w:r>
        <w:tab/>
      </w:r>
      <w:r>
        <w:fldChar w:fldCharType="begin"/>
      </w:r>
      <w:r>
        <w:instrText xml:space="preserve"> PAGEREF _Toc468113129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Prohibited weapons</w:t>
      </w:r>
    </w:p>
    <w:p>
      <w:pPr>
        <w:pStyle w:val="TOC2"/>
        <w:tabs>
          <w:tab w:val="right" w:leader="dot" w:pos="7077"/>
        </w:tabs>
        <w:rPr>
          <w:rFonts w:asciiTheme="minorHAnsi" w:eastAsiaTheme="minorEastAsia" w:hAnsiTheme="minorHAnsi" w:cstheme="minorBidi"/>
          <w:b w:val="0"/>
          <w:sz w:val="22"/>
          <w:szCs w:val="22"/>
        </w:rPr>
      </w:pPr>
      <w:r>
        <w:t>Schedule 2 — Controlled weapons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_Toc468113133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720"/>
      </w:pPr>
      <w:r>
        <w:t>Weapons Act 1999</w:t>
      </w:r>
    </w:p>
    <w:p>
      <w:pPr>
        <w:pStyle w:val="NameofActReg"/>
        <w:spacing w:after="720"/>
      </w:pPr>
      <w:r>
        <w:t>Weapons Regulations 1999</w:t>
      </w:r>
    </w:p>
    <w:p>
      <w:pPr>
        <w:pStyle w:val="Heading5"/>
        <w:spacing w:before="240"/>
      </w:pPr>
      <w:bookmarkStart w:id="3" w:name="_Toc379277864"/>
      <w:bookmarkStart w:id="4" w:name="_Toc425248161"/>
      <w:bookmarkStart w:id="5" w:name="_Toc468113115"/>
      <w:r>
        <w:rPr>
          <w:rStyle w:val="CharSectno"/>
        </w:rPr>
        <w:t>1</w:t>
      </w:r>
      <w:r>
        <w:t>.</w:t>
      </w:r>
      <w:r>
        <w:tab/>
        <w:t>Citation</w:t>
      </w:r>
      <w:bookmarkEnd w:id="3"/>
      <w:bookmarkEnd w:id="4"/>
      <w:bookmarkEnd w:id="5"/>
    </w:p>
    <w:p>
      <w:pPr>
        <w:pStyle w:val="Subsection"/>
        <w:spacing w:before="180"/>
        <w:rPr>
          <w:i/>
        </w:rPr>
      </w:pPr>
      <w:r>
        <w:tab/>
      </w:r>
      <w:r>
        <w:tab/>
        <w:t xml:space="preserve">These regulations may be cited as the </w:t>
      </w:r>
      <w:r>
        <w:rPr>
          <w:i/>
        </w:rPr>
        <w:t>Weapons Regulations 1999</w:t>
      </w:r>
      <w:r>
        <w:t> </w:t>
      </w:r>
      <w:r>
        <w:rPr>
          <w:vertAlign w:val="superscript"/>
        </w:rPr>
        <w:t>1</w:t>
      </w:r>
      <w:r>
        <w:rPr>
          <w:i/>
        </w:rPr>
        <w:t>.</w:t>
      </w:r>
    </w:p>
    <w:p>
      <w:pPr>
        <w:pStyle w:val="Heading5"/>
        <w:spacing w:before="240"/>
      </w:pPr>
      <w:bookmarkStart w:id="6" w:name="_Toc379277865"/>
      <w:bookmarkStart w:id="7" w:name="_Toc425248162"/>
      <w:bookmarkStart w:id="8" w:name="_Toc468113116"/>
      <w:r>
        <w:rPr>
          <w:rStyle w:val="CharSectno"/>
        </w:rPr>
        <w:t>2</w:t>
      </w:r>
      <w:r>
        <w:t>.</w:t>
      </w:r>
      <w:r>
        <w:tab/>
        <w:t>Commencement</w:t>
      </w:r>
      <w:bookmarkEnd w:id="6"/>
      <w:bookmarkEnd w:id="7"/>
      <w:bookmarkEnd w:id="8"/>
    </w:p>
    <w:p>
      <w:pPr>
        <w:pStyle w:val="Subsection"/>
        <w:spacing w:before="180"/>
      </w:pPr>
      <w:r>
        <w:tab/>
      </w:r>
      <w:r>
        <w:tab/>
        <w:t>These regulations come into operation on the day fixed by proclamation under section 2(1) of the Act </w:t>
      </w:r>
      <w:r>
        <w:rPr>
          <w:vertAlign w:val="superscript"/>
        </w:rPr>
        <w:t>1</w:t>
      </w:r>
      <w:r>
        <w:t>.</w:t>
      </w:r>
    </w:p>
    <w:p>
      <w:pPr>
        <w:pStyle w:val="Heading5"/>
        <w:spacing w:before="240"/>
      </w:pPr>
      <w:bookmarkStart w:id="9" w:name="_Toc379277866"/>
      <w:bookmarkStart w:id="10" w:name="_Toc425248163"/>
      <w:bookmarkStart w:id="11" w:name="_Toc468113117"/>
      <w:r>
        <w:rPr>
          <w:rStyle w:val="CharSectno"/>
        </w:rPr>
        <w:t>3</w:t>
      </w:r>
      <w:r>
        <w:t>.</w:t>
      </w:r>
      <w:r>
        <w:tab/>
        <w:t>Terms used</w:t>
      </w:r>
      <w:bookmarkEnd w:id="9"/>
      <w:bookmarkEnd w:id="10"/>
      <w:bookmarkEnd w:id="11"/>
    </w:p>
    <w:p>
      <w:pPr>
        <w:pStyle w:val="Subsection"/>
        <w:spacing w:before="180"/>
      </w:pPr>
      <w:r>
        <w:tab/>
      </w:r>
      <w:r>
        <w:tab/>
        <w:t>In these regulations, unless the contrary intention appears —</w:t>
      </w:r>
    </w:p>
    <w:p>
      <w:pPr>
        <w:pStyle w:val="Defstart"/>
      </w:pPr>
      <w:r>
        <w:tab/>
      </w:r>
      <w:r>
        <w:rPr>
          <w:rStyle w:val="CharDefText"/>
        </w:rPr>
        <w:t>approved electric shock case</w:t>
      </w:r>
      <w:r>
        <w:t xml:space="preserve"> means a briefcase or suitcase referred to in regulation 6(1);</w:t>
      </w:r>
    </w:p>
    <w:p>
      <w:pPr>
        <w:pStyle w:val="Defstart"/>
      </w:pPr>
      <w:r>
        <w:tab/>
      </w:r>
      <w:r>
        <w:rPr>
          <w:rStyle w:val="CharDefText"/>
        </w:rPr>
        <w:t>baton</w:t>
      </w:r>
      <w:r>
        <w:t xml:space="preserve"> means a short stick or rod —</w:t>
      </w:r>
    </w:p>
    <w:p>
      <w:pPr>
        <w:pStyle w:val="Defpara"/>
      </w:pPr>
      <w:r>
        <w:tab/>
        <w:t>(a)</w:t>
      </w:r>
      <w:r>
        <w:tab/>
        <w:t>made of any material; and</w:t>
      </w:r>
    </w:p>
    <w:p>
      <w:pPr>
        <w:pStyle w:val="Defpara"/>
        <w:keepNext/>
        <w:keepLines/>
      </w:pPr>
      <w:r>
        <w:tab/>
        <w:t>(b)</w:t>
      </w:r>
      <w:r>
        <w:tab/>
        <w:t>made or modified to be used to injure or disable a person or as a martial arts weapon,</w:t>
      </w:r>
    </w:p>
    <w:p>
      <w:pPr>
        <w:pStyle w:val="Defstart"/>
        <w:keepLines/>
      </w:pPr>
      <w:r>
        <w:tab/>
        <w:t>and includes a bludgeon, club, cudgel, truncheon or the article commonly known as the police nightstick;</w:t>
      </w:r>
    </w:p>
    <w:p>
      <w:pPr>
        <w:pStyle w:val="Defstart"/>
      </w:pPr>
      <w:r>
        <w:tab/>
      </w:r>
      <w:r>
        <w:rPr>
          <w:rStyle w:val="CharDefText"/>
        </w:rPr>
        <w:t>catapult</w:t>
      </w:r>
      <w:r>
        <w:t xml:space="preserve"> includes a ging, shanghai or slingshot;</w:t>
      </w:r>
    </w:p>
    <w:p>
      <w:pPr>
        <w:pStyle w:val="Defstart"/>
      </w:pPr>
      <w:r>
        <w:tab/>
      </w:r>
      <w:r>
        <w:rPr>
          <w:rStyle w:val="CharDefText"/>
        </w:rPr>
        <w:t>discharge</w:t>
      </w:r>
      <w:r>
        <w:t xml:space="preserve"> includes to propel;</w:t>
      </w:r>
    </w:p>
    <w:p>
      <w:pPr>
        <w:pStyle w:val="Defstart"/>
      </w:pPr>
      <w:r>
        <w:tab/>
      </w:r>
      <w:r>
        <w:rPr>
          <w:rStyle w:val="CharDefText"/>
        </w:rPr>
        <w:t>injure or disable</w:t>
      </w:r>
      <w:r>
        <w:t xml:space="preserve"> does not include administer, in good faith and with reasonable care and skill, surgical or medical treatment;</w:t>
      </w:r>
    </w:p>
    <w:p>
      <w:pPr>
        <w:pStyle w:val="Defstart"/>
      </w:pPr>
      <w:r>
        <w:tab/>
      </w:r>
      <w:r>
        <w:rPr>
          <w:rStyle w:val="CharDefText"/>
        </w:rPr>
        <w:t>martial arts weapon</w:t>
      </w:r>
      <w:r>
        <w:t xml:space="preserve"> means an article made or modified to be used for attack or defence in the practice of a martial sport, art or similar discipline;</w:t>
      </w:r>
    </w:p>
    <w:p>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pPr>
        <w:pStyle w:val="Heading5"/>
      </w:pPr>
      <w:bookmarkStart w:id="12" w:name="_Toc379277867"/>
      <w:bookmarkStart w:id="13" w:name="_Toc425248164"/>
      <w:bookmarkStart w:id="14" w:name="_Toc468113118"/>
      <w:r>
        <w:rPr>
          <w:rStyle w:val="CharSectno"/>
        </w:rPr>
        <w:t>4</w:t>
      </w:r>
      <w:r>
        <w:t>.</w:t>
      </w:r>
      <w:r>
        <w:tab/>
        <w:t>Prohibited weapons prescribed (Act s. 3) (Sch. 1)</w:t>
      </w:r>
      <w:bookmarkEnd w:id="12"/>
      <w:bookmarkEnd w:id="13"/>
      <w:bookmarkEnd w:id="14"/>
    </w:p>
    <w:p>
      <w:pPr>
        <w:pStyle w:val="Subsection"/>
      </w:pPr>
      <w:r>
        <w:tab/>
      </w:r>
      <w:r>
        <w:tab/>
        <w:t>An article described in the third column of Schedule 1 is prescribed to be a prohibited weapon.</w:t>
      </w:r>
    </w:p>
    <w:p>
      <w:pPr>
        <w:pStyle w:val="Heading5"/>
      </w:pPr>
      <w:bookmarkStart w:id="15" w:name="_Toc379277868"/>
      <w:bookmarkStart w:id="16" w:name="_Toc425248165"/>
      <w:bookmarkStart w:id="17" w:name="_Toc468113119"/>
      <w:r>
        <w:rPr>
          <w:rStyle w:val="CharSectno"/>
        </w:rPr>
        <w:t>5</w:t>
      </w:r>
      <w:r>
        <w:t>.</w:t>
      </w:r>
      <w:r>
        <w:tab/>
        <w:t>Controlled weapons prescribed (Act s. 3) (Sch. 2)</w:t>
      </w:r>
      <w:bookmarkEnd w:id="15"/>
      <w:bookmarkEnd w:id="16"/>
      <w:bookmarkEnd w:id="17"/>
    </w:p>
    <w:p>
      <w:pPr>
        <w:pStyle w:val="Subsection"/>
      </w:pPr>
      <w:r>
        <w:tab/>
      </w:r>
      <w:r>
        <w:tab/>
        <w:t>An article described in the third column of Schedule 2 is prescribed to be a controlled weapon.</w:t>
      </w:r>
    </w:p>
    <w:p>
      <w:pPr>
        <w:pStyle w:val="Heading5"/>
      </w:pPr>
      <w:bookmarkStart w:id="18" w:name="_Toc379277869"/>
      <w:bookmarkStart w:id="19" w:name="_Toc425248166"/>
      <w:bookmarkStart w:id="20" w:name="_Toc468113120"/>
      <w:r>
        <w:rPr>
          <w:rStyle w:val="CharSectno"/>
        </w:rPr>
        <w:t>6</w:t>
      </w:r>
      <w:r>
        <w:t>.</w:t>
      </w:r>
      <w:r>
        <w:tab/>
        <w:t>Briefcase etc. giving electric shock prescribed (Act s. 7(3) and (4))</w:t>
      </w:r>
      <w:bookmarkEnd w:id="18"/>
      <w:bookmarkEnd w:id="19"/>
      <w:bookmarkEnd w:id="20"/>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keepNext/>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21" w:name="_Toc379277870"/>
      <w:bookmarkStart w:id="22" w:name="_Toc425248167"/>
      <w:bookmarkStart w:id="23" w:name="_Toc468113121"/>
      <w:r>
        <w:rPr>
          <w:rStyle w:val="CharSectno"/>
        </w:rPr>
        <w:t>7</w:t>
      </w:r>
      <w:r>
        <w:t>.</w:t>
      </w:r>
      <w:r>
        <w:tab/>
        <w:t>Oleoresin capsicum spray weapon prescribed (Act s. 7(3) and (4))</w:t>
      </w:r>
      <w:bookmarkEnd w:id="21"/>
      <w:bookmarkEnd w:id="22"/>
      <w:bookmarkEnd w:id="23"/>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24" w:name="_Toc379277871"/>
      <w:bookmarkStart w:id="25" w:name="_Toc425248168"/>
      <w:bookmarkStart w:id="26" w:name="_Toc468113122"/>
      <w:r>
        <w:rPr>
          <w:rStyle w:val="CharSectno"/>
        </w:rPr>
        <w:t>8</w:t>
      </w:r>
      <w:r>
        <w:t>.</w:t>
      </w:r>
      <w:r>
        <w:tab/>
        <w:t>Circumstances prescribed (Act s. 10(3))</w:t>
      </w:r>
      <w:bookmarkEnd w:id="24"/>
      <w:bookmarkEnd w:id="25"/>
      <w:bookmarkEnd w:id="26"/>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 and</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for a person undergoing a training course in baton use under that Act for the purposes of having or keeping a security officer’s licence with an endorsement under section 26 of that Act;</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spacing w:before="60"/>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(2)</w:t>
      </w:r>
      <w:r>
        <w:tab/>
        <w:t>In this regulation —</w:t>
      </w:r>
    </w:p>
    <w:p>
      <w:pPr>
        <w:pStyle w:val="Defstart"/>
      </w:pPr>
      <w:r>
        <w:tab/>
      </w:r>
      <w:r>
        <w:rPr>
          <w:rStyle w:val="CharDefText"/>
        </w:rPr>
        <w:t>extendable baton</w:t>
      </w:r>
      <w:r>
        <w:t xml:space="preserve"> means a baton referred to in Schedule 1 item 10.</w:t>
      </w:r>
    </w:p>
    <w:p>
      <w:pPr>
        <w:pStyle w:val="Footnotesection"/>
      </w:pPr>
      <w:r>
        <w:tab/>
        <w:t>[Regulation 8 inserted in Gazette 29 Feb 2000 p. 997</w:t>
      </w:r>
      <w:r>
        <w:noBreakHyphen/>
        <w:t>8; amended in Gazette 9 Jun 2000 p. 2774; 12 Sep 2006 p. 3665</w:t>
      </w:r>
      <w:r>
        <w:noBreakHyphen/>
        <w:t>6.]</w:t>
      </w:r>
    </w:p>
    <w:p>
      <w:pPr>
        <w:pStyle w:val="Heading5"/>
      </w:pPr>
      <w:bookmarkStart w:id="27" w:name="_Toc379277872"/>
      <w:bookmarkStart w:id="28" w:name="_Toc425248169"/>
      <w:bookmarkStart w:id="29" w:name="_Toc468113123"/>
      <w:r>
        <w:rPr>
          <w:rStyle w:val="CharSectno"/>
        </w:rPr>
        <w:t>9</w:t>
      </w:r>
      <w:r>
        <w:t>.</w:t>
      </w:r>
      <w:r>
        <w:tab/>
        <w:t>Collectors of prohibited weapons, exceptions of from Act s. 6(1)(a)-(c)</w:t>
      </w:r>
      <w:bookmarkEnd w:id="27"/>
      <w:bookmarkEnd w:id="28"/>
      <w:bookmarkEnd w:id="29"/>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the relevant date a genuine collector of specified prohibited weapons; and</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pPr>
      <w:r>
        <w:tab/>
      </w:r>
      <w:r>
        <w:tab/>
        <w:t>the Minister may give to the person written notice that the person is an exempt collector.</w:t>
      </w:r>
    </w:p>
    <w:p>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pPr>
      <w:r>
        <w:tab/>
        <w:t>(6)</w:t>
      </w:r>
      <w:r>
        <w:tab/>
        <w:t>In this regulation —</w:t>
      </w:r>
    </w:p>
    <w:p>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pPr>
        <w:pStyle w:val="Defstart"/>
      </w:pPr>
      <w:r>
        <w:tab/>
      </w:r>
      <w:r>
        <w:rPr>
          <w:rStyle w:val="CharDefText"/>
        </w:rPr>
        <w:t>relevant date</w:t>
      </w:r>
      <w:r>
        <w:t> —</w:t>
      </w:r>
    </w:p>
    <w:p>
      <w:pPr>
        <w:pStyle w:val="Defpara"/>
      </w:pPr>
      <w:r>
        <w:tab/>
        <w:t>(a)</w:t>
      </w:r>
      <w:r>
        <w:tab/>
        <w:t>in relation to an article described in the third column of Schedule 1 item 3, 7, 10, 11, 12 or 13 — means 29 February 2000;</w:t>
      </w:r>
    </w:p>
    <w:p>
      <w:pPr>
        <w:pStyle w:val="Defpara"/>
      </w:pPr>
      <w:r>
        <w:tab/>
        <w:t>(b)</w:t>
      </w:r>
      <w:r>
        <w:tab/>
        <w:t>in relation to the article described in the third column of Schedule 1 item 7A — means 1 July 2011;</w:t>
      </w:r>
    </w:p>
    <w:p>
      <w:pPr>
        <w:pStyle w:val="Defstart"/>
      </w:pPr>
      <w:r>
        <w:tab/>
      </w:r>
      <w:r>
        <w:rPr>
          <w:rStyle w:val="CharDefText"/>
        </w:rPr>
        <w:t>specified prohibited weapon</w:t>
      </w:r>
      <w:r>
        <w:t xml:space="preserve"> means an article described in the third column of Schedule 1 item 3, 7, 7A, 10, 11, 12 or 13.</w:t>
      </w:r>
    </w:p>
    <w:p>
      <w:pPr>
        <w:pStyle w:val="Footnotesection"/>
      </w:pPr>
      <w:r>
        <w:tab/>
        <w:t>[Regulation 9 inserted in Gazette 10 Mar 2000 p. 1122</w:t>
      </w:r>
      <w:r>
        <w:noBreakHyphen/>
        <w:t>3; amended in Gazette 8 Apr 2011 p. 1282</w:t>
      </w:r>
      <w:r>
        <w:noBreakHyphen/>
        <w:t>3.]</w:t>
      </w:r>
    </w:p>
    <w:p>
      <w:pPr>
        <w:pStyle w:val="Heading5"/>
        <w:spacing w:before="180"/>
      </w:pPr>
      <w:bookmarkStart w:id="30" w:name="_Toc379277873"/>
      <w:bookmarkStart w:id="31" w:name="_Toc425248170"/>
      <w:bookmarkStart w:id="32" w:name="_Toc468113124"/>
      <w:r>
        <w:rPr>
          <w:rStyle w:val="CharSectno"/>
        </w:rPr>
        <w:t>10</w:t>
      </w:r>
      <w:r>
        <w:t>.</w:t>
      </w:r>
      <w:r>
        <w:tab/>
        <w:t>Prison officers etc. excepted from Act s. 6-8</w:t>
      </w:r>
      <w:bookmarkEnd w:id="30"/>
      <w:bookmarkEnd w:id="31"/>
      <w:bookmarkEnd w:id="32"/>
    </w:p>
    <w:p>
      <w:pPr>
        <w:pStyle w:val="Subsection"/>
        <w:spacing w:before="120"/>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in Gazette 28 Jul 2000 p. 4027.]</w:t>
      </w:r>
    </w:p>
    <w:p>
      <w:pPr>
        <w:pStyle w:val="Heading5"/>
      </w:pPr>
      <w:bookmarkStart w:id="33" w:name="_Toc379277874"/>
      <w:bookmarkStart w:id="34" w:name="_Toc425248171"/>
      <w:bookmarkStart w:id="35" w:name="_Toc468113125"/>
      <w:r>
        <w:rPr>
          <w:rStyle w:val="CharSectno"/>
        </w:rPr>
        <w:t>11</w:t>
      </w:r>
      <w:r>
        <w:t>.</w:t>
      </w:r>
      <w:r>
        <w:tab/>
        <w:t>Blow pipes, certain people excepted from Act s. 6 as to</w:t>
      </w:r>
      <w:bookmarkEnd w:id="33"/>
      <w:bookmarkEnd w:id="34"/>
      <w:bookmarkEnd w:id="35"/>
    </w:p>
    <w:p>
      <w:pPr>
        <w:pStyle w:val="Subsection"/>
      </w:pPr>
      <w:r>
        <w:tab/>
        <w:t>(1)</w:t>
      </w:r>
      <w:r>
        <w:tab/>
        <w:t xml:space="preserve">In this regulation — </w:t>
      </w:r>
    </w:p>
    <w:p>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pPr>
        <w:pStyle w:val="Defstart"/>
      </w:pPr>
      <w:r>
        <w:rPr>
          <w:b/>
        </w:rPr>
        <w:tab/>
      </w:r>
      <w:r>
        <w:rPr>
          <w:rStyle w:val="CharDefText"/>
        </w:rPr>
        <w:t>participant</w:t>
      </w:r>
      <w:r>
        <w:t xml:space="preserve"> includes a person assisting a participant;</w:t>
      </w:r>
    </w:p>
    <w:p>
      <w:pPr>
        <w:pStyle w:val="Defstart"/>
      </w:pPr>
      <w:r>
        <w:rPr>
          <w:b/>
        </w:rPr>
        <w:tab/>
      </w:r>
      <w:r>
        <w:rPr>
          <w:rStyle w:val="CharDefText"/>
        </w:rPr>
        <w:t>possess</w:t>
      </w:r>
      <w:r>
        <w:t xml:space="preserve"> in relation to a blow pipe includes having access to a blow pipe while it is being stored;</w:t>
      </w:r>
    </w:p>
    <w:p>
      <w:pPr>
        <w:pStyle w:val="Defstart"/>
      </w:pPr>
      <w:r>
        <w:rPr>
          <w:b/>
        </w:rPr>
        <w:tab/>
      </w:r>
      <w:r>
        <w:rPr>
          <w:rStyle w:val="CharDefText"/>
        </w:rPr>
        <w:t>WA Disabled Sports Association (Inc.) member</w:t>
      </w:r>
      <w:r>
        <w:t xml:space="preserve"> includes a member of one of the WA Disabled Sports Association (Inc.) member clubs.</w:t>
      </w:r>
    </w:p>
    <w:p>
      <w:pPr>
        <w:pStyle w:val="Subsection"/>
      </w:pPr>
      <w:r>
        <w:tab/>
        <w:t>(2)</w:t>
      </w:r>
      <w:r>
        <w:tab/>
        <w:t xml:space="preserve">A person does not commit an offence under section 6 of the Act if that person — </w:t>
      </w:r>
    </w:p>
    <w:p>
      <w:pPr>
        <w:pStyle w:val="Indenta"/>
      </w:pPr>
      <w:r>
        <w:tab/>
        <w:t>(a)</w:t>
      </w:r>
      <w:r>
        <w:tab/>
        <w:t>carries or possesses a blow pipe; or</w:t>
      </w:r>
    </w:p>
    <w:p>
      <w:pPr>
        <w:pStyle w:val="Indenta"/>
      </w:pPr>
      <w:r>
        <w:tab/>
        <w:t>(b)</w:t>
      </w:r>
      <w:r>
        <w:tab/>
        <w:t>attempts to carry or possess a blow pipe,</w:t>
      </w:r>
    </w:p>
    <w:p>
      <w:pPr>
        <w:pStyle w:val="Subsection"/>
      </w:pPr>
      <w:r>
        <w:tab/>
      </w:r>
      <w:r>
        <w:tab/>
        <w:t>if the person does so as a participant in an exempt event.</w:t>
      </w:r>
    </w:p>
    <w:p>
      <w:pPr>
        <w:pStyle w:val="Subsection"/>
        <w:keepNext/>
      </w:pPr>
      <w:r>
        <w:tab/>
        <w:t>(3)</w:t>
      </w:r>
      <w:r>
        <w:tab/>
        <w:t xml:space="preserve">A WA Disabled Sports Association (Inc.) member does not commit an offence under section 6 of the Act if that person — </w:t>
      </w:r>
    </w:p>
    <w:p>
      <w:pPr>
        <w:pStyle w:val="Indenta"/>
      </w:pPr>
      <w:r>
        <w:tab/>
        <w:t>(a)</w:t>
      </w:r>
      <w:r>
        <w:tab/>
        <w:t>brings or sends a blow pipe into the State; or</w:t>
      </w:r>
    </w:p>
    <w:p>
      <w:pPr>
        <w:pStyle w:val="Indenta"/>
      </w:pPr>
      <w:r>
        <w:tab/>
        <w:t>(b)</w:t>
      </w:r>
      <w:r>
        <w:tab/>
        <w:t>carries or possesses a blow pipe; or</w:t>
      </w:r>
    </w:p>
    <w:p>
      <w:pPr>
        <w:pStyle w:val="Indenta"/>
      </w:pPr>
      <w:r>
        <w:tab/>
        <w:t>(c)</w:t>
      </w:r>
      <w:r>
        <w:tab/>
        <w:t>purchases, sells or supplies a blow pipe; or</w:t>
      </w:r>
    </w:p>
    <w:p>
      <w:pPr>
        <w:pStyle w:val="Indenta"/>
        <w:keepNext/>
      </w:pPr>
      <w:r>
        <w:tab/>
        <w:t>(d)</w:t>
      </w:r>
      <w:r>
        <w:tab/>
        <w:t>manufactures a blow pipe,</w:t>
      </w:r>
    </w:p>
    <w:p>
      <w:pPr>
        <w:pStyle w:val="Subsection"/>
      </w:pPr>
      <w:r>
        <w:tab/>
      </w:r>
      <w:r>
        <w:tab/>
        <w:t>or attempts to do any of those things, if that member does one or more of those things as a part of the organisation, control or supervision of an exempt event.</w:t>
      </w:r>
    </w:p>
    <w:p>
      <w:pPr>
        <w:pStyle w:val="Footnotesection"/>
      </w:pPr>
      <w:r>
        <w:tab/>
        <w:t>[Regulation 11 inserted in Gazette 29 Feb 2008 p. 693.]</w:t>
      </w:r>
    </w:p>
    <w:p>
      <w:pPr>
        <w:pStyle w:val="Heading5"/>
      </w:pPr>
      <w:bookmarkStart w:id="36" w:name="_Toc379277875"/>
      <w:bookmarkStart w:id="37" w:name="_Toc425248172"/>
      <w:bookmarkStart w:id="38" w:name="_Toc468113126"/>
      <w:r>
        <w:rPr>
          <w:rStyle w:val="CharSectno"/>
        </w:rPr>
        <w:t>12</w:t>
      </w:r>
      <w:r>
        <w:t>.</w:t>
      </w:r>
      <w:r>
        <w:tab/>
        <w:t>Federal and interstate police officers excepted from</w:t>
      </w:r>
      <w:r>
        <w:br/>
        <w:t>Act s. 6-8</w:t>
      </w:r>
      <w:bookmarkEnd w:id="36"/>
      <w:bookmarkEnd w:id="37"/>
      <w:bookmarkEnd w:id="38"/>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a member of the Australian Federal Police; or</w:t>
      </w:r>
    </w:p>
    <w:p>
      <w:pPr>
        <w:pStyle w:val="Indenta"/>
      </w:pPr>
      <w:r>
        <w:tab/>
        <w:t>(b)</w:t>
      </w:r>
      <w:r>
        <w:tab/>
        <w:t>a member of the police force of another State or a Territory; or</w:t>
      </w:r>
    </w:p>
    <w:p>
      <w:pPr>
        <w:pStyle w:val="Indenta"/>
      </w:pPr>
      <w:r>
        <w:tab/>
        <w:t>(c)</w:t>
      </w:r>
      <w:r>
        <w:tab/>
        <w:t xml:space="preserve">a police officer of this State, </w:t>
      </w:r>
      <w:smartTag w:uri="urn:schemas-microsoft-com:office:smarttags" w:element="State">
        <w:r>
          <w:t>South Australia</w:t>
        </w:r>
      </w:smartTag>
      <w:r>
        <w:t xml:space="preserve"> or the </w:t>
      </w:r>
      <w:smartTag w:uri="urn:schemas-microsoft-com:office:smarttags" w:element="place">
        <w:smartTag w:uri="urn:schemas-microsoft-com:office:smarttags" w:element="State">
          <w:r>
            <w:t>Northern Territory</w:t>
          </w:r>
        </w:smartTag>
      </w:smartTag>
      <w:r>
        <w:t xml:space="preserve"> under the </w:t>
      </w:r>
      <w:r>
        <w:rPr>
          <w:i/>
        </w:rPr>
        <w:t>Cross</w:t>
      </w:r>
      <w:r>
        <w:rPr>
          <w:i/>
        </w:rPr>
        <w:noBreakHyphen/>
        <w:t>border Justice Act 2008</w:t>
      </w:r>
      <w:r>
        <w:t xml:space="preserve"> section 7(1).</w:t>
      </w:r>
    </w:p>
    <w:p>
      <w:pPr>
        <w:pStyle w:val="Footnotesection"/>
      </w:pPr>
      <w:r>
        <w:tab/>
        <w:t>[Regulation 12 inserted in Gazette 12 Mar 2010 p. 953.]</w:t>
      </w:r>
    </w:p>
    <w:p>
      <w:pPr>
        <w:pStyle w:val="Heading5"/>
      </w:pPr>
      <w:bookmarkStart w:id="39" w:name="_Toc379277876"/>
      <w:bookmarkStart w:id="40" w:name="_Toc425248173"/>
      <w:bookmarkStart w:id="41" w:name="_Toc468113127"/>
      <w:r>
        <w:rPr>
          <w:rStyle w:val="CharSectno"/>
        </w:rPr>
        <w:t>13</w:t>
      </w:r>
      <w:r>
        <w:t>.</w:t>
      </w:r>
      <w:r>
        <w:tab/>
        <w:t>Dramatic productions, exceptions from Act s. 6 for people connected with</w:t>
      </w:r>
      <w:bookmarkEnd w:id="39"/>
      <w:bookmarkEnd w:id="40"/>
      <w:bookmarkEnd w:id="41"/>
    </w:p>
    <w:p>
      <w:pPr>
        <w:pStyle w:val="Subsection"/>
      </w:pPr>
      <w:r>
        <w:tab/>
        <w:t>(1)</w:t>
      </w:r>
      <w:r>
        <w:tab/>
        <w:t xml:space="preserve">In this regulation — </w:t>
      </w:r>
    </w:p>
    <w:p>
      <w:pPr>
        <w:pStyle w:val="Defstart"/>
      </w:pPr>
      <w:r>
        <w:tab/>
      </w:r>
      <w:r>
        <w:rPr>
          <w:rStyle w:val="CharDefText"/>
        </w:rPr>
        <w:t>dramatic production</w:t>
      </w:r>
      <w:r>
        <w:t xml:space="preserve"> means a theatrical, television, film or other dramatic production;</w:t>
      </w:r>
    </w:p>
    <w:p>
      <w:pPr>
        <w:pStyle w:val="Defstart"/>
      </w:pPr>
      <w:r>
        <w:tab/>
      </w:r>
      <w:r>
        <w:rPr>
          <w:rStyle w:val="CharDefText"/>
        </w:rPr>
        <w:t>exemption notice</w:t>
      </w:r>
      <w:r>
        <w:t xml:space="preserve"> means a notice under subregulation (3);</w:t>
      </w:r>
    </w:p>
    <w:p>
      <w:pPr>
        <w:pStyle w:val="Defstart"/>
        <w:keepLines/>
      </w:pPr>
      <w:r>
        <w:tab/>
      </w:r>
      <w:r>
        <w:rPr>
          <w:rStyle w:val="CharDefText"/>
        </w:rPr>
        <w:t>exempt production</w:t>
      </w:r>
      <w:r>
        <w:t xml:space="preserve"> means a dramatic production in relation to which an exemption notice has been given and that has not ceased to be an exempt production because of a notice under subregulation (7);</w:t>
      </w:r>
    </w:p>
    <w:p>
      <w:pPr>
        <w:pStyle w:val="Defstart"/>
      </w:pPr>
      <w:r>
        <w:tab/>
      </w:r>
      <w:r>
        <w:rPr>
          <w:rStyle w:val="CharDefText"/>
        </w:rPr>
        <w:t>specified weapon</w:t>
      </w:r>
      <w:r>
        <w:t xml:space="preserve"> means a prohibited weapon specified in an exemption notice.</w:t>
      </w:r>
    </w:p>
    <w:p>
      <w:pPr>
        <w:pStyle w:val="Subsection"/>
      </w:pPr>
      <w:r>
        <w:tab/>
        <w:t>(2)</w:t>
      </w:r>
      <w:r>
        <w:tab/>
        <w:t>The producer of a dramatic production may apply in writing to the Commissioner of Police for an exemption notice.</w:t>
      </w:r>
    </w:p>
    <w:p>
      <w:pPr>
        <w:pStyle w:val="Subsection"/>
      </w:pPr>
      <w:r>
        <w:tab/>
        <w:t>(3)</w:t>
      </w:r>
      <w:r>
        <w:tab/>
        <w:t>If the Commissioner of Police is satisfied that —</w:t>
      </w:r>
    </w:p>
    <w:p>
      <w:pPr>
        <w:pStyle w:val="Indenta"/>
      </w:pPr>
      <w:r>
        <w:tab/>
        <w:t>(a)</w:t>
      </w:r>
      <w:r>
        <w:tab/>
        <w:t>a particular prohibited weapon is required in or for the dramatic production and for no other purpose; and</w:t>
      </w:r>
    </w:p>
    <w:p>
      <w:pPr>
        <w:pStyle w:val="Indenta"/>
      </w:pPr>
      <w:r>
        <w:tab/>
        <w:t>(b)</w:t>
      </w:r>
      <w:r>
        <w:tab/>
        <w:t>the producer is fit and proper to be a producer of an exempt production; and</w:t>
      </w:r>
    </w:p>
    <w:p>
      <w:pPr>
        <w:pStyle w:val="Indenta"/>
      </w:pPr>
      <w:r>
        <w:tab/>
        <w:t>(c)</w:t>
      </w:r>
      <w:r>
        <w:tab/>
        <w:t>if the prohibited weapon is to be manufactured in or for the production — the weapon will be manufactured safely; and</w:t>
      </w:r>
    </w:p>
    <w:p>
      <w:pPr>
        <w:pStyle w:val="Indenta"/>
      </w:pPr>
      <w:r>
        <w:tab/>
        <w:t>(d)</w:t>
      </w:r>
      <w:r>
        <w:tab/>
        <w:t>the prohibited weapon will be used only —</w:t>
      </w:r>
    </w:p>
    <w:p>
      <w:pPr>
        <w:pStyle w:val="Indenti"/>
      </w:pPr>
      <w:r>
        <w:tab/>
        <w:t>(i)</w:t>
      </w:r>
      <w:r>
        <w:tab/>
        <w:t>in or for the production; and</w:t>
      </w:r>
    </w:p>
    <w:p>
      <w:pPr>
        <w:pStyle w:val="Indenti"/>
      </w:pPr>
      <w:r>
        <w:tab/>
        <w:t>(ii)</w:t>
      </w:r>
      <w:r>
        <w:tab/>
        <w:t>in a safe manner;</w:t>
      </w:r>
    </w:p>
    <w:p>
      <w:pPr>
        <w:pStyle w:val="Indenta"/>
      </w:pPr>
      <w:r>
        <w:tab/>
      </w:r>
      <w:r>
        <w:tab/>
        <w:t>and</w:t>
      </w:r>
    </w:p>
    <w:p>
      <w:pPr>
        <w:pStyle w:val="Indenta"/>
      </w:pPr>
      <w:r>
        <w:tab/>
        <w:t>(e)</w:t>
      </w:r>
      <w:r>
        <w:tab/>
        <w:t>adequate arrangements exist to keep the prohibited weapon secure when it is not being used,</w:t>
      </w:r>
    </w:p>
    <w:p>
      <w:pPr>
        <w:pStyle w:val="Subsection"/>
      </w:pPr>
      <w:r>
        <w:tab/>
      </w:r>
      <w:r>
        <w:tab/>
        <w:t>the Commissioner of Police may give to the producer written notice permitting the use of the prohibited weapon in and for the production.</w:t>
      </w:r>
    </w:p>
    <w:p>
      <w:pPr>
        <w:pStyle w:val="Subsection"/>
      </w:pPr>
      <w:r>
        <w:tab/>
        <w:t>(4)</w:t>
      </w:r>
      <w:r>
        <w:tab/>
        <w:t>A person does not commit an offence under section 6 of the Act if that person —</w:t>
      </w:r>
    </w:p>
    <w:p>
      <w:pPr>
        <w:pStyle w:val="Indenta"/>
      </w:pPr>
      <w:r>
        <w:tab/>
        <w:t>(a)</w:t>
      </w:r>
      <w:r>
        <w:tab/>
        <w:t>brings or sends a specified weapon into the State; or</w:t>
      </w:r>
    </w:p>
    <w:p>
      <w:pPr>
        <w:pStyle w:val="Indenta"/>
      </w:pPr>
      <w:r>
        <w:tab/>
        <w:t>(b)</w:t>
      </w:r>
      <w:r>
        <w:tab/>
        <w:t>carries or possesses a specified weapon; or</w:t>
      </w:r>
    </w:p>
    <w:p>
      <w:pPr>
        <w:pStyle w:val="Indenta"/>
      </w:pPr>
      <w:r>
        <w:tab/>
        <w:t>(c)</w:t>
      </w:r>
      <w:r>
        <w:tab/>
        <w:t>purchases, sells or supplies a specified weapon; or</w:t>
      </w:r>
    </w:p>
    <w:p>
      <w:pPr>
        <w:pStyle w:val="Indenta"/>
        <w:keepNext/>
      </w:pPr>
      <w:r>
        <w:tab/>
        <w:t>(d)</w:t>
      </w:r>
      <w:r>
        <w:tab/>
        <w:t>manufactures a specified weapon,</w:t>
      </w:r>
    </w:p>
    <w:p>
      <w:pPr>
        <w:pStyle w:val="Subsection"/>
      </w:pPr>
      <w:r>
        <w:tab/>
      </w:r>
      <w:r>
        <w:tab/>
        <w:t>or attempts to do any of those things, if that person does so in or for the exempt production and for no other purpose.</w:t>
      </w:r>
    </w:p>
    <w:p>
      <w:pPr>
        <w:pStyle w:val="Subsection"/>
        <w:keepNext/>
      </w:pPr>
      <w:r>
        <w:tab/>
        <w:t>(5)</w:t>
      </w:r>
      <w:r>
        <w:tab/>
        <w:t>An exemption notice must specify —</w:t>
      </w:r>
    </w:p>
    <w:p>
      <w:pPr>
        <w:pStyle w:val="Indenta"/>
      </w:pPr>
      <w:r>
        <w:tab/>
        <w:t>(a)</w:t>
      </w:r>
      <w:r>
        <w:tab/>
        <w:t>that the specified weapon is to be lawfully disposed of after it ceases to be required in or for the exempt production; and</w:t>
      </w:r>
    </w:p>
    <w:p>
      <w:pPr>
        <w:pStyle w:val="Indenta"/>
      </w:pPr>
      <w:r>
        <w:tab/>
        <w:t>(b)</w:t>
      </w:r>
      <w:r>
        <w:tab/>
        <w:t>how the specified weapon may be lawfully disposed of.</w:t>
      </w:r>
    </w:p>
    <w:p>
      <w:pPr>
        <w:pStyle w:val="Subsection"/>
      </w:pPr>
      <w:r>
        <w:tab/>
        <w:t>(6)</w:t>
      </w:r>
      <w:r>
        <w:tab/>
        <w:t>A person does not commit an offence under section 6(1)(c) of the Act if that person disposes, or attempts to dispose, of a specified weapon in accordance with the exemption notice.</w:t>
      </w:r>
    </w:p>
    <w:p>
      <w:pPr>
        <w:pStyle w:val="Subsection"/>
      </w:pPr>
      <w:r>
        <w:tab/>
        <w:t>(7)</w:t>
      </w:r>
      <w:r>
        <w:tab/>
        <w:t>If, after giving an exemption notice, the Commissioner of Police is no longer satisfied as to any of the circumstances described in 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p>
    <w:p>
      <w:pPr>
        <w:pStyle w:val="Footnotesection"/>
      </w:pPr>
      <w:r>
        <w:tab/>
        <w:t>[Regulation 13 inserted in Gazette 8 Apr 2011 p. 1283</w:t>
      </w:r>
      <w:r>
        <w:noBreakHyphen/>
        <w:t>4.]</w:t>
      </w:r>
    </w:p>
    <w:p>
      <w:pPr>
        <w:pStyle w:val="Heading5"/>
      </w:pPr>
      <w:bookmarkStart w:id="42" w:name="_Toc379277877"/>
      <w:bookmarkStart w:id="43" w:name="_Toc425248174"/>
      <w:bookmarkStart w:id="44" w:name="_Toc468113128"/>
      <w:r>
        <w:rPr>
          <w:rStyle w:val="CharSectno"/>
        </w:rPr>
        <w:t>14</w:t>
      </w:r>
      <w:r>
        <w:t>.</w:t>
      </w:r>
      <w:r>
        <w:tab/>
        <w:t>Crossbows for competitions etc., excepting people from Act s. 6 in relation to</w:t>
      </w:r>
      <w:bookmarkEnd w:id="42"/>
      <w:bookmarkEnd w:id="43"/>
      <w:bookmarkEnd w:id="44"/>
    </w:p>
    <w:p>
      <w:pPr>
        <w:pStyle w:val="Subsection"/>
      </w:pPr>
      <w:r>
        <w:tab/>
        <w:t>(1)</w:t>
      </w:r>
      <w:r>
        <w:tab/>
        <w:t xml:space="preserve">In this regulation — </w:t>
      </w:r>
    </w:p>
    <w:p>
      <w:pPr>
        <w:pStyle w:val="Defstart"/>
      </w:pPr>
      <w:r>
        <w:tab/>
      </w:r>
      <w:r>
        <w:rPr>
          <w:rStyle w:val="CharDefText"/>
        </w:rPr>
        <w:t xml:space="preserve">Archery </w:t>
      </w:r>
      <w:smartTag w:uri="urn:schemas-microsoft-com:office:smarttags" w:element="place">
        <w:smartTag w:uri="urn:schemas-microsoft-com:office:smarttags" w:element="PlaceName">
          <w:r>
            <w:rPr>
              <w:rStyle w:val="CharDefText"/>
            </w:rPr>
            <w:t>Australia</w:t>
          </w:r>
        </w:smartTag>
      </w:smartTag>
      <w:r>
        <w:rPr>
          <w:rStyle w:val="CharDefText"/>
        </w:rPr>
        <w:t xml:space="preserve"> (Inc.) member</w:t>
      </w:r>
      <w:r>
        <w:t xml:space="preserve"> includes a member of one of Archery Australia (Inc.) member clubs;</w:t>
      </w:r>
    </w:p>
    <w:p>
      <w:pPr>
        <w:pStyle w:val="Defstart"/>
      </w:pPr>
      <w:r>
        <w:tab/>
      </w:r>
      <w:r>
        <w:rPr>
          <w:rStyle w:val="CharDefText"/>
        </w:rPr>
        <w:t>crossbow</w:t>
      </w:r>
      <w:r>
        <w:t xml:space="preserve"> does not include a crossbow made or modified to be used with one hand;</w:t>
      </w:r>
    </w:p>
    <w:p>
      <w:pPr>
        <w:pStyle w:val="Defstart"/>
      </w:pPr>
      <w:r>
        <w:tab/>
      </w:r>
      <w:r>
        <w:rPr>
          <w:rStyle w:val="CharDefText"/>
        </w:rPr>
        <w:t>exempt arbalest</w:t>
      </w:r>
      <w:r>
        <w:t xml:space="preserve"> means a person who has been given a notice under subregulation (6) and has not ceased to be an exempt arbalest because of a notice under subregulation (7).</w:t>
      </w:r>
    </w:p>
    <w:p>
      <w:pPr>
        <w:pStyle w:val="Subsection"/>
        <w:keepNext/>
      </w:pPr>
      <w:r>
        <w:tab/>
        <w:t>(2)</w:t>
      </w:r>
      <w:r>
        <w:tab/>
        <w:t>An exempt arbalest or any other person who, for the purpose of selling or supplying a crossbow to an exempt arbalest —</w:t>
      </w:r>
    </w:p>
    <w:p>
      <w:pPr>
        <w:pStyle w:val="Indenta"/>
      </w:pPr>
      <w:r>
        <w:tab/>
        <w:t>(a)</w:t>
      </w:r>
      <w:r>
        <w:tab/>
        <w:t>brings or sends into the State a crossbow; or</w:t>
      </w:r>
    </w:p>
    <w:p>
      <w:pPr>
        <w:pStyle w:val="Indenta"/>
        <w:keepNext/>
      </w:pPr>
      <w:r>
        <w:tab/>
        <w:t>(b)</w:t>
      </w:r>
      <w:r>
        <w:tab/>
        <w:t>purchases a crossbow from a person who is lawfully entitled to sell the weapon,</w:t>
      </w:r>
    </w:p>
    <w:p>
      <w:pPr>
        <w:pStyle w:val="Subsection"/>
      </w:pPr>
      <w:r>
        <w:tab/>
      </w:r>
      <w:r>
        <w:tab/>
        <w:t>does not commit an offence under section 6(1)(a) or (c) of the Act.</w:t>
      </w:r>
    </w:p>
    <w:p>
      <w:pPr>
        <w:pStyle w:val="Subsection"/>
      </w:pPr>
      <w:r>
        <w:tab/>
        <w:t>(3)</w:t>
      </w:r>
      <w:r>
        <w:tab/>
        <w:t>An exempt arbalest who, for the purpose of engaging in the sport of crossbow archery, carries or possesses a crossbow does not commit an offence under section 6(1)(b) of the Act.</w:t>
      </w:r>
    </w:p>
    <w:p>
      <w:pPr>
        <w:pStyle w:val="Subsection"/>
      </w:pPr>
      <w:r>
        <w:tab/>
        <w:t>(4)</w:t>
      </w:r>
      <w:r>
        <w:tab/>
        <w:t>An exempt arbalest or any other person who, for the purpose of selling or supplying a crossbow to an exempt arbalest, carries or possesses a crossbow does not commit an offence under section 6(1)(b) of the Act.</w:t>
      </w:r>
    </w:p>
    <w:p>
      <w:pPr>
        <w:pStyle w:val="Subsection"/>
      </w:pPr>
      <w:r>
        <w:tab/>
        <w:t>(5)</w:t>
      </w:r>
      <w:r>
        <w:tab/>
        <w:t>An exempt arbalest or any other person who, for the purpose of disposing of all or any of an exempt arbalest’s crossbows, sells or supplies a crossbow to a person who is lawfully entitled to purchase or possess the crossbow does not commit an offence under section 6(1)(c) of the Act.</w:t>
      </w:r>
    </w:p>
    <w:p>
      <w:pPr>
        <w:pStyle w:val="Subsection"/>
      </w:pPr>
      <w:r>
        <w:tab/>
        <w:t>(6)</w:t>
      </w:r>
      <w:r>
        <w:tab/>
        <w:t>If the Minister is satisfied that —</w:t>
      </w:r>
    </w:p>
    <w:p>
      <w:pPr>
        <w:pStyle w:val="Indenta"/>
      </w:pPr>
      <w:r>
        <w:tab/>
        <w:t>(a)</w:t>
      </w:r>
      <w:r>
        <w:tab/>
        <w:t>a person was on or before 1 July 2011 an Archery Australia (Inc.) member; and</w:t>
      </w:r>
    </w:p>
    <w:p>
      <w:pPr>
        <w:pStyle w:val="Indenta"/>
      </w:pPr>
      <w:r>
        <w:tab/>
        <w:t>(b)</w:t>
      </w:r>
      <w:r>
        <w:tab/>
        <w:t>on or before 1 July 2011 the person possessed a crossbow for the purposes of taking part in crossbow events or competition; and</w:t>
      </w:r>
    </w:p>
    <w:p>
      <w:pPr>
        <w:pStyle w:val="Indenta"/>
      </w:pPr>
      <w:r>
        <w:tab/>
        <w:t>(c)</w:t>
      </w:r>
      <w:r>
        <w:tab/>
        <w:t>the person is fit and proper to be an exempt arbalest; and</w:t>
      </w:r>
    </w:p>
    <w:p>
      <w:pPr>
        <w:pStyle w:val="Indenta"/>
      </w:pPr>
      <w:r>
        <w:tab/>
        <w:t>(d)</w:t>
      </w:r>
      <w:r>
        <w:tab/>
        <w:t>adequate arrangements exist to keep each of the person’s crossbows secure,</w:t>
      </w:r>
    </w:p>
    <w:p>
      <w:pPr>
        <w:pStyle w:val="Subsection"/>
      </w:pPr>
      <w:r>
        <w:tab/>
      </w:r>
      <w:r>
        <w:tab/>
        <w:t>the Minister may give to the person written notice that the person is an exempt arbalest.</w:t>
      </w:r>
    </w:p>
    <w:p>
      <w:pPr>
        <w:pStyle w:val="Subsection"/>
      </w:pPr>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p>
    <w:p>
      <w:pPr>
        <w:pStyle w:val="Footnotesection"/>
      </w:pPr>
      <w:r>
        <w:tab/>
        <w:t>[Regulation 14 inserted in Gazette 8 Apr 2011 p. 1284</w:t>
      </w:r>
      <w:r>
        <w:noBreakHyphen/>
        <w:t>6.]</w:t>
      </w:r>
    </w:p>
    <w:p>
      <w:pPr>
        <w:pStyle w:val="Heading5"/>
      </w:pPr>
      <w:bookmarkStart w:id="45" w:name="_Toc379277878"/>
      <w:bookmarkStart w:id="46" w:name="_Toc425248175"/>
      <w:bookmarkStart w:id="47" w:name="_Toc468113129"/>
      <w:r>
        <w:rPr>
          <w:rStyle w:val="CharSectno"/>
        </w:rPr>
        <w:t>15</w:t>
      </w:r>
      <w:r>
        <w:t>.</w:t>
      </w:r>
      <w:r>
        <w:tab/>
        <w:t>Crossbows for occupational purposes, excepting people from Act s. 6(1)(a)-(c) in relation to</w:t>
      </w:r>
      <w:bookmarkEnd w:id="45"/>
      <w:bookmarkEnd w:id="46"/>
      <w:bookmarkEnd w:id="47"/>
    </w:p>
    <w:p>
      <w:pPr>
        <w:pStyle w:val="Subsection"/>
      </w:pPr>
      <w:r>
        <w:tab/>
        <w:t>(1)</w:t>
      </w:r>
      <w:r>
        <w:tab/>
        <w:t xml:space="preserve">In this regulation — </w:t>
      </w:r>
    </w:p>
    <w:p>
      <w:pPr>
        <w:pStyle w:val="Defstart"/>
      </w:pPr>
      <w:r>
        <w:tab/>
      </w:r>
      <w:r>
        <w:rPr>
          <w:rStyle w:val="CharDefText"/>
        </w:rPr>
        <w:t>crossbow</w:t>
      </w:r>
      <w:r>
        <w:t xml:space="preserve"> does not include a crossbow made or modified to be used with one hand;</w:t>
      </w:r>
    </w:p>
    <w:p>
      <w:pPr>
        <w:pStyle w:val="Defstart"/>
      </w:pPr>
      <w:r>
        <w:tab/>
      </w:r>
      <w:r>
        <w:rPr>
          <w:rStyle w:val="CharDefText"/>
        </w:rPr>
        <w:t>exempt person</w:t>
      </w:r>
      <w:r>
        <w:t xml:space="preserve"> means a person who has been given a notice under subregulation (4) and has not ceased to be an exempt person — </w:t>
      </w:r>
    </w:p>
    <w:p>
      <w:pPr>
        <w:pStyle w:val="Defpara"/>
      </w:pPr>
      <w:r>
        <w:tab/>
        <w:t>(a)</w:t>
      </w:r>
      <w:r>
        <w:tab/>
        <w:t>because of a notice under subregulation (5); or</w:t>
      </w:r>
    </w:p>
    <w:p>
      <w:pPr>
        <w:pStyle w:val="Defpara"/>
      </w:pPr>
      <w:r>
        <w:tab/>
        <w:t>(b)</w:t>
      </w:r>
      <w:r>
        <w:tab/>
        <w:t>because the notice has ceased to have effect under subregulation (6).</w:t>
      </w:r>
    </w:p>
    <w:p>
      <w:pPr>
        <w:pStyle w:val="Subsection"/>
      </w:pPr>
      <w:r>
        <w:tab/>
        <w:t>(2)</w:t>
      </w:r>
      <w:r>
        <w:tab/>
        <w:t>An exempt person who, for the purpose of obtaining a crossbow —</w:t>
      </w:r>
    </w:p>
    <w:p>
      <w:pPr>
        <w:pStyle w:val="Indenta"/>
      </w:pPr>
      <w:r>
        <w:tab/>
        <w:t>(a)</w:t>
      </w:r>
      <w:r>
        <w:tab/>
        <w:t>brings into the State a crossbow; or</w:t>
      </w:r>
    </w:p>
    <w:p>
      <w:pPr>
        <w:pStyle w:val="Indenta"/>
      </w:pPr>
      <w:r>
        <w:tab/>
        <w:t>(b)</w:t>
      </w:r>
      <w:r>
        <w:tab/>
        <w:t>purchases a crossbow from a person who is lawfully entitled to sell the weapon,</w:t>
      </w:r>
    </w:p>
    <w:p>
      <w:pPr>
        <w:pStyle w:val="Subsection"/>
      </w:pPr>
      <w:r>
        <w:tab/>
      </w:r>
      <w:r>
        <w:tab/>
        <w:t>does not commit an offence under section 6(1)(a) or (c) of the Act.</w:t>
      </w:r>
    </w:p>
    <w:p>
      <w:pPr>
        <w:pStyle w:val="Subsection"/>
      </w:pPr>
      <w:r>
        <w:tab/>
        <w:t>(3)</w:t>
      </w:r>
      <w:r>
        <w:tab/>
        <w:t>An exempt person who, for the purpose of engaging in an activity related to the performance of his or her occupation, carries or possesses a crossbow does not commit an offence under section 6(1)(b) of the Act.</w:t>
      </w:r>
    </w:p>
    <w:p>
      <w:pPr>
        <w:pStyle w:val="Subsection"/>
        <w:keepNext/>
      </w:pPr>
      <w:r>
        <w:tab/>
        <w:t>(4)</w:t>
      </w:r>
      <w:r>
        <w:tab/>
        <w:t xml:space="preserve">If the Minister is satisfied that — </w:t>
      </w:r>
    </w:p>
    <w:p>
      <w:pPr>
        <w:pStyle w:val="Indenta"/>
      </w:pPr>
      <w:r>
        <w:tab/>
        <w:t>(a)</w:t>
      </w:r>
      <w:r>
        <w:tab/>
        <w:t>on or before 1 July 2011 a person used a crossbow for the purpose of engaging in an activity related to the performance of his or her occupation; and</w:t>
      </w:r>
    </w:p>
    <w:p>
      <w:pPr>
        <w:pStyle w:val="Indenta"/>
      </w:pPr>
      <w:r>
        <w:tab/>
        <w:t>(b)</w:t>
      </w:r>
      <w:r>
        <w:tab/>
        <w:t>on or before 1 July 2011 the person possessed a crossbow for the purposes of engaging in that activity; and</w:t>
      </w:r>
    </w:p>
    <w:p>
      <w:pPr>
        <w:pStyle w:val="Indenta"/>
      </w:pPr>
      <w:r>
        <w:tab/>
        <w:t>(c)</w:t>
      </w:r>
      <w:r>
        <w:tab/>
        <w:t>that activity cannot be undertaken by any other practicable means; and</w:t>
      </w:r>
    </w:p>
    <w:p>
      <w:pPr>
        <w:pStyle w:val="Indenta"/>
      </w:pPr>
      <w:r>
        <w:tab/>
        <w:t>(d)</w:t>
      </w:r>
      <w:r>
        <w:tab/>
        <w:t>the person is fit and proper to be an exempt person; and</w:t>
      </w:r>
    </w:p>
    <w:p>
      <w:pPr>
        <w:pStyle w:val="Indenta"/>
      </w:pPr>
      <w:r>
        <w:tab/>
        <w:t>(e)</w:t>
      </w:r>
      <w:r>
        <w:tab/>
        <w:t>adequate arrangements exist to keep each of the person’s crossbows secure,</w:t>
      </w:r>
    </w:p>
    <w:p>
      <w:pPr>
        <w:pStyle w:val="Subsection"/>
      </w:pPr>
      <w:r>
        <w:tab/>
      </w:r>
      <w:r>
        <w:tab/>
        <w:t>the Minister may give to the person written notice that the person is an exempt person.</w:t>
      </w:r>
    </w:p>
    <w:p>
      <w:pPr>
        <w:pStyle w:val="Subsection"/>
      </w:pPr>
      <w:r>
        <w:tab/>
        <w:t>(5)</w:t>
      </w:r>
      <w:r>
        <w:tab/>
        <w:t>If, after giving a notice under subregulation (4), the Minister is no longer satisfied as to any of the circumstances described in that subregulation, the Minister may give to the exempt person written notice that, on a day specified in the notice (being a day that is not less than 30 days after the notice is given), the person ceases to be an exempt person, and the notice has effect accordingly.</w:t>
      </w:r>
    </w:p>
    <w:p>
      <w:pPr>
        <w:pStyle w:val="Subsection"/>
      </w:pPr>
      <w:r>
        <w:tab/>
        <w:t>(6)</w:t>
      </w:r>
      <w:r>
        <w:tab/>
        <w:t xml:space="preserve">A notice given under subregulation (4) has effect for the period (not exceeding 5 years) — </w:t>
      </w:r>
    </w:p>
    <w:p>
      <w:pPr>
        <w:pStyle w:val="Indenta"/>
      </w:pPr>
      <w:r>
        <w:tab/>
        <w:t>(a)</w:t>
      </w:r>
      <w:r>
        <w:tab/>
        <w:t>specified in the notice; and</w:t>
      </w:r>
    </w:p>
    <w:p>
      <w:pPr>
        <w:pStyle w:val="Indenta"/>
      </w:pPr>
      <w:r>
        <w:tab/>
        <w:t>(b)</w:t>
      </w:r>
      <w:r>
        <w:tab/>
        <w:t>beginning on the day specified in the notice.</w:t>
      </w:r>
    </w:p>
    <w:p>
      <w:pPr>
        <w:pStyle w:val="Subsection"/>
      </w:pPr>
      <w:r>
        <w:tab/>
        <w:t>(7)</w:t>
      </w:r>
      <w:r>
        <w:tab/>
        <w:t>The fact that a person has been given a notice under subregulation (4) does not prevent the Minister from giving the person another notice under that subregulation.</w:t>
      </w:r>
    </w:p>
    <w:p>
      <w:pPr>
        <w:pStyle w:val="Subsection"/>
      </w:pPr>
      <w:r>
        <w:tab/>
        <w:t>(8)</w:t>
      </w:r>
      <w:r>
        <w:tab/>
        <w:t>This regulation expires at the end of 30 June 2017.</w:t>
      </w:r>
    </w:p>
    <w:p>
      <w:pPr>
        <w:pStyle w:val="Footnotesection"/>
      </w:pPr>
      <w:r>
        <w:tab/>
        <w:t>[Regulation 15 inserted in Gazette 13 Mar 2012 p. 1038-9.]</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8" w:name="_Toc379277879"/>
      <w:bookmarkStart w:id="49" w:name="_Toc425248138"/>
      <w:bookmarkStart w:id="50" w:name="_Toc425248176"/>
      <w:bookmarkStart w:id="51" w:name="_Toc425248572"/>
      <w:bookmarkStart w:id="52" w:name="_Toc425248605"/>
      <w:bookmarkStart w:id="53" w:name="_Toc468112999"/>
      <w:bookmarkStart w:id="54" w:name="_Toc468113106"/>
      <w:bookmarkStart w:id="55" w:name="_Toc468113130"/>
      <w:r>
        <w:rPr>
          <w:rStyle w:val="CharSchNo"/>
        </w:rPr>
        <w:t>Schedule 1</w:t>
      </w:r>
      <w:r>
        <w:t xml:space="preserve"> — </w:t>
      </w:r>
      <w:r>
        <w:rPr>
          <w:rStyle w:val="CharSchText"/>
        </w:rPr>
        <w:t>Prohibited weapons</w:t>
      </w:r>
      <w:bookmarkEnd w:id="48"/>
      <w:bookmarkEnd w:id="49"/>
      <w:bookmarkEnd w:id="50"/>
      <w:bookmarkEnd w:id="51"/>
      <w:bookmarkEnd w:id="52"/>
      <w:bookmarkEnd w:id="53"/>
      <w:bookmarkEnd w:id="54"/>
      <w:bookmarkEnd w:id="55"/>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31"/>
        <w:gridCol w:w="1726"/>
        <w:gridCol w:w="4788"/>
      </w:tblGrid>
      <w:tr>
        <w:trPr>
          <w:tblHeader/>
        </w:trPr>
        <w:tc>
          <w:tcPr>
            <w:tcW w:w="755" w:type="dxa"/>
            <w:gridSpan w:val="2"/>
          </w:tcPr>
          <w:p>
            <w:pPr>
              <w:pStyle w:val="yTable"/>
              <w:rPr>
                <w:b/>
              </w:rPr>
            </w:pPr>
            <w:r>
              <w:rPr>
                <w:b/>
              </w:rPr>
              <w:t>Item</w:t>
            </w:r>
          </w:p>
        </w:tc>
        <w:tc>
          <w:tcPr>
            <w:tcW w:w="1726" w:type="dxa"/>
          </w:tcPr>
          <w:p>
            <w:pPr>
              <w:pStyle w:val="yTable"/>
              <w:rPr>
                <w:b/>
              </w:rPr>
            </w:pPr>
            <w:r>
              <w:rPr>
                <w:b/>
              </w:rPr>
              <w:t>Article</w:t>
            </w:r>
          </w:p>
        </w:tc>
        <w:tc>
          <w:tcPr>
            <w:tcW w:w="4788" w:type="dxa"/>
          </w:tcPr>
          <w:p>
            <w:pPr>
              <w:pStyle w:val="yTable"/>
              <w:rPr>
                <w:b/>
              </w:rPr>
            </w:pPr>
            <w:r>
              <w:rPr>
                <w:b/>
              </w:rPr>
              <w:t>Description</w:t>
            </w:r>
          </w:p>
        </w:tc>
      </w:tr>
      <w:tr>
        <w:tc>
          <w:tcPr>
            <w:tcW w:w="755" w:type="dxa"/>
            <w:gridSpan w:val="2"/>
          </w:tcPr>
          <w:p>
            <w:pPr>
              <w:pStyle w:val="yTable"/>
            </w:pPr>
            <w:r>
              <w:t>1.</w:t>
            </w:r>
          </w:p>
        </w:tc>
        <w:tc>
          <w:tcPr>
            <w:tcW w:w="1726"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755" w:type="dxa"/>
            <w:gridSpan w:val="2"/>
          </w:tcPr>
          <w:p>
            <w:pPr>
              <w:pStyle w:val="yTable"/>
            </w:pPr>
            <w:r>
              <w:t>2.</w:t>
            </w:r>
          </w:p>
        </w:tc>
        <w:tc>
          <w:tcPr>
            <w:tcW w:w="1726" w:type="dxa"/>
          </w:tcPr>
          <w:p>
            <w:pPr>
              <w:pStyle w:val="yTable"/>
            </w:pPr>
            <w:r>
              <w:t>Ballistic knife</w:t>
            </w:r>
          </w:p>
        </w:tc>
        <w:tc>
          <w:tcPr>
            <w:tcW w:w="4788" w:type="dxa"/>
          </w:tcPr>
          <w:p>
            <w:pPr>
              <w:pStyle w:val="yTable"/>
            </w:pPr>
            <w:r>
              <w:t>An article made or modified to be used to discharge a knife and includes the knife.</w:t>
            </w:r>
          </w:p>
        </w:tc>
      </w:tr>
      <w:tr>
        <w:tc>
          <w:tcPr>
            <w:tcW w:w="755" w:type="dxa"/>
            <w:gridSpan w:val="2"/>
          </w:tcPr>
          <w:p>
            <w:pPr>
              <w:pStyle w:val="yTable"/>
            </w:pPr>
            <w:r>
              <w:t>3.</w:t>
            </w:r>
          </w:p>
        </w:tc>
        <w:tc>
          <w:tcPr>
            <w:tcW w:w="1726"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755" w:type="dxa"/>
            <w:gridSpan w:val="2"/>
          </w:tcPr>
          <w:p>
            <w:pPr>
              <w:pStyle w:val="yTable"/>
            </w:pPr>
            <w:r>
              <w:t>4.</w:t>
            </w:r>
          </w:p>
        </w:tc>
        <w:tc>
          <w:tcPr>
            <w:tcW w:w="1726"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755" w:type="dxa"/>
            <w:gridSpan w:val="2"/>
          </w:tcPr>
          <w:p>
            <w:pPr>
              <w:pStyle w:val="yTable"/>
            </w:pPr>
            <w:r>
              <w:t>5.</w:t>
            </w:r>
          </w:p>
        </w:tc>
        <w:tc>
          <w:tcPr>
            <w:tcW w:w="1726"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755" w:type="dxa"/>
            <w:gridSpan w:val="2"/>
          </w:tcPr>
          <w:p>
            <w:pPr>
              <w:pStyle w:val="yTable"/>
            </w:pPr>
            <w:r>
              <w:t>6.</w:t>
            </w:r>
          </w:p>
        </w:tc>
        <w:tc>
          <w:tcPr>
            <w:tcW w:w="1726"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755" w:type="dxa"/>
            <w:gridSpan w:val="2"/>
          </w:tcPr>
          <w:p>
            <w:pPr>
              <w:pStyle w:val="yTable"/>
            </w:pPr>
            <w:r>
              <w:t>7A.</w:t>
            </w:r>
          </w:p>
        </w:tc>
        <w:tc>
          <w:tcPr>
            <w:tcW w:w="1726" w:type="dxa"/>
          </w:tcPr>
          <w:p>
            <w:pPr>
              <w:pStyle w:val="yTable"/>
            </w:pPr>
            <w:r>
              <w:t>Crossbow</w:t>
            </w:r>
          </w:p>
        </w:tc>
        <w:tc>
          <w:tcPr>
            <w:tcW w:w="4788" w:type="dxa"/>
          </w:tcPr>
          <w:p>
            <w:pPr>
              <w:pStyle w:val="yTable"/>
            </w:pPr>
            <w:r>
              <w:t>An article made or modified to be used with one or 2 hands to discharge a missile by an elastic force across a stock grooved to direct the missile and includes the missile.</w:t>
            </w:r>
          </w:p>
        </w:tc>
      </w:tr>
      <w:tr>
        <w:tc>
          <w:tcPr>
            <w:tcW w:w="755" w:type="dxa"/>
            <w:gridSpan w:val="2"/>
          </w:tcPr>
          <w:p>
            <w:pPr>
              <w:pStyle w:val="yTable"/>
            </w:pPr>
            <w:r>
              <w:t>7.</w:t>
            </w:r>
          </w:p>
        </w:tc>
        <w:tc>
          <w:tcPr>
            <w:tcW w:w="1726"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755" w:type="dxa"/>
            <w:gridSpan w:val="2"/>
          </w:tcPr>
          <w:p>
            <w:pPr>
              <w:pStyle w:val="yTable"/>
            </w:pPr>
            <w:r>
              <w:t>8.</w:t>
            </w:r>
          </w:p>
        </w:tc>
        <w:tc>
          <w:tcPr>
            <w:tcW w:w="1726" w:type="dxa"/>
          </w:tcPr>
          <w:p>
            <w:pPr>
              <w:pStyle w:val="yTable"/>
            </w:pPr>
            <w:r>
              <w:t>Electric shock weapon</w:t>
            </w:r>
          </w:p>
        </w:tc>
        <w:tc>
          <w:tcPr>
            <w:tcW w:w="4788" w:type="dxa"/>
          </w:tcPr>
          <w:p>
            <w:pPr>
              <w:pStyle w:val="yTable"/>
            </w:pPr>
            <w:r>
              <w:t>An article made or modified to be used to discharge an electric current so as to injure or disable a person but does not include an approved electric shock case.</w:t>
            </w:r>
          </w:p>
        </w:tc>
      </w:tr>
      <w:tr>
        <w:tc>
          <w:tcPr>
            <w:tcW w:w="755" w:type="dxa"/>
            <w:gridSpan w:val="2"/>
          </w:tcPr>
          <w:p>
            <w:pPr>
              <w:pStyle w:val="yTable"/>
            </w:pPr>
            <w:r>
              <w:t>9.</w:t>
            </w:r>
          </w:p>
        </w:tc>
        <w:tc>
          <w:tcPr>
            <w:tcW w:w="1726"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755" w:type="dxa"/>
            <w:gridSpan w:val="2"/>
          </w:tcPr>
          <w:p>
            <w:pPr>
              <w:pStyle w:val="yTable"/>
            </w:pPr>
            <w:r>
              <w:t>10.</w:t>
            </w:r>
          </w:p>
        </w:tc>
        <w:tc>
          <w:tcPr>
            <w:tcW w:w="1726"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755" w:type="dxa"/>
            <w:gridSpan w:val="2"/>
          </w:tcPr>
          <w:p>
            <w:pPr>
              <w:pStyle w:val="yTable"/>
            </w:pPr>
            <w:r>
              <w:t>11.</w:t>
            </w:r>
          </w:p>
        </w:tc>
        <w:tc>
          <w:tcPr>
            <w:tcW w:w="1726"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755" w:type="dxa"/>
            <w:gridSpan w:val="2"/>
          </w:tcPr>
          <w:p>
            <w:pPr>
              <w:pStyle w:val="yTable"/>
            </w:pPr>
            <w:r>
              <w:t>11A.</w:t>
            </w:r>
          </w:p>
        </w:tc>
        <w:tc>
          <w:tcPr>
            <w:tcW w:w="1726" w:type="dxa"/>
          </w:tcPr>
          <w:p>
            <w:pPr>
              <w:pStyle w:val="yTable"/>
            </w:pPr>
            <w:r>
              <w:t>Gas dart</w:t>
            </w:r>
          </w:p>
        </w:tc>
        <w:tc>
          <w:tcPr>
            <w:tcW w:w="4788" w:type="dxa"/>
          </w:tcPr>
          <w:p>
            <w:pPr>
              <w:pStyle w:val="yTable"/>
            </w:pPr>
            <w:r>
              <w:t>A device designed or adapted to kill or injure an animal by injecting a gas into the body of the animal (including a “Gas Dart”, “Farallon Shark Dart” or similar device).</w:t>
            </w:r>
          </w:p>
        </w:tc>
      </w:tr>
      <w:tr>
        <w:tc>
          <w:tcPr>
            <w:tcW w:w="755" w:type="dxa"/>
            <w:gridSpan w:val="2"/>
          </w:tcPr>
          <w:p>
            <w:pPr>
              <w:pStyle w:val="yTable"/>
            </w:pPr>
            <w:r>
              <w:t>12.</w:t>
            </w:r>
          </w:p>
        </w:tc>
        <w:tc>
          <w:tcPr>
            <w:tcW w:w="1726"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755" w:type="dxa"/>
            <w:gridSpan w:val="2"/>
          </w:tcPr>
          <w:p>
            <w:pPr>
              <w:pStyle w:val="yTable"/>
            </w:pPr>
            <w:r>
              <w:t>13.</w:t>
            </w:r>
          </w:p>
        </w:tc>
        <w:tc>
          <w:tcPr>
            <w:tcW w:w="1726"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2481" w:type="dxa"/>
            <w:gridSpan w:val="3"/>
          </w:tcPr>
          <w:p>
            <w:pPr>
              <w:pStyle w:val="yTable"/>
              <w:tabs>
                <w:tab w:val="left" w:pos="600"/>
              </w:tabs>
            </w:pPr>
            <w:r>
              <w:rPr>
                <w:i/>
              </w:rPr>
              <w:t>[14.</w:t>
            </w:r>
            <w:r>
              <w:rPr>
                <w:i/>
              </w:rPr>
              <w:tab/>
              <w:t>deleted]</w:t>
            </w:r>
          </w:p>
        </w:tc>
        <w:tc>
          <w:tcPr>
            <w:tcW w:w="4788" w:type="dxa"/>
          </w:tcPr>
          <w:p>
            <w:pPr>
              <w:pStyle w:val="yTable"/>
            </w:pPr>
          </w:p>
        </w:tc>
      </w:tr>
      <w:tr>
        <w:trPr>
          <w:cantSplit/>
        </w:trPr>
        <w:tc>
          <w:tcPr>
            <w:tcW w:w="624" w:type="dxa"/>
          </w:tcPr>
          <w:p>
            <w:pPr>
              <w:pStyle w:val="yTable"/>
            </w:pPr>
            <w:r>
              <w:t>15.</w:t>
            </w:r>
          </w:p>
        </w:tc>
        <w:tc>
          <w:tcPr>
            <w:tcW w:w="1857" w:type="dxa"/>
            <w:gridSpan w:val="2"/>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pPr>
      <w:r>
        <w:tab/>
        <w:t>[Schedule 1 amended in Gazette 11 Sep 2007 p. 4613; 8 Apr 2011 p. 1286.]</w:t>
      </w:r>
    </w:p>
    <w:p>
      <w:pPr>
        <w:pStyle w:val="yScheduleHeading"/>
      </w:pPr>
      <w:bookmarkStart w:id="56" w:name="_Toc379277880"/>
      <w:bookmarkStart w:id="57" w:name="_Toc425248139"/>
      <w:bookmarkStart w:id="58" w:name="_Toc425248177"/>
      <w:bookmarkStart w:id="59" w:name="_Toc425248573"/>
      <w:bookmarkStart w:id="60" w:name="_Toc425248606"/>
      <w:bookmarkStart w:id="61" w:name="_Toc468113000"/>
      <w:bookmarkStart w:id="62" w:name="_Toc468113107"/>
      <w:bookmarkStart w:id="63" w:name="_Toc468113131"/>
      <w:r>
        <w:rPr>
          <w:rStyle w:val="CharSchNo"/>
        </w:rPr>
        <w:t>Schedule 2</w:t>
      </w:r>
      <w:r>
        <w:t xml:space="preserve"> — </w:t>
      </w:r>
      <w:r>
        <w:rPr>
          <w:rStyle w:val="CharSchText"/>
        </w:rPr>
        <w:t>Controlled weapons</w:t>
      </w:r>
      <w:bookmarkEnd w:id="56"/>
      <w:bookmarkEnd w:id="57"/>
      <w:bookmarkEnd w:id="58"/>
      <w:bookmarkEnd w:id="59"/>
      <w:bookmarkEnd w:id="60"/>
      <w:bookmarkEnd w:id="61"/>
      <w:bookmarkEnd w:id="62"/>
      <w:bookmarkEnd w:id="63"/>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869"/>
        <w:gridCol w:w="1612"/>
        <w:gridCol w:w="4760"/>
      </w:tblGrid>
      <w:tr>
        <w:trPr>
          <w:cantSplit/>
          <w:tblHeader/>
        </w:trPr>
        <w:tc>
          <w:tcPr>
            <w:tcW w:w="869" w:type="dxa"/>
          </w:tcPr>
          <w:p>
            <w:pPr>
              <w:pStyle w:val="yTable"/>
              <w:rPr>
                <w:b/>
              </w:rPr>
            </w:pPr>
            <w:r>
              <w:rPr>
                <w:b/>
              </w:rPr>
              <w:t>Item</w:t>
            </w:r>
          </w:p>
        </w:tc>
        <w:tc>
          <w:tcPr>
            <w:tcW w:w="1612" w:type="dxa"/>
          </w:tcPr>
          <w:p>
            <w:pPr>
              <w:pStyle w:val="yTable"/>
              <w:rPr>
                <w:b/>
              </w:rPr>
            </w:pPr>
            <w:r>
              <w:rPr>
                <w:b/>
              </w:rPr>
              <w:t>Article</w:t>
            </w:r>
          </w:p>
        </w:tc>
        <w:tc>
          <w:tcPr>
            <w:tcW w:w="4760" w:type="dxa"/>
          </w:tcPr>
          <w:p>
            <w:pPr>
              <w:pStyle w:val="yTable"/>
              <w:rPr>
                <w:b/>
              </w:rPr>
            </w:pPr>
            <w:r>
              <w:rPr>
                <w:b/>
              </w:rPr>
              <w:t>Description</w:t>
            </w:r>
          </w:p>
        </w:tc>
      </w:tr>
      <w:tr>
        <w:trPr>
          <w:cantSplit/>
        </w:trPr>
        <w:tc>
          <w:tcPr>
            <w:tcW w:w="869" w:type="dxa"/>
          </w:tcPr>
          <w:p>
            <w:pPr>
              <w:pStyle w:val="yTable"/>
            </w:pPr>
            <w:r>
              <w:t>1.</w:t>
            </w:r>
          </w:p>
        </w:tc>
        <w:tc>
          <w:tcPr>
            <w:tcW w:w="1612" w:type="dxa"/>
          </w:tcPr>
          <w:p>
            <w:pPr>
              <w:pStyle w:val="yTable"/>
            </w:pPr>
            <w:r>
              <w:t>Approved electric shock case</w:t>
            </w:r>
          </w:p>
        </w:tc>
        <w:tc>
          <w:tcPr>
            <w:tcW w:w="4760" w:type="dxa"/>
          </w:tcPr>
          <w:p>
            <w:pPr>
              <w:pStyle w:val="yTable"/>
            </w:pPr>
            <w:r>
              <w:t>Any approved electric shock case.</w:t>
            </w:r>
          </w:p>
        </w:tc>
      </w:tr>
      <w:tr>
        <w:trPr>
          <w:cantSplit/>
        </w:trPr>
        <w:tc>
          <w:tcPr>
            <w:tcW w:w="869" w:type="dxa"/>
          </w:tcPr>
          <w:p>
            <w:pPr>
              <w:pStyle w:val="yTable"/>
            </w:pPr>
            <w:r>
              <w:t>2.</w:t>
            </w:r>
          </w:p>
        </w:tc>
        <w:tc>
          <w:tcPr>
            <w:tcW w:w="1612"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869" w:type="dxa"/>
          </w:tcPr>
          <w:p>
            <w:pPr>
              <w:pStyle w:val="yTable"/>
            </w:pPr>
            <w:r>
              <w:t>3.</w:t>
            </w:r>
          </w:p>
        </w:tc>
        <w:tc>
          <w:tcPr>
            <w:tcW w:w="1612"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869" w:type="dxa"/>
          </w:tcPr>
          <w:p>
            <w:pPr>
              <w:pStyle w:val="yTable"/>
            </w:pPr>
            <w:r>
              <w:t>4.</w:t>
            </w:r>
          </w:p>
        </w:tc>
        <w:tc>
          <w:tcPr>
            <w:tcW w:w="1612" w:type="dxa"/>
          </w:tcPr>
          <w:p>
            <w:pPr>
              <w:pStyle w:val="yTable"/>
            </w:pPr>
            <w:r>
              <w:t>Captive bolt gun</w:t>
            </w:r>
          </w:p>
        </w:tc>
        <w:tc>
          <w:tcPr>
            <w:tcW w:w="4760" w:type="dxa"/>
          </w:tcPr>
          <w:p>
            <w:pPr>
              <w:pStyle w:val="yTable"/>
            </w:pPr>
            <w:r>
              <w:t>An article made or modified to be used for slaughtering an animal by means of a bolt that is fired into the animal but remains part of the article before and after the firing.</w:t>
            </w:r>
          </w:p>
        </w:tc>
      </w:tr>
      <w:tr>
        <w:trPr>
          <w:cantSplit/>
        </w:trPr>
        <w:tc>
          <w:tcPr>
            <w:tcW w:w="869" w:type="dxa"/>
          </w:tcPr>
          <w:p>
            <w:pPr>
              <w:pStyle w:val="yTable"/>
            </w:pPr>
            <w:r>
              <w:t>5.</w:t>
            </w:r>
          </w:p>
        </w:tc>
        <w:tc>
          <w:tcPr>
            <w:tcW w:w="1612"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869" w:type="dxa"/>
          </w:tcPr>
          <w:p>
            <w:pPr>
              <w:pStyle w:val="yTable"/>
            </w:pPr>
            <w:r>
              <w:t>6.</w:t>
            </w:r>
          </w:p>
        </w:tc>
        <w:tc>
          <w:tcPr>
            <w:tcW w:w="1612"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869" w:type="dxa"/>
          </w:tcPr>
          <w:p>
            <w:pPr>
              <w:pStyle w:val="yTable"/>
            </w:pPr>
            <w:r>
              <w:t>7.</w:t>
            </w:r>
          </w:p>
        </w:tc>
        <w:tc>
          <w:tcPr>
            <w:tcW w:w="1612"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869" w:type="dxa"/>
          </w:tcPr>
          <w:p>
            <w:pPr>
              <w:pStyle w:val="yTable"/>
            </w:pPr>
            <w:r>
              <w:t>8.</w:t>
            </w:r>
          </w:p>
        </w:tc>
        <w:tc>
          <w:tcPr>
            <w:tcW w:w="1612"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869" w:type="dxa"/>
          </w:tcPr>
          <w:p>
            <w:pPr>
              <w:pStyle w:val="yTable"/>
            </w:pPr>
            <w:r>
              <w:t>9.</w:t>
            </w:r>
          </w:p>
        </w:tc>
        <w:tc>
          <w:tcPr>
            <w:tcW w:w="1612"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869" w:type="dxa"/>
          </w:tcPr>
          <w:p>
            <w:pPr>
              <w:pStyle w:val="yTable"/>
            </w:pPr>
            <w:r>
              <w:t>10.</w:t>
            </w:r>
          </w:p>
        </w:tc>
        <w:tc>
          <w:tcPr>
            <w:tcW w:w="1612"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869" w:type="dxa"/>
          </w:tcPr>
          <w:p>
            <w:pPr>
              <w:pStyle w:val="yTable"/>
            </w:pPr>
            <w:r>
              <w:t>10AA.</w:t>
            </w:r>
          </w:p>
        </w:tc>
        <w:tc>
          <w:tcPr>
            <w:tcW w:w="1612" w:type="dxa"/>
          </w:tcPr>
          <w:p>
            <w:pPr>
              <w:pStyle w:val="yTable"/>
            </w:pPr>
            <w:r>
              <w:t>Light pointer</w:t>
            </w:r>
          </w:p>
        </w:tc>
        <w:tc>
          <w:tcPr>
            <w:tcW w:w="4760" w:type="dxa"/>
          </w:tcPr>
          <w:p>
            <w:pPr>
              <w:pStyle w:val="yTable"/>
            </w:pPr>
            <w:r>
              <w:t>An article made or modified to be used to emit light so as to be used as a pointing device (including a laser pointer).</w:t>
            </w:r>
          </w:p>
        </w:tc>
      </w:tr>
      <w:tr>
        <w:trPr>
          <w:cantSplit/>
        </w:trPr>
        <w:tc>
          <w:tcPr>
            <w:tcW w:w="869" w:type="dxa"/>
          </w:tcPr>
          <w:p>
            <w:pPr>
              <w:pStyle w:val="yTable"/>
            </w:pPr>
            <w:r>
              <w:t>10A.</w:t>
            </w:r>
          </w:p>
        </w:tc>
        <w:tc>
          <w:tcPr>
            <w:tcW w:w="1612" w:type="dxa"/>
          </w:tcPr>
          <w:p>
            <w:pPr>
              <w:pStyle w:val="yTable"/>
            </w:pPr>
            <w:r>
              <w:t>Machete</w:t>
            </w:r>
          </w:p>
        </w:tc>
        <w:tc>
          <w:tcPr>
            <w:tcW w:w="4760" w:type="dxa"/>
          </w:tcPr>
          <w:p>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trPr>
          <w:cantSplit/>
        </w:trPr>
        <w:tc>
          <w:tcPr>
            <w:tcW w:w="869" w:type="dxa"/>
          </w:tcPr>
          <w:p>
            <w:pPr>
              <w:pStyle w:val="yTable"/>
            </w:pPr>
            <w:r>
              <w:t>11.</w:t>
            </w:r>
          </w:p>
        </w:tc>
        <w:tc>
          <w:tcPr>
            <w:tcW w:w="1612"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869" w:type="dxa"/>
          </w:tcPr>
          <w:p>
            <w:pPr>
              <w:pStyle w:val="yTable"/>
            </w:pPr>
            <w:r>
              <w:t>12.</w:t>
            </w:r>
          </w:p>
        </w:tc>
        <w:tc>
          <w:tcPr>
            <w:tcW w:w="1612"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869" w:type="dxa"/>
          </w:tcPr>
          <w:p>
            <w:pPr>
              <w:pStyle w:val="yTable"/>
            </w:pPr>
            <w:r>
              <w:t>13.</w:t>
            </w:r>
          </w:p>
        </w:tc>
        <w:tc>
          <w:tcPr>
            <w:tcW w:w="1612"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869" w:type="dxa"/>
          </w:tcPr>
          <w:p>
            <w:pPr>
              <w:pStyle w:val="yTable"/>
            </w:pPr>
            <w:r>
              <w:t>14.</w:t>
            </w:r>
          </w:p>
        </w:tc>
        <w:tc>
          <w:tcPr>
            <w:tcW w:w="1612" w:type="dxa"/>
          </w:tcPr>
          <w:p>
            <w:pPr>
              <w:pStyle w:val="yTable"/>
            </w:pPr>
            <w:r>
              <w:t>Sickle or scythe weapon</w:t>
            </w:r>
          </w:p>
        </w:tc>
        <w:tc>
          <w:tcPr>
            <w:tcW w:w="4760" w:type="dxa"/>
          </w:tcPr>
          <w:p>
            <w:pPr>
              <w:pStyle w:val="yTable"/>
            </w:pPr>
            <w:r>
              <w:t xml:space="preserve">A sickle or scythe made or modified to be used to injure or disable a person or as a martial arts weapon (e.g. the martial arts weapons known as the </w:t>
            </w:r>
            <w:smartTag w:uri="urn:schemas-microsoft-com:office:smarttags" w:element="place">
              <w:r>
                <w:t>kama</w:t>
              </w:r>
            </w:smartTag>
            <w:r>
              <w:t xml:space="preserve"> and kusarigama).</w:t>
            </w:r>
          </w:p>
        </w:tc>
      </w:tr>
      <w:tr>
        <w:trPr>
          <w:cantSplit/>
        </w:trPr>
        <w:tc>
          <w:tcPr>
            <w:tcW w:w="869" w:type="dxa"/>
          </w:tcPr>
          <w:p>
            <w:pPr>
              <w:pStyle w:val="yTable"/>
            </w:pPr>
            <w:r>
              <w:t>15.</w:t>
            </w:r>
          </w:p>
        </w:tc>
        <w:tc>
          <w:tcPr>
            <w:tcW w:w="1612" w:type="dxa"/>
          </w:tcPr>
          <w:p>
            <w:pPr>
              <w:pStyle w:val="yTable"/>
            </w:pPr>
            <w:r>
              <w:t>Spear</w:t>
            </w:r>
          </w:p>
        </w:tc>
        <w:tc>
          <w:tcPr>
            <w:tcW w:w="4760" w:type="dxa"/>
          </w:tcPr>
          <w:p>
            <w:pPr>
              <w:pStyle w:val="yTable"/>
            </w:pPr>
            <w:r>
              <w:t>Any spear (e.g. the martial arts weapon known as the yari).</w:t>
            </w:r>
          </w:p>
        </w:tc>
      </w:tr>
      <w:tr>
        <w:trPr>
          <w:cantSplit/>
        </w:trPr>
        <w:tc>
          <w:tcPr>
            <w:tcW w:w="869" w:type="dxa"/>
          </w:tcPr>
          <w:p>
            <w:pPr>
              <w:pStyle w:val="yTable"/>
            </w:pPr>
            <w:r>
              <w:t>16.</w:t>
            </w:r>
          </w:p>
        </w:tc>
        <w:tc>
          <w:tcPr>
            <w:tcW w:w="1612"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869" w:type="dxa"/>
          </w:tcPr>
          <w:p>
            <w:pPr>
              <w:pStyle w:val="yTable"/>
            </w:pPr>
            <w:r>
              <w:t>17.</w:t>
            </w:r>
          </w:p>
        </w:tc>
        <w:tc>
          <w:tcPr>
            <w:tcW w:w="1612"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869" w:type="dxa"/>
          </w:tcPr>
          <w:p>
            <w:pPr>
              <w:pStyle w:val="yTable"/>
            </w:pPr>
            <w:r>
              <w:t>18.</w:t>
            </w:r>
          </w:p>
        </w:tc>
        <w:tc>
          <w:tcPr>
            <w:tcW w:w="1612"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869" w:type="dxa"/>
          </w:tcPr>
          <w:p>
            <w:pPr>
              <w:pStyle w:val="yTable"/>
            </w:pPr>
            <w:r>
              <w:t>19.</w:t>
            </w:r>
          </w:p>
        </w:tc>
        <w:tc>
          <w:tcPr>
            <w:tcW w:w="1612"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869" w:type="dxa"/>
          </w:tcPr>
          <w:p>
            <w:pPr>
              <w:pStyle w:val="yTable"/>
            </w:pPr>
            <w:r>
              <w:t>20.</w:t>
            </w:r>
          </w:p>
        </w:tc>
        <w:tc>
          <w:tcPr>
            <w:tcW w:w="1612"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869" w:type="dxa"/>
          </w:tcPr>
          <w:p>
            <w:pPr>
              <w:pStyle w:val="yTable"/>
            </w:pPr>
            <w:r>
              <w:t>21.</w:t>
            </w:r>
          </w:p>
        </w:tc>
        <w:tc>
          <w:tcPr>
            <w:tcW w:w="1612"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869" w:type="dxa"/>
          </w:tcPr>
          <w:p>
            <w:pPr>
              <w:pStyle w:val="yTable"/>
            </w:pPr>
            <w:r>
              <w:t>22.</w:t>
            </w:r>
          </w:p>
        </w:tc>
        <w:tc>
          <w:tcPr>
            <w:tcW w:w="1612"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pPr>
      <w:r>
        <w:tab/>
        <w:t>[Schedule 2 amended in Gazette 1 Oct 2004 p. 4284; 11 Apr 2008 p. 1392; 8 Apr 2011 p. 1286; 29 Nov 2016 p. 5323.]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65" w:name="_Toc379277881"/>
      <w:bookmarkStart w:id="66" w:name="_Toc425248140"/>
      <w:bookmarkStart w:id="67" w:name="_Toc425248178"/>
      <w:bookmarkStart w:id="68" w:name="_Toc425248574"/>
      <w:bookmarkStart w:id="69" w:name="_Toc425248607"/>
      <w:bookmarkStart w:id="70" w:name="_Toc468113001"/>
      <w:bookmarkStart w:id="71" w:name="_Toc468113108"/>
      <w:bookmarkStart w:id="72" w:name="_Toc468113132"/>
      <w:r>
        <w:t>Notes</w:t>
      </w:r>
      <w:bookmarkEnd w:id="65"/>
      <w:bookmarkEnd w:id="66"/>
      <w:bookmarkEnd w:id="67"/>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Weapons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73" w:name="_Toc379277882"/>
      <w:bookmarkStart w:id="74" w:name="_Toc425248179"/>
      <w:bookmarkStart w:id="75" w:name="_Toc468113133"/>
      <w:r>
        <w:t>Compilation table</w:t>
      </w:r>
      <w:bookmarkEnd w:id="73"/>
      <w:bookmarkEnd w:id="74"/>
      <w:bookmarkEnd w:id="75"/>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ind w:left="51"/>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ind w:left="35"/>
              <w:rPr>
                <w:b/>
              </w:rPr>
            </w:pPr>
            <w:r>
              <w:rPr>
                <w:b/>
              </w:rPr>
              <w:t>Commencement</w:t>
            </w:r>
          </w:p>
        </w:tc>
      </w:tr>
      <w:tr>
        <w:trPr>
          <w:cantSplit/>
        </w:trPr>
        <w:tc>
          <w:tcPr>
            <w:tcW w:w="3119" w:type="dxa"/>
            <w:tcBorders>
              <w:top w:val="single" w:sz="8" w:space="0" w:color="auto"/>
            </w:tcBorders>
          </w:tcPr>
          <w:p>
            <w:pPr>
              <w:pStyle w:val="nTable"/>
              <w:spacing w:after="40"/>
              <w:ind w:right="113"/>
            </w:pPr>
            <w:r>
              <w:rPr>
                <w:i/>
              </w:rPr>
              <w:t>Weapons Regulations 1999</w:t>
            </w:r>
          </w:p>
        </w:tc>
        <w:tc>
          <w:tcPr>
            <w:tcW w:w="1276" w:type="dxa"/>
            <w:tcBorders>
              <w:top w:val="single" w:sz="8" w:space="0" w:color="auto"/>
            </w:tcBorders>
          </w:tcPr>
          <w:p>
            <w:pPr>
              <w:pStyle w:val="nTable"/>
              <w:spacing w:after="40"/>
              <w:ind w:left="51"/>
            </w:pPr>
            <w:r>
              <w:t>31 Aug 1999 p. 4225</w:t>
            </w:r>
            <w:r>
              <w:noBreakHyphen/>
              <w:t>32</w:t>
            </w:r>
          </w:p>
        </w:tc>
        <w:tc>
          <w:tcPr>
            <w:tcW w:w="2693" w:type="dxa"/>
            <w:tcBorders>
              <w:top w:val="single" w:sz="8" w:space="0" w:color="auto"/>
            </w:tcBorders>
          </w:tcPr>
          <w:p>
            <w:pPr>
              <w:pStyle w:val="nTable"/>
              <w:spacing w:after="40"/>
              <w:ind w:left="35"/>
            </w:pPr>
            <w:r>
              <w:t xml:space="preserve">1 Sep 1999 (see r. 2 and </w:t>
            </w:r>
            <w:r>
              <w:rPr>
                <w:i/>
              </w:rPr>
              <w:t>Gazette</w:t>
            </w:r>
            <w:r>
              <w:t xml:space="preserve"> 31 Aug 1999 p. 4235)</w:t>
            </w:r>
          </w:p>
        </w:tc>
      </w:tr>
      <w:tr>
        <w:trPr>
          <w:cantSplit/>
        </w:trPr>
        <w:tc>
          <w:tcPr>
            <w:tcW w:w="3119" w:type="dxa"/>
          </w:tcPr>
          <w:p>
            <w:pPr>
              <w:pStyle w:val="nTable"/>
              <w:spacing w:after="40"/>
              <w:ind w:right="113"/>
              <w:rPr>
                <w:i/>
              </w:rPr>
            </w:pPr>
            <w:r>
              <w:rPr>
                <w:i/>
              </w:rPr>
              <w:t>Weapons Amendment Regulations 2000</w:t>
            </w:r>
          </w:p>
        </w:tc>
        <w:tc>
          <w:tcPr>
            <w:tcW w:w="1276" w:type="dxa"/>
          </w:tcPr>
          <w:p>
            <w:pPr>
              <w:pStyle w:val="nTable"/>
              <w:spacing w:after="40"/>
              <w:ind w:left="51"/>
            </w:pPr>
            <w:r>
              <w:t>29 Feb 2000 p. 997</w:t>
            </w:r>
            <w:r>
              <w:noBreakHyphen/>
              <w:t>8</w:t>
            </w:r>
          </w:p>
        </w:tc>
        <w:tc>
          <w:tcPr>
            <w:tcW w:w="2693" w:type="dxa"/>
          </w:tcPr>
          <w:p>
            <w:pPr>
              <w:pStyle w:val="nTable"/>
              <w:spacing w:after="40"/>
              <w:ind w:left="35"/>
            </w:pPr>
            <w:r>
              <w:t>1 Mar 2000 (see r. 2)</w:t>
            </w:r>
          </w:p>
        </w:tc>
      </w:tr>
      <w:tr>
        <w:trPr>
          <w:cantSplit/>
        </w:trPr>
        <w:tc>
          <w:tcPr>
            <w:tcW w:w="3119" w:type="dxa"/>
          </w:tcPr>
          <w:p>
            <w:pPr>
              <w:pStyle w:val="nTable"/>
              <w:spacing w:after="40"/>
              <w:ind w:right="113"/>
              <w:rPr>
                <w:i/>
              </w:rPr>
            </w:pPr>
            <w:r>
              <w:rPr>
                <w:i/>
              </w:rPr>
              <w:t>Weapons Amendment Regulations (No. 2) 2000</w:t>
            </w:r>
          </w:p>
        </w:tc>
        <w:tc>
          <w:tcPr>
            <w:tcW w:w="1276" w:type="dxa"/>
          </w:tcPr>
          <w:p>
            <w:pPr>
              <w:pStyle w:val="nTable"/>
              <w:spacing w:after="40"/>
              <w:ind w:left="51"/>
            </w:pPr>
            <w:r>
              <w:t>10 Mar 2000 p. 1122</w:t>
            </w:r>
            <w:r>
              <w:noBreakHyphen/>
              <w:t>3</w:t>
            </w:r>
          </w:p>
        </w:tc>
        <w:tc>
          <w:tcPr>
            <w:tcW w:w="2693" w:type="dxa"/>
          </w:tcPr>
          <w:p>
            <w:pPr>
              <w:pStyle w:val="nTable"/>
              <w:spacing w:after="40"/>
              <w:ind w:left="35"/>
            </w:pPr>
            <w:r>
              <w:t>10 Mar 2000</w:t>
            </w:r>
          </w:p>
        </w:tc>
      </w:tr>
      <w:tr>
        <w:trPr>
          <w:cantSplit/>
        </w:trPr>
        <w:tc>
          <w:tcPr>
            <w:tcW w:w="3119" w:type="dxa"/>
          </w:tcPr>
          <w:p>
            <w:pPr>
              <w:pStyle w:val="nTable"/>
              <w:spacing w:after="40"/>
              <w:ind w:right="113"/>
              <w:rPr>
                <w:i/>
              </w:rPr>
            </w:pPr>
            <w:r>
              <w:rPr>
                <w:i/>
              </w:rPr>
              <w:t>Weapons Amendment Regulations (No. 3) 2000</w:t>
            </w:r>
          </w:p>
        </w:tc>
        <w:tc>
          <w:tcPr>
            <w:tcW w:w="1276" w:type="dxa"/>
          </w:tcPr>
          <w:p>
            <w:pPr>
              <w:pStyle w:val="nTable"/>
              <w:spacing w:after="40"/>
              <w:ind w:left="51"/>
            </w:pPr>
            <w:r>
              <w:t xml:space="preserve">9 Jun 2000 </w:t>
            </w:r>
            <w:r>
              <w:br/>
              <w:t>p. 2773</w:t>
            </w:r>
            <w:r>
              <w:noBreakHyphen/>
              <w:t>4</w:t>
            </w:r>
          </w:p>
        </w:tc>
        <w:tc>
          <w:tcPr>
            <w:tcW w:w="2693" w:type="dxa"/>
          </w:tcPr>
          <w:p>
            <w:pPr>
              <w:pStyle w:val="nTable"/>
              <w:spacing w:after="40"/>
              <w:ind w:left="35"/>
            </w:pPr>
            <w:r>
              <w:t xml:space="preserve">9 Jun 2000 </w:t>
            </w:r>
          </w:p>
        </w:tc>
      </w:tr>
      <w:tr>
        <w:trPr>
          <w:cantSplit/>
        </w:trPr>
        <w:tc>
          <w:tcPr>
            <w:tcW w:w="3119" w:type="dxa"/>
          </w:tcPr>
          <w:p>
            <w:pPr>
              <w:pStyle w:val="nTable"/>
              <w:spacing w:after="40"/>
              <w:ind w:right="113"/>
              <w:rPr>
                <w:i/>
              </w:rPr>
            </w:pPr>
            <w:r>
              <w:rPr>
                <w:i/>
              </w:rPr>
              <w:t>Weapons Amendment Regulations (No. 4) 2000</w:t>
            </w:r>
          </w:p>
        </w:tc>
        <w:tc>
          <w:tcPr>
            <w:tcW w:w="1276" w:type="dxa"/>
          </w:tcPr>
          <w:p>
            <w:pPr>
              <w:pStyle w:val="nTable"/>
              <w:spacing w:after="40"/>
              <w:ind w:left="51"/>
            </w:pPr>
            <w:r>
              <w:t xml:space="preserve">28 Jul 2000 </w:t>
            </w:r>
            <w:r>
              <w:br/>
              <w:t>p. 4027</w:t>
            </w:r>
          </w:p>
        </w:tc>
        <w:tc>
          <w:tcPr>
            <w:tcW w:w="2693" w:type="dxa"/>
          </w:tcPr>
          <w:p>
            <w:pPr>
              <w:pStyle w:val="nTable"/>
              <w:spacing w:after="40"/>
              <w:ind w:left="35"/>
            </w:pPr>
            <w:r>
              <w:t>28 Jul 2000</w:t>
            </w:r>
          </w:p>
        </w:tc>
      </w:tr>
      <w:tr>
        <w:trPr>
          <w:cantSplit/>
        </w:trPr>
        <w:tc>
          <w:tcPr>
            <w:tcW w:w="7088" w:type="dxa"/>
            <w:gridSpan w:val="3"/>
          </w:tcPr>
          <w:p>
            <w:pPr>
              <w:pStyle w:val="nTable"/>
              <w:spacing w:after="40"/>
              <w:ind w:left="51" w:right="113"/>
            </w:pPr>
            <w:r>
              <w:rPr>
                <w:b/>
              </w:rPr>
              <w:t xml:space="preserve">Reprint of the </w:t>
            </w:r>
            <w:r>
              <w:rPr>
                <w:b/>
                <w:i/>
              </w:rPr>
              <w:t>Weapons Regulations 1999</w:t>
            </w:r>
            <w:r>
              <w:rPr>
                <w:b/>
              </w:rPr>
              <w:t xml:space="preserve"> as at 18 May 2001 </w:t>
            </w:r>
            <w:r>
              <w:t>(includes amendments listed above)</w:t>
            </w:r>
          </w:p>
        </w:tc>
      </w:tr>
      <w:tr>
        <w:trPr>
          <w:cantSplit/>
        </w:trPr>
        <w:tc>
          <w:tcPr>
            <w:tcW w:w="3119" w:type="dxa"/>
          </w:tcPr>
          <w:p>
            <w:pPr>
              <w:pStyle w:val="nTable"/>
              <w:spacing w:after="40"/>
              <w:ind w:right="113"/>
              <w:rPr>
                <w:i/>
              </w:rPr>
            </w:pPr>
            <w:r>
              <w:rPr>
                <w:i/>
              </w:rPr>
              <w:t>Weapons Amendment Regulations 2004</w:t>
            </w:r>
          </w:p>
        </w:tc>
        <w:tc>
          <w:tcPr>
            <w:tcW w:w="1276" w:type="dxa"/>
          </w:tcPr>
          <w:p>
            <w:pPr>
              <w:pStyle w:val="nTable"/>
              <w:spacing w:after="40"/>
              <w:ind w:left="51"/>
            </w:pPr>
            <w:r>
              <w:t>1 Oct 2004 p. 4284</w:t>
            </w:r>
          </w:p>
        </w:tc>
        <w:tc>
          <w:tcPr>
            <w:tcW w:w="2693" w:type="dxa"/>
          </w:tcPr>
          <w:p>
            <w:pPr>
              <w:pStyle w:val="nTable"/>
              <w:spacing w:after="40"/>
              <w:ind w:left="35"/>
            </w:pPr>
            <w:r>
              <w:t>1 Oct 2004</w:t>
            </w:r>
          </w:p>
        </w:tc>
      </w:tr>
      <w:tr>
        <w:trPr>
          <w:cantSplit/>
        </w:trPr>
        <w:tc>
          <w:tcPr>
            <w:tcW w:w="3119" w:type="dxa"/>
          </w:tcPr>
          <w:p>
            <w:pPr>
              <w:pStyle w:val="nTable"/>
              <w:spacing w:after="40"/>
              <w:ind w:right="113"/>
              <w:rPr>
                <w:i/>
              </w:rPr>
            </w:pPr>
            <w:r>
              <w:rPr>
                <w:i/>
              </w:rPr>
              <w:t>Weapons Amendment Regulations (No. 2) 2006</w:t>
            </w:r>
          </w:p>
        </w:tc>
        <w:tc>
          <w:tcPr>
            <w:tcW w:w="1276" w:type="dxa"/>
          </w:tcPr>
          <w:p>
            <w:pPr>
              <w:pStyle w:val="nTable"/>
              <w:spacing w:after="40"/>
              <w:ind w:left="51"/>
            </w:pPr>
            <w:r>
              <w:t>12 Sep 2006 p. 3665</w:t>
            </w:r>
            <w:r>
              <w:noBreakHyphen/>
              <w:t>6</w:t>
            </w:r>
          </w:p>
        </w:tc>
        <w:tc>
          <w:tcPr>
            <w:tcW w:w="2693" w:type="dxa"/>
          </w:tcPr>
          <w:p>
            <w:pPr>
              <w:pStyle w:val="nTable"/>
              <w:spacing w:after="40"/>
              <w:ind w:left="35"/>
            </w:pPr>
            <w:r>
              <w:t>12 Sep 2006</w:t>
            </w:r>
          </w:p>
        </w:tc>
      </w:tr>
      <w:tr>
        <w:trPr>
          <w:cantSplit/>
        </w:trPr>
        <w:tc>
          <w:tcPr>
            <w:tcW w:w="3119" w:type="dxa"/>
          </w:tcPr>
          <w:p>
            <w:pPr>
              <w:pStyle w:val="nTable"/>
              <w:spacing w:after="40"/>
              <w:ind w:right="113"/>
              <w:rPr>
                <w:i/>
              </w:rPr>
            </w:pPr>
            <w:r>
              <w:rPr>
                <w:i/>
              </w:rPr>
              <w:t>Weapons Amendment Regulations 2007</w:t>
            </w:r>
          </w:p>
        </w:tc>
        <w:tc>
          <w:tcPr>
            <w:tcW w:w="1276" w:type="dxa"/>
          </w:tcPr>
          <w:p>
            <w:pPr>
              <w:pStyle w:val="nTable"/>
              <w:spacing w:after="40"/>
              <w:ind w:left="51"/>
            </w:pPr>
            <w:r>
              <w:t>11 Sep 2007 p. 4613</w:t>
            </w:r>
          </w:p>
        </w:tc>
        <w:tc>
          <w:tcPr>
            <w:tcW w:w="2693" w:type="dxa"/>
          </w:tcPr>
          <w:p>
            <w:pPr>
              <w:pStyle w:val="nTable"/>
              <w:spacing w:after="40"/>
              <w:ind w:left="35"/>
            </w:pPr>
            <w:r>
              <w:t>r. 1 and 2: 11 Sep 2007 (see r. 2(a));</w:t>
            </w:r>
            <w:r>
              <w:br/>
              <w:t>Regulations other than r. 1 and 2: 12 Sep 2007 (see r. 2(b))</w:t>
            </w:r>
          </w:p>
        </w:tc>
      </w:tr>
      <w:tr>
        <w:trPr>
          <w:cantSplit/>
        </w:trPr>
        <w:tc>
          <w:tcPr>
            <w:tcW w:w="3119" w:type="dxa"/>
          </w:tcPr>
          <w:p>
            <w:pPr>
              <w:pStyle w:val="nTable"/>
              <w:spacing w:after="40"/>
              <w:ind w:right="113"/>
              <w:rPr>
                <w:i/>
              </w:rPr>
            </w:pPr>
            <w:r>
              <w:rPr>
                <w:i/>
              </w:rPr>
              <w:t>Weapons Amendment Regulations 2008</w:t>
            </w:r>
          </w:p>
        </w:tc>
        <w:tc>
          <w:tcPr>
            <w:tcW w:w="1276" w:type="dxa"/>
          </w:tcPr>
          <w:p>
            <w:pPr>
              <w:pStyle w:val="nTable"/>
              <w:spacing w:after="40"/>
              <w:ind w:left="51"/>
            </w:pPr>
            <w:r>
              <w:t>29 Feb 2008 p. 692</w:t>
            </w:r>
            <w:r>
              <w:noBreakHyphen/>
              <w:t>3</w:t>
            </w:r>
          </w:p>
        </w:tc>
        <w:tc>
          <w:tcPr>
            <w:tcW w:w="2693" w:type="dxa"/>
          </w:tcPr>
          <w:p>
            <w:pPr>
              <w:pStyle w:val="nTable"/>
              <w:spacing w:after="40"/>
              <w:ind w:left="35"/>
            </w:pPr>
            <w:r>
              <w:rPr>
                <w:snapToGrid w:val="0"/>
              </w:rPr>
              <w:t>r. 1 and 2: 29 Feb 2008 (see r. 2(a));</w:t>
            </w:r>
            <w:r>
              <w:rPr>
                <w:snapToGrid w:val="0"/>
              </w:rPr>
              <w:br/>
              <w:t>Regulations other than r. 1 and 2: 1 Mar 2008 (see r. 2(b))</w:t>
            </w:r>
          </w:p>
        </w:tc>
      </w:tr>
      <w:tr>
        <w:trPr>
          <w:cantSplit/>
        </w:trPr>
        <w:tc>
          <w:tcPr>
            <w:tcW w:w="3119" w:type="dxa"/>
          </w:tcPr>
          <w:p>
            <w:pPr>
              <w:pStyle w:val="nTable"/>
              <w:spacing w:after="40"/>
              <w:ind w:right="113"/>
              <w:rPr>
                <w:i/>
              </w:rPr>
            </w:pPr>
            <w:r>
              <w:rPr>
                <w:i/>
              </w:rPr>
              <w:t>Weapons Amendment Regulations (No. 2) 2008</w:t>
            </w:r>
          </w:p>
        </w:tc>
        <w:tc>
          <w:tcPr>
            <w:tcW w:w="1276" w:type="dxa"/>
          </w:tcPr>
          <w:p>
            <w:pPr>
              <w:pStyle w:val="nTable"/>
              <w:spacing w:after="40"/>
              <w:ind w:left="51"/>
            </w:pPr>
            <w:r>
              <w:t>11 Apr 2008 p. 1392</w:t>
            </w:r>
          </w:p>
        </w:tc>
        <w:tc>
          <w:tcPr>
            <w:tcW w:w="2693" w:type="dxa"/>
          </w:tcPr>
          <w:p>
            <w:pPr>
              <w:pStyle w:val="nTable"/>
              <w:spacing w:after="40"/>
              <w:ind w:left="35"/>
              <w:rPr>
                <w:snapToGrid w:val="0"/>
              </w:rPr>
            </w:pPr>
            <w:r>
              <w:rPr>
                <w:snapToGrid w:val="0"/>
              </w:rPr>
              <w:t>r. 1 and 2: 11 Apr 2008 (see r. 2(a));</w:t>
            </w:r>
            <w:r>
              <w:rPr>
                <w:snapToGrid w:val="0"/>
              </w:rPr>
              <w:br/>
              <w:t>Regulations other than r. 1 and 2: 12 Apr 2008 (see r. 2(b))</w:t>
            </w:r>
          </w:p>
        </w:tc>
      </w:tr>
      <w:tr>
        <w:trPr>
          <w:cantSplit/>
        </w:trPr>
        <w:tc>
          <w:tcPr>
            <w:tcW w:w="7088" w:type="dxa"/>
            <w:gridSpan w:val="3"/>
          </w:tcPr>
          <w:p>
            <w:pPr>
              <w:pStyle w:val="nTable"/>
              <w:spacing w:after="40"/>
              <w:ind w:left="35"/>
              <w:rPr>
                <w:snapToGrid w:val="0"/>
              </w:rPr>
            </w:pPr>
            <w:r>
              <w:rPr>
                <w:b/>
              </w:rPr>
              <w:t xml:space="preserve">Reprint 2:  The </w:t>
            </w:r>
            <w:r>
              <w:rPr>
                <w:b/>
                <w:i/>
              </w:rPr>
              <w:t>Weapons Regulations 1999</w:t>
            </w:r>
            <w:r>
              <w:rPr>
                <w:b/>
              </w:rPr>
              <w:t xml:space="preserve"> as at 4 Jul 2008 </w:t>
            </w:r>
            <w:r>
              <w:t>(includes amendments listed above)</w:t>
            </w:r>
          </w:p>
        </w:tc>
      </w:tr>
      <w:tr>
        <w:trPr>
          <w:cantSplit/>
        </w:trPr>
        <w:tc>
          <w:tcPr>
            <w:tcW w:w="3119" w:type="dxa"/>
          </w:tcPr>
          <w:p>
            <w:pPr>
              <w:pStyle w:val="nTable"/>
              <w:spacing w:after="40"/>
              <w:ind w:right="113"/>
              <w:rPr>
                <w:i/>
              </w:rPr>
            </w:pPr>
            <w:r>
              <w:rPr>
                <w:i/>
              </w:rPr>
              <w:t>Weapons Amendment Regulations 2010</w:t>
            </w:r>
          </w:p>
        </w:tc>
        <w:tc>
          <w:tcPr>
            <w:tcW w:w="1276" w:type="dxa"/>
          </w:tcPr>
          <w:p>
            <w:pPr>
              <w:pStyle w:val="nTable"/>
              <w:spacing w:after="40"/>
              <w:ind w:left="51"/>
            </w:pPr>
            <w:r>
              <w:t>12 Mar 2010 p. 953</w:t>
            </w:r>
          </w:p>
        </w:tc>
        <w:tc>
          <w:tcPr>
            <w:tcW w:w="2693" w:type="dxa"/>
          </w:tcPr>
          <w:p>
            <w:pPr>
              <w:pStyle w:val="nTable"/>
              <w:spacing w:after="40"/>
              <w:ind w:left="35"/>
              <w:rPr>
                <w:snapToGrid w:val="0"/>
              </w:rPr>
            </w:pPr>
            <w:r>
              <w:rPr>
                <w:snapToGrid w:val="0"/>
              </w:rPr>
              <w:t>r. 1 and 2: 12 Mar 2010 (see r. 2(a));</w:t>
            </w:r>
            <w:r>
              <w:rPr>
                <w:snapToGrid w:val="0"/>
              </w:rPr>
              <w:br/>
              <w:t>Regulations other than r. 1 and 2: 13 Mar 2010 (see r. 2(b))</w:t>
            </w:r>
          </w:p>
        </w:tc>
      </w:tr>
      <w:tr>
        <w:trPr>
          <w:cantSplit/>
        </w:trPr>
        <w:tc>
          <w:tcPr>
            <w:tcW w:w="3119" w:type="dxa"/>
          </w:tcPr>
          <w:p>
            <w:pPr>
              <w:pStyle w:val="nTable"/>
              <w:spacing w:after="40"/>
              <w:ind w:right="113"/>
              <w:rPr>
                <w:i/>
              </w:rPr>
            </w:pPr>
            <w:r>
              <w:rPr>
                <w:i/>
              </w:rPr>
              <w:t>Weapons Amendment Regulations 2011</w:t>
            </w:r>
            <w:r>
              <w:t xml:space="preserve"> </w:t>
            </w:r>
          </w:p>
        </w:tc>
        <w:tc>
          <w:tcPr>
            <w:tcW w:w="1276" w:type="dxa"/>
          </w:tcPr>
          <w:p>
            <w:pPr>
              <w:pStyle w:val="nTable"/>
              <w:spacing w:after="40"/>
              <w:ind w:left="51"/>
            </w:pPr>
            <w:r>
              <w:t>8 Apr 2011 p. 1282</w:t>
            </w:r>
            <w:r>
              <w:noBreakHyphen/>
              <w:t>6</w:t>
            </w:r>
          </w:p>
        </w:tc>
        <w:tc>
          <w:tcPr>
            <w:tcW w:w="2693" w:type="dxa"/>
          </w:tcPr>
          <w:p>
            <w:pPr>
              <w:pStyle w:val="nTable"/>
              <w:spacing w:after="40"/>
              <w:ind w:left="35"/>
              <w:rPr>
                <w:snapToGrid w:val="0"/>
              </w:rPr>
            </w:pPr>
            <w:r>
              <w:t>r. 1 and 2: 8 Apr 2011 (see r. 2(a));</w:t>
            </w:r>
            <w:r>
              <w:br/>
              <w:t>Regulations other than r. 1 and 2: 1 Jul 2011 (see r. 2(b))</w:t>
            </w:r>
          </w:p>
        </w:tc>
      </w:tr>
      <w:tr>
        <w:trPr>
          <w:cantSplit/>
        </w:trPr>
        <w:tc>
          <w:tcPr>
            <w:tcW w:w="3119" w:type="dxa"/>
          </w:tcPr>
          <w:p>
            <w:pPr>
              <w:pStyle w:val="nTable"/>
              <w:spacing w:after="40"/>
              <w:ind w:right="113"/>
              <w:rPr>
                <w:i/>
              </w:rPr>
            </w:pPr>
            <w:r>
              <w:rPr>
                <w:i/>
              </w:rPr>
              <w:t>Weapons Amendment Regulations (No. 2) 2011</w:t>
            </w:r>
          </w:p>
        </w:tc>
        <w:tc>
          <w:tcPr>
            <w:tcW w:w="1276" w:type="dxa"/>
          </w:tcPr>
          <w:p>
            <w:pPr>
              <w:pStyle w:val="nTable"/>
              <w:spacing w:after="40"/>
              <w:ind w:left="51"/>
            </w:pPr>
            <w:r>
              <w:t>16 Sep 2011 p. 3768</w:t>
            </w:r>
            <w:r>
              <w:noBreakHyphen/>
              <w:t>9</w:t>
            </w:r>
          </w:p>
        </w:tc>
        <w:tc>
          <w:tcPr>
            <w:tcW w:w="2693" w:type="dxa"/>
          </w:tcPr>
          <w:p>
            <w:pPr>
              <w:pStyle w:val="nTable"/>
              <w:spacing w:after="40"/>
              <w:ind w:left="35"/>
            </w:pPr>
            <w:r>
              <w:t>r. 1 and 2: 16 Sep 2011 (see r. 2(a));</w:t>
            </w:r>
            <w:r>
              <w:br/>
              <w:t>Regulations other than r. 1 and 2: 17 Sep 2011 (see r. 2(b))</w:t>
            </w:r>
          </w:p>
        </w:tc>
      </w:tr>
      <w:tr>
        <w:trPr>
          <w:cantSplit/>
        </w:trPr>
        <w:tc>
          <w:tcPr>
            <w:tcW w:w="3119" w:type="dxa"/>
          </w:tcPr>
          <w:p>
            <w:pPr>
              <w:pStyle w:val="nTable"/>
              <w:spacing w:after="40"/>
              <w:ind w:right="113"/>
              <w:rPr>
                <w:i/>
              </w:rPr>
            </w:pPr>
            <w:r>
              <w:rPr>
                <w:i/>
              </w:rPr>
              <w:t>Weapons Amendment Regulations 2012</w:t>
            </w:r>
          </w:p>
        </w:tc>
        <w:tc>
          <w:tcPr>
            <w:tcW w:w="1276" w:type="dxa"/>
          </w:tcPr>
          <w:p>
            <w:pPr>
              <w:pStyle w:val="nTable"/>
              <w:spacing w:after="40"/>
              <w:ind w:left="51"/>
            </w:pPr>
            <w:r>
              <w:t>13 Mar 2012 p. 1037-9</w:t>
            </w:r>
          </w:p>
        </w:tc>
        <w:tc>
          <w:tcPr>
            <w:tcW w:w="2693" w:type="dxa"/>
          </w:tcPr>
          <w:p>
            <w:pPr>
              <w:pStyle w:val="nTable"/>
              <w:spacing w:after="40"/>
              <w:ind w:left="35"/>
            </w:pPr>
            <w:r>
              <w:t>r. 1 and 2: 13 Mar 2012 (see r. 2(a));</w:t>
            </w:r>
            <w:r>
              <w:br/>
              <w:t>Regulations other than r. 1 and 2: 14 Mar 2012 (see r. 2(b))</w:t>
            </w:r>
          </w:p>
        </w:tc>
      </w:tr>
      <w:tr>
        <w:trPr>
          <w:cantSplit/>
        </w:trPr>
        <w:tc>
          <w:tcPr>
            <w:tcW w:w="7088" w:type="dxa"/>
            <w:gridSpan w:val="3"/>
            <w:shd w:val="clear" w:color="auto" w:fill="auto"/>
          </w:tcPr>
          <w:p>
            <w:pPr>
              <w:pStyle w:val="nTable"/>
              <w:spacing w:after="40"/>
              <w:ind w:left="35"/>
            </w:pPr>
            <w:r>
              <w:rPr>
                <w:b/>
              </w:rPr>
              <w:t xml:space="preserve">Reprint 3:  The </w:t>
            </w:r>
            <w:r>
              <w:rPr>
                <w:b/>
                <w:i/>
              </w:rPr>
              <w:t>Weapons Regulations 1999</w:t>
            </w:r>
            <w:r>
              <w:rPr>
                <w:b/>
              </w:rPr>
              <w:t xml:space="preserve"> as at 22 Jun 2012 </w:t>
            </w:r>
            <w:r>
              <w:t>(includes amendments listed above)</w:t>
            </w:r>
          </w:p>
        </w:tc>
      </w:tr>
      <w:tr>
        <w:trPr>
          <w:cantSplit/>
        </w:trPr>
        <w:tc>
          <w:tcPr>
            <w:tcW w:w="3119" w:type="dxa"/>
            <w:tcBorders>
              <w:bottom w:val="single" w:sz="4" w:space="0" w:color="auto"/>
            </w:tcBorders>
          </w:tcPr>
          <w:p>
            <w:pPr>
              <w:pStyle w:val="nTable"/>
              <w:spacing w:after="40"/>
              <w:ind w:right="113"/>
            </w:pPr>
            <w:r>
              <w:rPr>
                <w:i/>
              </w:rPr>
              <w:t>Police Regulations Amendment (Captive Bolt Guns) Regulations 2016</w:t>
            </w:r>
            <w:r>
              <w:t xml:space="preserve"> Pt. 3</w:t>
            </w:r>
          </w:p>
        </w:tc>
        <w:tc>
          <w:tcPr>
            <w:tcW w:w="1276" w:type="dxa"/>
            <w:tcBorders>
              <w:bottom w:val="single" w:sz="4" w:space="0" w:color="auto"/>
            </w:tcBorders>
          </w:tcPr>
          <w:p>
            <w:pPr>
              <w:pStyle w:val="nTable"/>
              <w:spacing w:after="40"/>
              <w:ind w:left="51"/>
            </w:pPr>
            <w:r>
              <w:t>29 Nov 2016 p. 5322</w:t>
            </w:r>
            <w:r>
              <w:noBreakHyphen/>
              <w:t>3</w:t>
            </w:r>
          </w:p>
        </w:tc>
        <w:tc>
          <w:tcPr>
            <w:tcW w:w="2693" w:type="dxa"/>
            <w:tcBorders>
              <w:bottom w:val="single" w:sz="4" w:space="0" w:color="auto"/>
            </w:tcBorders>
          </w:tcPr>
          <w:p>
            <w:pPr>
              <w:pStyle w:val="nTable"/>
              <w:spacing w:after="40"/>
              <w:ind w:left="35"/>
            </w:pPr>
            <w:r>
              <w:t>30 Nov 2016 (see r. 2(b))</w:t>
            </w:r>
          </w:p>
        </w:tc>
      </w:tr>
    </w:tbl>
    <w:p>
      <w:pPr>
        <w:rPr>
          <w:iCs/>
        </w:rPr>
      </w:pPr>
    </w:p>
    <w:p>
      <w:pPr>
        <w:rPr>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77" w:name="_Toc468113003"/>
      <w:bookmarkStart w:id="78" w:name="_Toc468113110"/>
      <w:bookmarkStart w:id="79" w:name="_Toc468113134"/>
      <w:r>
        <w:rPr>
          <w:sz w:val="28"/>
        </w:rPr>
        <w:t>Defined terms</w:t>
      </w:r>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electric shock case</w:t>
      </w:r>
      <w:r>
        <w:tab/>
        <w:t>3</w:t>
      </w:r>
    </w:p>
    <w:p>
      <w:pPr>
        <w:pStyle w:val="DefinedTerms"/>
      </w:pPr>
      <w:r>
        <w:t>Archery Australia (Inc.) member</w:t>
      </w:r>
      <w:r>
        <w:tab/>
        <w:t>14(1)</w:t>
      </w:r>
    </w:p>
    <w:p>
      <w:pPr>
        <w:pStyle w:val="DefinedTerms"/>
      </w:pPr>
      <w:r>
        <w:t>baton</w:t>
      </w:r>
      <w:r>
        <w:tab/>
        <w:t>3</w:t>
      </w:r>
    </w:p>
    <w:p>
      <w:pPr>
        <w:pStyle w:val="DefinedTerms"/>
      </w:pPr>
      <w:r>
        <w:t>catapult</w:t>
      </w:r>
      <w:r>
        <w:tab/>
        <w:t>3</w:t>
      </w:r>
    </w:p>
    <w:p>
      <w:pPr>
        <w:pStyle w:val="DefinedTerms"/>
      </w:pPr>
      <w:r>
        <w:t>crossbow</w:t>
      </w:r>
      <w:r>
        <w:tab/>
        <w:t>14(1), 15(1)</w:t>
      </w:r>
    </w:p>
    <w:p>
      <w:pPr>
        <w:pStyle w:val="DefinedTerms"/>
      </w:pPr>
      <w:r>
        <w:t>discharge</w:t>
      </w:r>
      <w:r>
        <w:tab/>
        <w:t>3</w:t>
      </w:r>
    </w:p>
    <w:p>
      <w:pPr>
        <w:pStyle w:val="DefinedTerms"/>
      </w:pPr>
      <w:r>
        <w:t>dramatic production</w:t>
      </w:r>
      <w:r>
        <w:tab/>
        <w:t>13(1)</w:t>
      </w:r>
    </w:p>
    <w:p>
      <w:pPr>
        <w:pStyle w:val="DefinedTerms"/>
      </w:pPr>
      <w:r>
        <w:t>exempt arbalest</w:t>
      </w:r>
      <w:r>
        <w:tab/>
        <w:t>14(1)</w:t>
      </w:r>
    </w:p>
    <w:p>
      <w:pPr>
        <w:pStyle w:val="DefinedTerms"/>
      </w:pPr>
      <w:r>
        <w:t>exempt collector</w:t>
      </w:r>
      <w:r>
        <w:tab/>
        <w:t>9(6)</w:t>
      </w:r>
    </w:p>
    <w:p>
      <w:pPr>
        <w:pStyle w:val="DefinedTerms"/>
      </w:pPr>
      <w:r>
        <w:t>exempt event</w:t>
      </w:r>
      <w:r>
        <w:tab/>
        <w:t>11(1)</w:t>
      </w:r>
    </w:p>
    <w:p>
      <w:pPr>
        <w:pStyle w:val="DefinedTerms"/>
      </w:pPr>
      <w:r>
        <w:t>exempt person</w:t>
      </w:r>
      <w:r>
        <w:tab/>
        <w:t>15(1)</w:t>
      </w:r>
    </w:p>
    <w:p>
      <w:pPr>
        <w:pStyle w:val="DefinedTerms"/>
      </w:pPr>
      <w:r>
        <w:t>exempt production</w:t>
      </w:r>
      <w:r>
        <w:tab/>
        <w:t>13(1)</w:t>
      </w:r>
    </w:p>
    <w:p>
      <w:pPr>
        <w:pStyle w:val="DefinedTerms"/>
      </w:pPr>
      <w:r>
        <w:t>exemption notice</w:t>
      </w:r>
      <w:r>
        <w:tab/>
        <w:t>13(1)</w:t>
      </w:r>
    </w:p>
    <w:p>
      <w:pPr>
        <w:pStyle w:val="DefinedTerms"/>
      </w:pPr>
      <w:r>
        <w:t>extendable baton</w:t>
      </w:r>
      <w:r>
        <w:tab/>
        <w:t>8(2)</w:t>
      </w:r>
    </w:p>
    <w:p>
      <w:pPr>
        <w:pStyle w:val="DefinedTerms"/>
      </w:pPr>
      <w:r>
        <w:t>injure or disable</w:t>
      </w:r>
      <w:r>
        <w:tab/>
        <w:t>3</w:t>
      </w:r>
    </w:p>
    <w:p>
      <w:pPr>
        <w:pStyle w:val="DefinedTerms"/>
      </w:pPr>
      <w:r>
        <w:t>martial arts weapon</w:t>
      </w:r>
      <w:r>
        <w:tab/>
        <w:t>3</w:t>
      </w:r>
    </w:p>
    <w:p>
      <w:pPr>
        <w:pStyle w:val="DefinedTerms"/>
      </w:pPr>
      <w:r>
        <w:t>missile</w:t>
      </w:r>
      <w:r>
        <w:tab/>
        <w:t>3</w:t>
      </w:r>
    </w:p>
    <w:p>
      <w:pPr>
        <w:pStyle w:val="DefinedTerms"/>
      </w:pPr>
      <w:r>
        <w:t>participant</w:t>
      </w:r>
      <w:r>
        <w:tab/>
        <w:t>11(1)</w:t>
      </w:r>
    </w:p>
    <w:p>
      <w:pPr>
        <w:pStyle w:val="DefinedTerms"/>
      </w:pPr>
      <w:r>
        <w:t>possess</w:t>
      </w:r>
      <w:r>
        <w:tab/>
        <w:t>11(1)</w:t>
      </w:r>
    </w:p>
    <w:p>
      <w:pPr>
        <w:pStyle w:val="DefinedTerms"/>
      </w:pPr>
      <w:r>
        <w:t>relevant date</w:t>
      </w:r>
      <w:r>
        <w:tab/>
        <w:t>9(6)</w:t>
      </w:r>
    </w:p>
    <w:p>
      <w:pPr>
        <w:pStyle w:val="DefinedTerms"/>
      </w:pPr>
      <w:r>
        <w:t>specified prohibited weapon</w:t>
      </w:r>
      <w:r>
        <w:tab/>
        <w:t>9(6)</w:t>
      </w:r>
    </w:p>
    <w:p>
      <w:pPr>
        <w:pStyle w:val="DefinedTerms"/>
      </w:pPr>
      <w:r>
        <w:t>specified weapon</w:t>
      </w:r>
      <w:r>
        <w:tab/>
        <w:t>13(1)</w:t>
      </w:r>
    </w:p>
    <w:p>
      <w:pPr>
        <w:pStyle w:val="DefinedTerms"/>
      </w:pPr>
      <w:r>
        <w:t>spray weapon</w:t>
      </w:r>
      <w:r>
        <w:tab/>
        <w:t>3</w:t>
      </w:r>
    </w:p>
    <w:p>
      <w:pPr>
        <w:pStyle w:val="DefinedTerms"/>
      </w:pPr>
      <w:r>
        <w:t>WA Disabled Sports Association (Inc.) member</w:t>
      </w:r>
      <w:r>
        <w:tab/>
        <w:t>11(1)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3502E6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515"/>
    <w:docVar w:name="WAFER_20140204112721" w:val="RemoveTocBookmarks,RemoveUnusedBookmarks,RemoveLanguageTags,UsedStyles,ResetPageSize,UpdateArrangement"/>
    <w:docVar w:name="WAFER_20140204112721_GUID" w:val="4c27e51d-adde-4820-94f2-1550f495929b"/>
    <w:docVar w:name="WAFER_20140204114405" w:val="RemoveTocBookmarks,RunningHeaders"/>
    <w:docVar w:name="WAFER_20140204114405_GUID" w:val="ed82006a-d179-4c02-9885-8e94f3a1b67a"/>
    <w:docVar w:name="WAFER_20150721125436" w:val="ResetPageSize,UpdateArrangement,UpdateNTable"/>
    <w:docVar w:name="WAFER_20150721125436_GUID" w:val="83fc8f45-9741-440f-a790-5b1842da732f"/>
    <w:docVar w:name="WAFER_20151112113515" w:val="UpdateStyles,UsedStyles"/>
    <w:docVar w:name="WAFER_20151112113515_GUID" w:val="efb89817-ea62-4bbe-8424-718f85540f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5629</Words>
  <Characters>25894</Characters>
  <Application>Microsoft Office Word</Application>
  <DocSecurity>0</DocSecurity>
  <Lines>892</Lines>
  <Paragraphs>562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1999 - 03-b0-00</dc:title>
  <dc:subject/>
  <dc:creator/>
  <cp:keywords/>
  <dc:description/>
  <cp:lastModifiedBy>svcMRProcess</cp:lastModifiedBy>
  <cp:revision>4</cp:revision>
  <cp:lastPrinted>2012-06-26T01:36:00Z</cp:lastPrinted>
  <dcterms:created xsi:type="dcterms:W3CDTF">2016-11-28T08:24:00Z</dcterms:created>
  <dcterms:modified xsi:type="dcterms:W3CDTF">2016-11-28T08:24:00Z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DocumentType">
    <vt:lpwstr>Reg</vt:lpwstr>
  </property>
  <property fmtid="{D5CDD505-2E9C-101B-9397-08002B2CF9AE}" pid="4" name="OwlsUID">
    <vt:i4>616</vt:i4>
  </property>
  <property fmtid="{D5CDD505-2E9C-101B-9397-08002B2CF9AE}" pid="5" name="ReprintNo">
    <vt:lpwstr>3</vt:lpwstr>
  </property>
  <property fmtid="{D5CDD505-2E9C-101B-9397-08002B2CF9AE}" pid="6" name="ReprintedAsAt">
    <vt:filetime>2012-06-21T16:00:00Z</vt:filetime>
  </property>
  <property fmtid="{D5CDD505-2E9C-101B-9397-08002B2CF9AE}" pid="7" name="AsAtDate">
    <vt:lpwstr>30 Nov 2016</vt:lpwstr>
  </property>
  <property fmtid="{D5CDD505-2E9C-101B-9397-08002B2CF9AE}" pid="8" name="Suffix">
    <vt:lpwstr>03-b0-00</vt:lpwstr>
  </property>
  <property fmtid="{D5CDD505-2E9C-101B-9397-08002B2CF9AE}" pid="9" name="CommencementDate">
    <vt:lpwstr>20161130</vt:lpwstr>
  </property>
</Properties>
</file>