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(Fees)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_Toc139273587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_Toc139273588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_Toc139273589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_Toc139273590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_Toc139273591 \h </w:instrText>
      </w:r>
      <w:r>
        <w:fldChar w:fldCharType="separate"/>
      </w:r>
      <w:r>
        <w:t>5</w:t>
      </w:r>
      <w:r>
        <w:fldChar w:fldCharType="end"/>
      </w:r>
    </w:p>
    <w:p>
      <w:pPr>
        <w:pStyle w:val="TOC8"/>
        <w:rPr>
          <w:sz w:val="24"/>
          <w:szCs w:val="24"/>
        </w:rPr>
      </w:pPr>
      <w:r>
        <w:rPr>
          <w:szCs w:val="24"/>
        </w:rPr>
        <w:t>5A.</w:t>
      </w:r>
      <w:r>
        <w:rPr>
          <w:szCs w:val="24"/>
        </w:rPr>
        <w:tab/>
        <w:t>Disputes regarding fees</w:t>
      </w:r>
      <w:r>
        <w:tab/>
      </w:r>
      <w:r>
        <w:fldChar w:fldCharType="begin"/>
      </w:r>
      <w:r>
        <w:instrText xml:space="preserve"> PAGEREF _Toc139273592 \h </w:instrText>
      </w:r>
      <w:r>
        <w:fldChar w:fldCharType="separate"/>
      </w:r>
      <w:r>
        <w:t>5</w:t>
      </w:r>
      <w:r>
        <w:fldChar w:fldCharType="end"/>
      </w:r>
    </w:p>
    <w:p>
      <w:pPr>
        <w:pStyle w:val="TOC8"/>
        <w:rPr>
          <w:sz w:val="24"/>
          <w:szCs w:val="24"/>
        </w:rPr>
      </w:pPr>
      <w:r>
        <w:rPr>
          <w:szCs w:val="24"/>
        </w:rPr>
        <w:t>6.</w:t>
      </w:r>
      <w:r>
        <w:rPr>
          <w:szCs w:val="24"/>
        </w:rPr>
        <w:tab/>
        <w:t>F</w:t>
      </w:r>
      <w:r>
        <w:rPr>
          <w:snapToGrid w:val="0"/>
          <w:szCs w:val="24"/>
        </w:rPr>
        <w:t>ees to be paid before documents etc. filed</w:t>
      </w:r>
      <w:r>
        <w:tab/>
      </w:r>
      <w:r>
        <w:fldChar w:fldCharType="begin"/>
      </w:r>
      <w:r>
        <w:instrText xml:space="preserve"> PAGEREF _Toc139273593 \h </w:instrText>
      </w:r>
      <w:r>
        <w:fldChar w:fldCharType="separate"/>
      </w:r>
      <w:r>
        <w:t>5</w:t>
      </w:r>
      <w:r>
        <w:fldChar w:fldCharType="end"/>
      </w:r>
    </w:p>
    <w:p>
      <w:pPr>
        <w:pStyle w:val="TOC8"/>
        <w:rPr>
          <w:sz w:val="24"/>
          <w:szCs w:val="24"/>
        </w:rPr>
      </w:pPr>
      <w:r>
        <w:rPr>
          <w:szCs w:val="24"/>
        </w:rPr>
        <w:t>7.</w:t>
      </w:r>
      <w:r>
        <w:rPr>
          <w:szCs w:val="24"/>
        </w:rPr>
        <w:tab/>
      </w:r>
      <w:r>
        <w:rPr>
          <w:snapToGrid w:val="0"/>
          <w:szCs w:val="24"/>
        </w:rPr>
        <w:t>Court or Registrar may remit fees</w:t>
      </w:r>
      <w:r>
        <w:tab/>
      </w:r>
      <w:r>
        <w:fldChar w:fldCharType="begin"/>
      </w:r>
      <w:r>
        <w:instrText xml:space="preserve"> PAGEREF _Toc139273594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Conventions</w:t>
      </w:r>
      <w:r>
        <w:tab/>
      </w:r>
      <w:r>
        <w:fldChar w:fldCharType="begin"/>
      </w:r>
      <w:r>
        <w:instrText xml:space="preserve"> PAGEREF _Toc139273595 \h </w:instrText>
      </w:r>
      <w:r>
        <w:fldChar w:fldCharType="separate"/>
      </w:r>
      <w:r>
        <w:t>8</w:t>
      </w:r>
      <w:r>
        <w:fldChar w:fldCharType="end"/>
      </w:r>
    </w:p>
    <w:p>
      <w:pPr>
        <w:pStyle w:val="TOC8"/>
        <w:rPr>
          <w:sz w:val="24"/>
          <w:szCs w:val="24"/>
        </w:rPr>
      </w:pPr>
      <w:r>
        <w:rPr>
          <w:szCs w:val="24"/>
        </w:rPr>
        <w:t>9.</w:t>
      </w:r>
      <w:r>
        <w:rPr>
          <w:szCs w:val="24"/>
        </w:rPr>
        <w:tab/>
        <w:t>Allocation of hearing date — Schedule 1 item 6</w:t>
      </w:r>
      <w:r>
        <w:tab/>
      </w:r>
      <w:r>
        <w:fldChar w:fldCharType="begin"/>
      </w:r>
      <w:r>
        <w:instrText xml:space="preserve"> PAGEREF _Toc139273596 \h </w:instrText>
      </w:r>
      <w:r>
        <w:fldChar w:fldCharType="separate"/>
      </w:r>
      <w:r>
        <w:t>9</w:t>
      </w:r>
      <w:r>
        <w:fldChar w:fldCharType="end"/>
      </w:r>
    </w:p>
    <w:p>
      <w:pPr>
        <w:pStyle w:val="TOC8"/>
        <w:rPr>
          <w:sz w:val="24"/>
          <w:szCs w:val="24"/>
        </w:rPr>
      </w:pPr>
      <w:r>
        <w:rPr>
          <w:szCs w:val="24"/>
        </w:rPr>
        <w:t>10.</w:t>
      </w:r>
      <w:r>
        <w:rPr>
          <w:szCs w:val="24"/>
        </w:rPr>
        <w:tab/>
        <w:t>Schedule 1 item 7 fee</w:t>
      </w:r>
      <w:r>
        <w:tab/>
      </w:r>
      <w:r>
        <w:fldChar w:fldCharType="begin"/>
      </w:r>
      <w:r>
        <w:instrText xml:space="preserve"> PAGEREF _Toc139273597 \h </w:instrText>
      </w:r>
      <w:r>
        <w:fldChar w:fldCharType="separate"/>
      </w:r>
      <w:r>
        <w:t>10</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_Toc139273598 \h </w:instrText>
      </w:r>
      <w:r>
        <w:fldChar w:fldCharType="separate"/>
      </w:r>
      <w:r>
        <w:t>10</w:t>
      </w:r>
      <w:r>
        <w:fldChar w:fldCharType="end"/>
      </w:r>
    </w:p>
    <w:p>
      <w:pPr>
        <w:pStyle w:val="TOC8"/>
        <w:rPr>
          <w:sz w:val="24"/>
          <w:szCs w:val="24"/>
        </w:rPr>
      </w:pPr>
      <w:r>
        <w:rPr>
          <w:szCs w:val="24"/>
        </w:rPr>
        <w:t>11A.</w:t>
      </w:r>
      <w:r>
        <w:rPr>
          <w:szCs w:val="24"/>
        </w:rPr>
        <w:tab/>
        <w:t>Searchable information</w:t>
      </w:r>
      <w:r>
        <w:tab/>
      </w:r>
      <w:r>
        <w:fldChar w:fldCharType="begin"/>
      </w:r>
      <w:r>
        <w:instrText xml:space="preserve"> PAGEREF _Toc139273599 \h </w:instrText>
      </w:r>
      <w:r>
        <w:fldChar w:fldCharType="separate"/>
      </w:r>
      <w:r>
        <w:t>10</w:t>
      </w:r>
      <w:r>
        <w:fldChar w:fldCharType="end"/>
      </w:r>
    </w:p>
    <w:p>
      <w:pPr>
        <w:pStyle w:val="TOC8"/>
        <w:rPr>
          <w:sz w:val="24"/>
          <w:szCs w:val="24"/>
        </w:rPr>
      </w:pPr>
      <w:r>
        <w:rPr>
          <w:szCs w:val="24"/>
        </w:rPr>
        <w:t>12.</w:t>
      </w:r>
      <w:r>
        <w:rPr>
          <w:szCs w:val="24"/>
        </w:rPr>
        <w:tab/>
        <w:t>Transitional</w:t>
      </w:r>
      <w:r>
        <w:tab/>
      </w:r>
      <w:r>
        <w:fldChar w:fldCharType="begin"/>
      </w:r>
      <w:r>
        <w:instrText xml:space="preserve"> PAGEREF _Toc139273600 \h </w:instrText>
      </w:r>
      <w:r>
        <w:fldChar w:fldCharType="separate"/>
      </w:r>
      <w:r>
        <w:t>11</w:t>
      </w:r>
      <w:r>
        <w:fldChar w:fldCharType="end"/>
      </w:r>
    </w:p>
    <w:p>
      <w:pPr>
        <w:pStyle w:val="TOC2"/>
        <w:tabs>
          <w:tab w:val="right" w:leader="dot" w:pos="7086"/>
        </w:tabs>
        <w:rPr>
          <w:b w:val="0"/>
          <w:sz w:val="24"/>
          <w:szCs w:val="24"/>
        </w:rPr>
      </w:pPr>
      <w:r>
        <w:rPr>
          <w:szCs w:val="28"/>
        </w:rPr>
        <w:t>Schedule 1 — Registry Fees</w:t>
      </w:r>
    </w:p>
    <w:p>
      <w:pPr>
        <w:pStyle w:val="TOC2"/>
        <w:tabs>
          <w:tab w:val="right" w:leader="dot" w:pos="7086"/>
        </w:tabs>
        <w:rPr>
          <w:b w:val="0"/>
          <w:sz w:val="24"/>
          <w:szCs w:val="24"/>
        </w:rPr>
      </w:pPr>
      <w:r>
        <w:rPr>
          <w:szCs w:val="28"/>
        </w:rPr>
        <w:t>Schedule 2 — Sheriff’s Fees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_Toc139273605 \h </w:instrText>
      </w:r>
      <w:r>
        <w:fldChar w:fldCharType="separate"/>
      </w:r>
      <w:r>
        <w:t>29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District Court of Western Australia Act 1969</w:t>
      </w:r>
    </w:p>
    <w:p>
      <w:pPr>
        <w:pStyle w:val="NameofActReg"/>
        <w:spacing w:before="240" w:after="240"/>
      </w:pPr>
      <w:r>
        <w:t>District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2753"/>
      <w:bookmarkStart w:id="8" w:name="_Toc138838326"/>
      <w:bookmarkStart w:id="9" w:name="_Toc13927358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District Court (Fees) Regulations 2002</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33482754"/>
      <w:bookmarkStart w:id="18" w:name="_Toc138838327"/>
      <w:bookmarkStart w:id="19" w:name="_Toc13927358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These regulations come into operation on 1 January 2002</w:t>
      </w:r>
      <w:r>
        <w:t>.</w:t>
      </w:r>
    </w:p>
    <w:p>
      <w:pPr>
        <w:pStyle w:val="Heading5"/>
      </w:pPr>
      <w:bookmarkStart w:id="20" w:name="_Toc519738590"/>
      <w:bookmarkStart w:id="21" w:name="_Toc520868378"/>
      <w:bookmarkStart w:id="22" w:name="_Toc533482755"/>
      <w:bookmarkStart w:id="23" w:name="_Toc138838328"/>
      <w:bookmarkStart w:id="24" w:name="_Toc139273589"/>
      <w:r>
        <w:rPr>
          <w:rStyle w:val="CharSectno"/>
        </w:rPr>
        <w:t>3.</w:t>
      </w:r>
      <w:r>
        <w:rPr>
          <w:rStyle w:val="CharSectno"/>
        </w:rPr>
        <w:tab/>
      </w:r>
      <w:r>
        <w:t>Interpretation</w:t>
      </w:r>
      <w:bookmarkEnd w:id="20"/>
      <w:bookmarkEnd w:id="21"/>
      <w:bookmarkEnd w:id="22"/>
      <w:bookmarkEnd w:id="23"/>
      <w:bookmarkEnd w:id="24"/>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bookmarkStart w:id="25" w:name="endcomma"/>
      <w:bookmarkEnd w:id="25"/>
      <w:r>
        <w:rPr>
          <w:b/>
        </w:rPr>
        <w:t>”</w:t>
      </w:r>
      <w:r>
        <w:t xml:space="preserve"> </w:t>
      </w:r>
      <w:bookmarkStart w:id="26" w:name="comma"/>
      <w:bookmarkEnd w:id="26"/>
      <w:r>
        <w:t xml:space="preserve">means the </w:t>
      </w:r>
      <w:r>
        <w:rPr>
          <w:i/>
        </w:rPr>
        <w:t>District Court Rules 1996</w:t>
      </w:r>
      <w:r>
        <w:t xml:space="preserve"> or the rules applicable to the District Court under section 87 of the Act;</w:t>
      </w:r>
    </w:p>
    <w:p>
      <w:pPr>
        <w:pStyle w:val="Defstart"/>
      </w:pPr>
      <w:r>
        <w:tab/>
      </w:r>
      <w:r>
        <w:rPr>
          <w:b/>
        </w:rPr>
        <w:t>“</w:t>
      </w:r>
      <w:r>
        <w:rPr>
          <w:rStyle w:val="CharDefText"/>
        </w:rPr>
        <w:t>small business</w:t>
      </w:r>
      <w:r>
        <w:rPr>
          <w:b/>
        </w:rPr>
        <w:t>”</w:t>
      </w:r>
      <w:r>
        <w:t xml:space="preserve"> means — </w:t>
      </w:r>
    </w:p>
    <w:p>
      <w:pPr>
        <w:pStyle w:val="Ednotedefpara"/>
      </w:pPr>
      <w:r>
        <w:tab/>
        <w:t>[(a)</w:t>
      </w:r>
      <w:r>
        <w:tab/>
        <w:t>deleted]</w:t>
      </w:r>
    </w:p>
    <w:p>
      <w:pPr>
        <w:pStyle w:val="Defpara"/>
      </w:pPr>
      <w:r>
        <w:tab/>
        <w:t>(b)</w:t>
      </w:r>
      <w:r>
        <w:tab/>
        <w:t xml:space="preserve">an individual or individuals in partnership who wholly own and operate a business undertaking that </w:t>
      </w:r>
      <w:r>
        <w:lastRenderedPageBreak/>
        <w:t>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27" w:name="_Toc437922206"/>
      <w:bookmarkStart w:id="28" w:name="_Toc483972641"/>
      <w:bookmarkStart w:id="29" w:name="_Toc506018772"/>
      <w:bookmarkStart w:id="30" w:name="_Toc519738591"/>
      <w:bookmarkStart w:id="31" w:name="_Toc520868379"/>
      <w:bookmarkStart w:id="32" w:name="_Toc533482756"/>
      <w:bookmarkStart w:id="33" w:name="_Toc138838329"/>
      <w:bookmarkStart w:id="34" w:name="_Toc139273590"/>
      <w:r>
        <w:rPr>
          <w:rStyle w:val="CharSectno"/>
        </w:rPr>
        <w:t>4.</w:t>
      </w:r>
      <w:r>
        <w:rPr>
          <w:rStyle w:val="CharSectno"/>
        </w:rPr>
        <w:tab/>
      </w:r>
      <w:r>
        <w:rPr>
          <w:snapToGrid w:val="0"/>
        </w:rPr>
        <w:t>Fees to be charged</w:t>
      </w:r>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Subject to the provisions of these regulations, the fees specified in Schedules </w:t>
      </w:r>
      <w:bookmarkStart w:id="35" w:name="_Hlt533230123"/>
      <w:r>
        <w:rPr>
          <w:snapToGrid w:val="0"/>
        </w:rPr>
        <w:t>1</w:t>
      </w:r>
      <w:bookmarkEnd w:id="35"/>
      <w:r>
        <w:rPr>
          <w:snapToGrid w:val="0"/>
        </w:rPr>
        <w:t xml:space="preserve"> and 2 are to be charged in respect of the matters referred to in section 89A of the Act in relation to which they are applicable.</w:t>
      </w:r>
    </w:p>
    <w:p>
      <w:pPr>
        <w:pStyle w:val="Subsection"/>
        <w:keepNext/>
        <w:keepLines/>
      </w:pPr>
      <w:r>
        <w:rPr>
          <w:snapToGrid w:val="0"/>
        </w:rPr>
        <w:lastRenderedPageBreak/>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 xml:space="preserve">profit </w:t>
      </w:r>
      <w:r>
        <w:lastRenderedPageBreak/>
        <w:t>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bookmarkStart w:id="36" w:name="_Toc437922207"/>
      <w:bookmarkStart w:id="37" w:name="_Toc483972642"/>
      <w:bookmarkStart w:id="38" w:name="_Toc506018773"/>
      <w:bookmarkStart w:id="39" w:name="_Toc519738592"/>
      <w:bookmarkStart w:id="40" w:name="_Toc520868380"/>
      <w:bookmarkStart w:id="41" w:name="_Toc533482757"/>
      <w:r>
        <w:tab/>
        <w:t>[Regulation 4 amended in Gazette 30 Dec 2003 p. 5702-3; 28 Apr 2005 p. 1751.]</w:t>
      </w:r>
    </w:p>
    <w:p>
      <w:pPr>
        <w:pStyle w:val="Heading5"/>
        <w:rPr>
          <w:snapToGrid w:val="0"/>
        </w:rPr>
      </w:pPr>
      <w:bookmarkStart w:id="42" w:name="_Toc138838330"/>
      <w:bookmarkStart w:id="43" w:name="_Toc139273591"/>
      <w:r>
        <w:rPr>
          <w:rStyle w:val="CharSectno"/>
        </w:rPr>
        <w:t>5.</w:t>
      </w:r>
      <w:r>
        <w:rPr>
          <w:rStyle w:val="CharSectno"/>
        </w:rPr>
        <w:tab/>
      </w:r>
      <w:r>
        <w:rPr>
          <w:snapToGrid w:val="0"/>
        </w:rPr>
        <w:t>Exemptions</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pPr>
        <w:pStyle w:val="Footnotesection"/>
      </w:pPr>
      <w:bookmarkStart w:id="44" w:name="_Toc437922208"/>
      <w:bookmarkStart w:id="45" w:name="_Toc483972643"/>
      <w:bookmarkStart w:id="46" w:name="_Toc506018774"/>
      <w:bookmarkStart w:id="47" w:name="_Toc519738593"/>
      <w:bookmarkStart w:id="48" w:name="_Toc520868381"/>
      <w:bookmarkStart w:id="49" w:name="_Toc533482758"/>
      <w:r>
        <w:tab/>
        <w:t>[Regulation 5 amended in Gazette 28 Apr 2005 p. 1751.]</w:t>
      </w:r>
    </w:p>
    <w:p>
      <w:pPr>
        <w:pStyle w:val="Heading5"/>
      </w:pPr>
      <w:bookmarkStart w:id="50" w:name="_Toc138838331"/>
      <w:bookmarkStart w:id="51" w:name="_Toc139273592"/>
      <w:r>
        <w:t>5A.</w:t>
      </w:r>
      <w:r>
        <w:tab/>
        <w:t>Disputes regarding fees</w:t>
      </w:r>
      <w:bookmarkEnd w:id="50"/>
      <w:bookmarkEnd w:id="51"/>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1751-2.]</w:t>
      </w:r>
    </w:p>
    <w:p>
      <w:pPr>
        <w:pStyle w:val="Heading5"/>
        <w:rPr>
          <w:snapToGrid w:val="0"/>
        </w:rPr>
      </w:pPr>
      <w:bookmarkStart w:id="52" w:name="_Toc138838332"/>
      <w:bookmarkStart w:id="53" w:name="_Toc139273593"/>
      <w:r>
        <w:rPr>
          <w:rStyle w:val="CharSectno"/>
        </w:rPr>
        <w:t>6.</w:t>
      </w:r>
      <w:r>
        <w:rPr>
          <w:rStyle w:val="CharSectno"/>
        </w:rPr>
        <w:tab/>
        <w:t>F</w:t>
      </w:r>
      <w:r>
        <w:rPr>
          <w:snapToGrid w:val="0"/>
        </w:rPr>
        <w:t>ees to be paid before documents etc. filed</w:t>
      </w:r>
      <w:bookmarkEnd w:id="44"/>
      <w:bookmarkEnd w:id="45"/>
      <w:bookmarkEnd w:id="46"/>
      <w:bookmarkEnd w:id="47"/>
      <w:bookmarkEnd w:id="48"/>
      <w:bookmarkEnd w:id="49"/>
      <w:bookmarkEnd w:id="52"/>
      <w:bookmarkEnd w:id="5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54" w:name="_Toc437922210"/>
      <w:bookmarkStart w:id="55" w:name="_Toc483972645"/>
      <w:bookmarkStart w:id="56" w:name="_Toc506018776"/>
      <w:bookmarkStart w:id="57" w:name="_Toc519738594"/>
      <w:bookmarkStart w:id="58" w:name="_Toc520868382"/>
      <w:bookmarkStart w:id="59" w:name="_Toc533482759"/>
      <w:bookmarkStart w:id="60" w:name="_Toc138838333"/>
      <w:bookmarkStart w:id="61" w:name="_Toc139273594"/>
      <w:r>
        <w:rPr>
          <w:rStyle w:val="CharSectno"/>
        </w:rPr>
        <w:t>7.</w:t>
      </w:r>
      <w:r>
        <w:rPr>
          <w:rStyle w:val="CharSectno"/>
        </w:rPr>
        <w:tab/>
      </w:r>
      <w:r>
        <w:rPr>
          <w:snapToGrid w:val="0"/>
        </w:rPr>
        <w:t>Court or Registrar may remit fees</w:t>
      </w:r>
      <w:bookmarkEnd w:id="54"/>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A fee, payment of which has been deferred until an event occurs, becomes payable when that event occurs.</w:t>
      </w:r>
    </w:p>
    <w:p>
      <w:pPr>
        <w:pStyle w:val="Subsection"/>
        <w:keepNext/>
        <w:keepLines/>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pPr>
      <w:bookmarkStart w:id="62" w:name="_Toc437922211"/>
      <w:bookmarkStart w:id="63" w:name="_Toc483972646"/>
      <w:bookmarkStart w:id="64" w:name="_Toc506018777"/>
      <w:bookmarkStart w:id="65" w:name="_Toc519738595"/>
      <w:bookmarkStart w:id="66" w:name="_Toc520868383"/>
      <w:bookmarkStart w:id="67" w:name="_Toc533482760"/>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5703-5; 28 Apr 2005 p. 1752.]</w:t>
      </w:r>
    </w:p>
    <w:p>
      <w:pPr>
        <w:pStyle w:val="Heading5"/>
        <w:rPr>
          <w:snapToGrid w:val="0"/>
        </w:rPr>
      </w:pPr>
      <w:bookmarkStart w:id="68" w:name="_Toc138838334"/>
      <w:bookmarkStart w:id="69" w:name="_Toc139273595"/>
      <w:r>
        <w:rPr>
          <w:rStyle w:val="CharSectno"/>
        </w:rPr>
        <w:t>8.</w:t>
      </w:r>
      <w:r>
        <w:rPr>
          <w:rStyle w:val="CharSectno"/>
        </w:rPr>
        <w:tab/>
      </w:r>
      <w:r>
        <w:rPr>
          <w:snapToGrid w:val="0"/>
        </w:rPr>
        <w:t>Conventions</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70" w:name="_Toc138838335"/>
      <w:bookmarkStart w:id="71" w:name="_Toc139273596"/>
      <w:bookmarkStart w:id="72" w:name="_Toc533482762"/>
      <w:r>
        <w:t>9.</w:t>
      </w:r>
      <w:r>
        <w:tab/>
        <w:t>Allocation of hearing date — Schedule 1 item 6</w:t>
      </w:r>
      <w:bookmarkEnd w:id="70"/>
      <w:bookmarkEnd w:id="71"/>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item 6.</w:t>
      </w:r>
    </w:p>
    <w:p>
      <w:pPr>
        <w:pStyle w:val="Subsection"/>
      </w:pPr>
      <w:r>
        <w:tab/>
        <w:t>(2)</w:t>
      </w:r>
      <w:r>
        <w:tab/>
        <w:t>The fee is not payable in relation to interlocutory proceedings.</w:t>
      </w:r>
    </w:p>
    <w:p>
      <w:pPr>
        <w:pStyle w:val="Subsection"/>
      </w:pPr>
      <w:r>
        <w:tab/>
        <w:t>(3)</w:t>
      </w:r>
      <w:r>
        <w:tab/>
        <w:t>The number of days for which the fee is payable is the number of days the District Court determines are to be allocated for the hearing.</w:t>
      </w:r>
    </w:p>
    <w:p>
      <w:pPr>
        <w:pStyle w:val="Subsection"/>
      </w:pPr>
      <w:r>
        <w:tab/>
        <w:t>(4)</w:t>
      </w:r>
      <w:r>
        <w:tab/>
        <w:t>If the Court determines that half a day or less is to be allocated for the hearing, the fee is reduced by half.</w:t>
      </w:r>
    </w:p>
    <w:p>
      <w:pPr>
        <w:pStyle w:val="Subsection"/>
      </w:pPr>
      <w:r>
        <w:tab/>
        <w:t>(5)</w:t>
      </w:r>
      <w:r>
        <w:tab/>
        <w:t>The proceeding or appeal is not to be listed for hearing until the fee has been paid or has been waived or deferred under regulation 7.</w:t>
      </w:r>
    </w:p>
    <w:p>
      <w:pPr>
        <w:pStyle w:val="Subsection"/>
      </w:pPr>
      <w:r>
        <w:tab/>
        <w:t>(6)</w:t>
      </w:r>
      <w:r>
        <w:tab/>
        <w:t>The fee paid is not refundable except as provided in subregulations (7), (8) and (9).</w:t>
      </w:r>
    </w:p>
    <w:p>
      <w:pPr>
        <w:pStyle w:val="Subsection"/>
      </w:pPr>
      <w:r>
        <w:tab/>
        <w:t>(7)</w:t>
      </w:r>
      <w:r>
        <w:tab/>
        <w:t xml:space="preserve">If the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 xml:space="preserve">if notice is received 28 days or more before that date, 50%. </w:t>
      </w:r>
    </w:p>
    <w:p>
      <w:pPr>
        <w:pStyle w:val="Subsection"/>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1752-3.]</w:t>
      </w:r>
    </w:p>
    <w:p>
      <w:pPr>
        <w:pStyle w:val="Heading5"/>
      </w:pPr>
      <w:bookmarkStart w:id="73" w:name="_Toc138838336"/>
      <w:bookmarkStart w:id="74" w:name="_Toc139273597"/>
      <w:r>
        <w:rPr>
          <w:rStyle w:val="CharSectno"/>
        </w:rPr>
        <w:t>10</w:t>
      </w:r>
      <w:r>
        <w:t>.</w:t>
      </w:r>
      <w:r>
        <w:tab/>
        <w:t>Schedule 1 item 7 fee</w:t>
      </w:r>
      <w:bookmarkEnd w:id="72"/>
      <w:bookmarkEnd w:id="73"/>
      <w:bookmarkEnd w:id="74"/>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75" w:name="_Toc138838337"/>
      <w:bookmarkStart w:id="76" w:name="_Toc139273598"/>
      <w:bookmarkStart w:id="77" w:name="_Toc533482764"/>
      <w:r>
        <w:t>11.</w:t>
      </w:r>
      <w:r>
        <w:tab/>
        <w:t>Recovery of unpaid fees</w:t>
      </w:r>
      <w:bookmarkEnd w:id="75"/>
      <w:bookmarkEnd w:id="7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78" w:name="_Toc138838338"/>
      <w:bookmarkStart w:id="79" w:name="_Toc139273599"/>
      <w:r>
        <w:t>11A.</w:t>
      </w:r>
      <w:r>
        <w:tab/>
        <w:t>Searchable information</w:t>
      </w:r>
      <w:bookmarkEnd w:id="78"/>
      <w:bookmarkEnd w:id="79"/>
      <w:r>
        <w:t xml:space="preserve"> </w:t>
      </w:r>
    </w:p>
    <w:p>
      <w:pPr>
        <w:pStyle w:val="Subsection"/>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t>“</w:t>
      </w:r>
      <w:r>
        <w:rPr>
          <w:rStyle w:val="CharDefText"/>
          <w:rFonts w:eastAsia="MS Mincho"/>
        </w:rPr>
        <w:t>approved recipient</w:t>
      </w:r>
      <w:r>
        <w:rPr>
          <w:rFonts w:eastAsia="MS Mincho"/>
          <w:b/>
        </w:rPr>
        <w:t>”</w:t>
      </w:r>
      <w:r>
        <w:rPr>
          <w:rFonts w:eastAsia="MS Mincho"/>
        </w:rPr>
        <w:t xml:space="preserve"> </w:t>
      </w:r>
      <w:r>
        <w:t>means a person who is approved in writing by the Attorney General as a person entitled to receive searchable information;</w:t>
      </w:r>
    </w:p>
    <w:p>
      <w:pPr>
        <w:pStyle w:val="Defstart"/>
      </w:pPr>
      <w:r>
        <w:rPr>
          <w:rFonts w:eastAsia="MS Mincho"/>
          <w:b/>
        </w:rPr>
        <w:tab/>
        <w:t>“</w:t>
      </w:r>
      <w:r>
        <w:rPr>
          <w:rStyle w:val="CharDefText"/>
          <w:rFonts w:eastAsia="MS Mincho"/>
        </w:rPr>
        <w:t>searchable information</w:t>
      </w:r>
      <w:r>
        <w:rPr>
          <w:rFonts w:eastAsia="MS Mincho"/>
          <w:b/>
        </w:rPr>
        <w:t>”</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80" w:name="_Toc138838339"/>
      <w:bookmarkStart w:id="81" w:name="_Toc139273600"/>
      <w:r>
        <w:rPr>
          <w:rStyle w:val="CharSectno"/>
        </w:rPr>
        <w:t>12</w:t>
      </w:r>
      <w:r>
        <w:t>.</w:t>
      </w:r>
      <w:r>
        <w:tab/>
        <w:t>Transitional</w:t>
      </w:r>
      <w:bookmarkEnd w:id="77"/>
      <w:bookmarkEnd w:id="80"/>
      <w:bookmarkEnd w:id="81"/>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2" w:name="_Toc533482765"/>
    </w:p>
    <w:p>
      <w:pPr>
        <w:pStyle w:val="yScheduleHeading"/>
      </w:pPr>
      <w:bookmarkStart w:id="83" w:name="_Toc138838340"/>
      <w:bookmarkStart w:id="84" w:name="_Toc138838359"/>
      <w:bookmarkStart w:id="85" w:name="_Toc138838380"/>
      <w:bookmarkStart w:id="86" w:name="_Toc139273601"/>
      <w:r>
        <w:rPr>
          <w:rStyle w:val="CharSchNo"/>
        </w:rPr>
        <w:t>Schedule 1</w:t>
      </w:r>
      <w:r>
        <w:t xml:space="preserve"> —</w:t>
      </w:r>
      <w:bookmarkStart w:id="87" w:name="AutoSch"/>
      <w:bookmarkEnd w:id="87"/>
      <w:r>
        <w:t xml:space="preserve"> </w:t>
      </w:r>
      <w:bookmarkEnd w:id="82"/>
      <w:r>
        <w:rPr>
          <w:rStyle w:val="CharSchText"/>
        </w:rPr>
        <w:t>Registry Fees</w:t>
      </w:r>
      <w:bookmarkEnd w:id="83"/>
      <w:bookmarkEnd w:id="84"/>
      <w:bookmarkEnd w:id="85"/>
      <w:bookmarkEnd w:id="86"/>
    </w:p>
    <w:p>
      <w:pPr>
        <w:pStyle w:val="yShoulderClause"/>
      </w:pPr>
      <w:r>
        <w:t>[r. 4]</w:t>
      </w:r>
    </w:p>
    <w:p>
      <w:pPr>
        <w:pStyle w:val="yFootnoteheading"/>
      </w:pPr>
      <w:r>
        <w:tab/>
        <w:t>[Heading amended in Gazette 23 Jun 2005 p. 2690.]</w:t>
      </w:r>
    </w:p>
    <w:p>
      <w:pPr>
        <w:pStyle w:val="ySubsection"/>
      </w:pPr>
    </w:p>
    <w:tbl>
      <w:tblPr>
        <w:tblW w:w="7371" w:type="dxa"/>
        <w:tblInd w:w="108" w:type="dxa"/>
        <w:tblLayout w:type="fixed"/>
        <w:tblLook w:val="0000" w:firstRow="0" w:lastRow="0" w:firstColumn="0" w:lastColumn="0" w:noHBand="0" w:noVBand="0"/>
      </w:tblPr>
      <w:tblGrid>
        <w:gridCol w:w="709"/>
        <w:gridCol w:w="4253"/>
        <w:gridCol w:w="1230"/>
        <w:gridCol w:w="45"/>
        <w:gridCol w:w="1134"/>
      </w:tblGrid>
      <w:tr>
        <w:trPr>
          <w:cantSplit/>
          <w:tblHeader/>
        </w:trPr>
        <w:tc>
          <w:tcPr>
            <w:tcW w:w="709" w:type="dxa"/>
          </w:tcPr>
          <w:p>
            <w:pPr>
              <w:pStyle w:val="yTable"/>
              <w:spacing w:before="0"/>
              <w:jc w:val="center"/>
              <w:rPr>
                <w:b/>
                <w:spacing w:val="-8"/>
              </w:rPr>
            </w:pPr>
            <w:r>
              <w:rPr>
                <w:b/>
                <w:spacing w:val="-8"/>
              </w:rPr>
              <w:t>Item</w:t>
            </w:r>
          </w:p>
        </w:tc>
        <w:tc>
          <w:tcPr>
            <w:tcW w:w="4253" w:type="dxa"/>
          </w:tcPr>
          <w:p>
            <w:pPr>
              <w:pStyle w:val="yTable"/>
              <w:spacing w:before="0"/>
              <w:jc w:val="center"/>
              <w:rPr>
                <w:b/>
              </w:rPr>
            </w:pPr>
            <w:r>
              <w:rPr>
                <w:b/>
              </w:rPr>
              <w:t>Matter</w:t>
            </w:r>
          </w:p>
        </w:tc>
        <w:tc>
          <w:tcPr>
            <w:tcW w:w="1230" w:type="dxa"/>
          </w:tcPr>
          <w:p>
            <w:pPr>
              <w:pStyle w:val="yTable"/>
              <w:tabs>
                <w:tab w:val="right" w:pos="742"/>
              </w:tabs>
              <w:spacing w:before="0"/>
              <w:jc w:val="center"/>
              <w:rPr>
                <w:b/>
                <w:spacing w:val="-4"/>
              </w:rPr>
            </w:pPr>
            <w:r>
              <w:rPr>
                <w:b/>
                <w:spacing w:val="-4"/>
              </w:rPr>
              <w:t>Fee for individuals/personal injury</w:t>
            </w:r>
          </w:p>
          <w:p>
            <w:pPr>
              <w:pStyle w:val="yTable"/>
              <w:tabs>
                <w:tab w:val="right" w:pos="742"/>
              </w:tabs>
              <w:spacing w:before="0"/>
              <w:jc w:val="center"/>
              <w:rPr>
                <w:b/>
              </w:rPr>
            </w:pPr>
            <w:r>
              <w:rPr>
                <w:b/>
              </w:rPr>
              <w:t>$</w:t>
            </w:r>
          </w:p>
        </w:tc>
        <w:tc>
          <w:tcPr>
            <w:tcW w:w="1179" w:type="dxa"/>
            <w:gridSpan w:val="2"/>
          </w:tcPr>
          <w:p>
            <w:pPr>
              <w:pStyle w:val="yTable"/>
              <w:tabs>
                <w:tab w:val="right" w:pos="363"/>
              </w:tabs>
              <w:spacing w:before="0"/>
              <w:jc w:val="center"/>
              <w:rPr>
                <w:b/>
                <w:spacing w:val="-8"/>
              </w:rPr>
            </w:pPr>
            <w:r>
              <w:rPr>
                <w:b/>
                <w:spacing w:val="-8"/>
              </w:rPr>
              <w:t>Fee for person other than an individual</w:t>
            </w:r>
          </w:p>
          <w:p>
            <w:pPr>
              <w:pStyle w:val="yTable"/>
              <w:tabs>
                <w:tab w:val="right" w:pos="363"/>
              </w:tabs>
              <w:spacing w:before="0"/>
              <w:jc w:val="center"/>
              <w:rPr>
                <w:b/>
              </w:rPr>
            </w:pPr>
          </w:p>
          <w:p>
            <w:pPr>
              <w:pStyle w:val="yTable"/>
              <w:tabs>
                <w:tab w:val="right" w:pos="363"/>
              </w:tabs>
              <w:spacing w:before="0"/>
              <w:jc w:val="center"/>
              <w:rPr>
                <w:b/>
              </w:rPr>
            </w:pPr>
            <w:r>
              <w:rPr>
                <w:b/>
              </w:rPr>
              <w:t>$</w:t>
            </w:r>
          </w:p>
        </w:tc>
      </w:tr>
      <w:tr>
        <w:trPr>
          <w:cantSplit/>
        </w:trPr>
        <w:tc>
          <w:tcPr>
            <w:tcW w:w="709" w:type="dxa"/>
          </w:tcPr>
          <w:p>
            <w:pPr>
              <w:pStyle w:val="yTable"/>
              <w:jc w:val="center"/>
            </w:pPr>
            <w:r>
              <w:t>1.</w:t>
            </w:r>
          </w:p>
        </w:tc>
        <w:tc>
          <w:tcPr>
            <w:tcW w:w="4253" w:type="dxa"/>
          </w:tcPr>
          <w:p>
            <w:pPr>
              <w:pStyle w:val="yTable"/>
              <w:tabs>
                <w:tab w:val="left" w:pos="0"/>
              </w:tabs>
            </w:pPr>
            <w:r>
              <w:t>On filing any originating process by which a cause, matter or other proceeding in the court is commenced, other than proceedings of the kind referred to in Item 2, 3 or 8 ....................</w:t>
            </w:r>
          </w:p>
        </w:tc>
        <w:tc>
          <w:tcPr>
            <w:tcW w:w="1230" w:type="dxa"/>
          </w:tcPr>
          <w:p>
            <w:pPr>
              <w:pStyle w:val="yTable"/>
              <w:tabs>
                <w:tab w:val="right" w:pos="600"/>
              </w:tabs>
            </w:pPr>
            <w:r>
              <w:br/>
            </w:r>
            <w:r>
              <w:br/>
            </w:r>
            <w:r>
              <w:br/>
            </w:r>
            <w:r>
              <w:tab/>
              <w:t>454</w:t>
            </w:r>
          </w:p>
        </w:tc>
        <w:tc>
          <w:tcPr>
            <w:tcW w:w="1179" w:type="dxa"/>
            <w:gridSpan w:val="2"/>
          </w:tcPr>
          <w:p>
            <w:pPr>
              <w:pStyle w:val="yTable"/>
              <w:tabs>
                <w:tab w:val="right" w:pos="646"/>
              </w:tabs>
            </w:pPr>
            <w:r>
              <w:br/>
            </w:r>
            <w:r>
              <w:br/>
            </w:r>
            <w:r>
              <w:br/>
            </w:r>
            <w:r>
              <w:tab/>
              <w:t>681</w:t>
            </w:r>
          </w:p>
        </w:tc>
      </w:tr>
      <w:tr>
        <w:trPr>
          <w:cantSplit/>
        </w:trPr>
        <w:tc>
          <w:tcPr>
            <w:tcW w:w="709" w:type="dxa"/>
          </w:tcPr>
          <w:p>
            <w:pPr>
              <w:pStyle w:val="yTable"/>
              <w:jc w:val="center"/>
            </w:pPr>
            <w:r>
              <w:t>2.</w:t>
            </w:r>
          </w:p>
        </w:tc>
        <w:tc>
          <w:tcPr>
            <w:tcW w:w="4253" w:type="dxa"/>
          </w:tcPr>
          <w:p>
            <w:pPr>
              <w:pStyle w:val="yTable"/>
              <w:tabs>
                <w:tab w:val="left" w:pos="601"/>
              </w:tabs>
              <w:ind w:left="601" w:hanging="601"/>
            </w:pPr>
            <w:r>
              <w:t>On filing:</w:t>
            </w:r>
          </w:p>
        </w:tc>
        <w:tc>
          <w:tcPr>
            <w:tcW w:w="1230" w:type="dxa"/>
          </w:tcPr>
          <w:p>
            <w:pPr>
              <w:pStyle w:val="yTable"/>
              <w:tabs>
                <w:tab w:val="right" w:pos="742"/>
              </w:tabs>
              <w:spacing w:before="20"/>
            </w:pPr>
          </w:p>
        </w:tc>
        <w:tc>
          <w:tcPr>
            <w:tcW w:w="1179" w:type="dxa"/>
            <w:gridSpan w:val="2"/>
          </w:tcPr>
          <w:p>
            <w:pPr>
              <w:pStyle w:val="yTable"/>
              <w:tabs>
                <w:tab w:val="right" w:pos="363"/>
                <w:tab w:val="right" w:pos="743"/>
              </w:tabs>
              <w:spacing w:before="20"/>
            </w:pPr>
          </w:p>
        </w:tc>
      </w:tr>
      <w:tr>
        <w:trPr>
          <w:cantSplit/>
        </w:trPr>
        <w:tc>
          <w:tcPr>
            <w:tcW w:w="709" w:type="dxa"/>
          </w:tcPr>
          <w:p>
            <w:pPr>
              <w:pStyle w:val="yTable"/>
              <w:jc w:val="center"/>
            </w:pPr>
          </w:p>
        </w:tc>
        <w:tc>
          <w:tcPr>
            <w:tcW w:w="4253" w:type="dxa"/>
          </w:tcPr>
          <w:p>
            <w:pPr>
              <w:pStyle w:val="yTable"/>
              <w:tabs>
                <w:tab w:val="left" w:pos="0"/>
                <w:tab w:val="left" w:pos="459"/>
              </w:tabs>
            </w:pPr>
            <w:r>
              <w:t>(a)</w:t>
            </w:r>
            <w:r>
              <w:tab/>
              <w:t>a counterclaim …………………………</w:t>
            </w:r>
          </w:p>
        </w:tc>
        <w:tc>
          <w:tcPr>
            <w:tcW w:w="1230" w:type="dxa"/>
          </w:tcPr>
          <w:p>
            <w:pPr>
              <w:pStyle w:val="yTable"/>
              <w:tabs>
                <w:tab w:val="right" w:pos="600"/>
              </w:tabs>
              <w:spacing w:before="20"/>
            </w:pPr>
            <w:r>
              <w:tab/>
              <w:t>454</w:t>
            </w:r>
          </w:p>
        </w:tc>
        <w:tc>
          <w:tcPr>
            <w:tcW w:w="1179" w:type="dxa"/>
            <w:gridSpan w:val="2"/>
          </w:tcPr>
          <w:p>
            <w:pPr>
              <w:pStyle w:val="yTable"/>
              <w:tabs>
                <w:tab w:val="right" w:pos="646"/>
              </w:tabs>
              <w:spacing w:before="20"/>
            </w:pPr>
            <w:r>
              <w:tab/>
              <w:t>681</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(b)</w:t>
            </w:r>
            <w:r>
              <w:tab/>
              <w:t>a third party notice …………………….</w:t>
            </w:r>
          </w:p>
        </w:tc>
        <w:tc>
          <w:tcPr>
            <w:tcW w:w="1230" w:type="dxa"/>
          </w:tcPr>
          <w:p>
            <w:pPr>
              <w:pStyle w:val="yTable"/>
              <w:tabs>
                <w:tab w:val="right" w:pos="600"/>
              </w:tabs>
              <w:spacing w:before="20"/>
            </w:pPr>
            <w:r>
              <w:tab/>
              <w:t>454</w:t>
            </w:r>
          </w:p>
        </w:tc>
        <w:tc>
          <w:tcPr>
            <w:tcW w:w="1179" w:type="dxa"/>
            <w:gridSpan w:val="2"/>
          </w:tcPr>
          <w:p>
            <w:pPr>
              <w:pStyle w:val="yTable"/>
              <w:tabs>
                <w:tab w:val="right" w:pos="646"/>
              </w:tabs>
              <w:spacing w:before="20"/>
            </w:pPr>
            <w:r>
              <w:tab/>
              <w:t>681</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(c)</w:t>
            </w:r>
            <w:r>
              <w:tab/>
              <w:t>an application:</w:t>
            </w:r>
          </w:p>
          <w:p>
            <w:pPr>
              <w:pStyle w:val="yTable"/>
              <w:tabs>
                <w:tab w:val="left" w:pos="884"/>
              </w:tabs>
              <w:ind w:left="884" w:hanging="425"/>
            </w:pPr>
            <w:r>
              <w:t>(i)</w:t>
            </w:r>
            <w:r>
              <w:tab/>
              <w:t>to extend a period of time fixed by law, including an application to extend time before proceedings are commenced;</w:t>
            </w:r>
          </w:p>
          <w:p>
            <w:pPr>
              <w:pStyle w:val="yTable"/>
              <w:tabs>
                <w:tab w:val="left" w:pos="884"/>
              </w:tabs>
              <w:ind w:left="884" w:hanging="425"/>
            </w:pPr>
            <w:r>
              <w:t>(ii)</w:t>
            </w:r>
            <w:r>
              <w:tab/>
              <w:t>to limit a period of time within which proceedings may be taken;</w:t>
            </w:r>
          </w:p>
          <w:p>
            <w:pPr>
              <w:pStyle w:val="yTable"/>
              <w:tabs>
                <w:tab w:val="left" w:pos="884"/>
              </w:tabs>
              <w:ind w:left="884" w:hanging="425"/>
            </w:pPr>
            <w:r>
              <w:t>(iii)</w:t>
            </w:r>
            <w:r>
              <w:tab/>
              <w:t>for leave to serve a writ or notice of a writ out of jurisdiction;</w:t>
            </w:r>
          </w:p>
          <w:p>
            <w:pPr>
              <w:pStyle w:val="yTable"/>
              <w:tabs>
                <w:tab w:val="left" w:pos="884"/>
              </w:tabs>
              <w:ind w:left="884" w:hanging="425"/>
            </w:pPr>
            <w:r>
              <w:t>(iv)</w:t>
            </w:r>
            <w:r>
              <w:tab/>
              <w:t>for leave to appeal ……………….</w:t>
            </w:r>
          </w:p>
        </w:tc>
        <w:tc>
          <w:tcPr>
            <w:tcW w:w="1230" w:type="dxa"/>
          </w:tcPr>
          <w:p>
            <w:pPr>
              <w:pStyle w:val="yTable"/>
              <w:tabs>
                <w:tab w:val="right" w:pos="600"/>
              </w:tabs>
              <w:spacing w:before="20"/>
            </w:pPr>
            <w:r>
              <w:br/>
            </w:r>
            <w:r>
              <w:br/>
            </w:r>
            <w:r>
              <w:br/>
            </w:r>
            <w:r>
              <w:br/>
            </w:r>
            <w:r>
              <w:br/>
            </w:r>
            <w:r>
              <w:br/>
            </w:r>
            <w:r>
              <w:br/>
            </w:r>
            <w:r>
              <w:br/>
            </w:r>
            <w:r>
              <w:br/>
            </w:r>
            <w:r>
              <w:br/>
            </w:r>
            <w:r>
              <w:tab/>
              <w:t>171</w:t>
            </w:r>
          </w:p>
        </w:tc>
        <w:tc>
          <w:tcPr>
            <w:tcW w:w="1179" w:type="dxa"/>
            <w:gridSpan w:val="2"/>
          </w:tcPr>
          <w:p>
            <w:pPr>
              <w:pStyle w:val="yTable"/>
              <w:tabs>
                <w:tab w:val="right" w:pos="646"/>
              </w:tabs>
              <w:spacing w:before="20"/>
            </w:pPr>
            <w:r>
              <w:br/>
            </w:r>
            <w:r>
              <w:br/>
            </w:r>
            <w:r>
              <w:br/>
            </w:r>
            <w:r>
              <w:br/>
            </w:r>
            <w:r>
              <w:br/>
            </w:r>
            <w:r>
              <w:br/>
            </w:r>
            <w:r>
              <w:br/>
            </w:r>
            <w:r>
              <w:br/>
            </w:r>
            <w:r>
              <w:br/>
            </w:r>
            <w:r>
              <w:br/>
            </w:r>
            <w:r>
              <w:tab/>
              <w:t>227</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any other application for which no fee has been provided in this Schedule ........</w:t>
            </w:r>
          </w:p>
        </w:tc>
        <w:tc>
          <w:tcPr>
            <w:tcW w:w="1230" w:type="dxa"/>
          </w:tcPr>
          <w:p>
            <w:pPr>
              <w:pStyle w:val="yTable"/>
              <w:tabs>
                <w:tab w:val="right" w:pos="600"/>
              </w:tabs>
            </w:pPr>
            <w:r>
              <w:br/>
            </w:r>
            <w:r>
              <w:tab/>
              <w:t>171</w:t>
            </w:r>
          </w:p>
        </w:tc>
        <w:tc>
          <w:tcPr>
            <w:tcW w:w="1179" w:type="dxa"/>
            <w:gridSpan w:val="2"/>
          </w:tcPr>
          <w:p>
            <w:pPr>
              <w:pStyle w:val="yTable"/>
              <w:tabs>
                <w:tab w:val="right" w:pos="646"/>
              </w:tabs>
            </w:pPr>
            <w:r>
              <w:br/>
            </w:r>
            <w:r>
              <w:tab/>
              <w:t>227</w:t>
            </w:r>
          </w:p>
        </w:tc>
      </w:tr>
      <w:tr>
        <w:trPr>
          <w:cantSplit/>
        </w:trPr>
        <w:tc>
          <w:tcPr>
            <w:tcW w:w="709" w:type="dxa"/>
          </w:tcPr>
          <w:p>
            <w:pPr>
              <w:pStyle w:val="yTable"/>
              <w:jc w:val="center"/>
            </w:pPr>
            <w:r>
              <w:t>3.</w:t>
            </w:r>
          </w:p>
        </w:tc>
        <w:tc>
          <w:tcPr>
            <w:tcW w:w="4253" w:type="dxa"/>
          </w:tcPr>
          <w:p>
            <w:pPr>
              <w:pStyle w:val="yTable"/>
              <w:tabs>
                <w:tab w:val="left" w:pos="601"/>
              </w:tabs>
            </w:pPr>
            <w:r>
              <w:t>Commencing an appeal ..................................</w:t>
            </w:r>
          </w:p>
        </w:tc>
        <w:tc>
          <w:tcPr>
            <w:tcW w:w="1230" w:type="dxa"/>
          </w:tcPr>
          <w:p>
            <w:pPr>
              <w:pStyle w:val="yTable"/>
              <w:tabs>
                <w:tab w:val="right" w:pos="600"/>
              </w:tabs>
            </w:pPr>
            <w:r>
              <w:tab/>
              <w:t>57</w:t>
            </w:r>
          </w:p>
        </w:tc>
        <w:tc>
          <w:tcPr>
            <w:tcW w:w="1179" w:type="dxa"/>
            <w:gridSpan w:val="2"/>
          </w:tcPr>
          <w:p>
            <w:pPr>
              <w:pStyle w:val="yTable"/>
              <w:tabs>
                <w:tab w:val="right" w:pos="646"/>
              </w:tabs>
            </w:pPr>
            <w:r>
              <w:tab/>
              <w:t>114</w:t>
            </w:r>
          </w:p>
        </w:tc>
      </w:tr>
      <w:tr>
        <w:trPr>
          <w:cantSplit/>
        </w:trPr>
        <w:tc>
          <w:tcPr>
            <w:tcW w:w="4962" w:type="dxa"/>
            <w:gridSpan w:val="2"/>
          </w:tcPr>
          <w:p>
            <w:pPr>
              <w:pStyle w:val="yTable"/>
              <w:tabs>
                <w:tab w:val="left" w:pos="601"/>
              </w:tabs>
              <w:ind w:left="34"/>
              <w:rPr>
                <w:i/>
                <w:iCs/>
              </w:rPr>
            </w:pPr>
            <w:r>
              <w:rPr>
                <w:i/>
                <w:iCs/>
              </w:rPr>
              <w:t>[4.</w:t>
            </w:r>
            <w:r>
              <w:rPr>
                <w:i/>
                <w:iCs/>
              </w:rPr>
              <w:tab/>
              <w:t>deleted]</w:t>
            </w:r>
          </w:p>
        </w:tc>
        <w:tc>
          <w:tcPr>
            <w:tcW w:w="1275" w:type="dxa"/>
            <w:gridSpan w:val="2"/>
          </w:tcPr>
          <w:p>
            <w:pPr>
              <w:pStyle w:val="yTable"/>
              <w:tabs>
                <w:tab w:val="right" w:pos="600"/>
              </w:tabs>
            </w:pPr>
          </w:p>
        </w:tc>
        <w:tc>
          <w:tcPr>
            <w:tcW w:w="1134" w:type="dxa"/>
          </w:tcPr>
          <w:p>
            <w:pPr>
              <w:pStyle w:val="yTable"/>
              <w:tabs>
                <w:tab w:val="right" w:pos="646"/>
              </w:tabs>
            </w:pPr>
          </w:p>
        </w:tc>
      </w:tr>
      <w:tr>
        <w:trPr>
          <w:cantSplit/>
        </w:trPr>
        <w:tc>
          <w:tcPr>
            <w:tcW w:w="709" w:type="dxa"/>
          </w:tcPr>
          <w:p>
            <w:pPr>
              <w:pStyle w:val="yTable"/>
              <w:jc w:val="center"/>
            </w:pPr>
            <w:r>
              <w:t>5.</w:t>
            </w:r>
          </w:p>
        </w:tc>
        <w:tc>
          <w:tcPr>
            <w:tcW w:w="4253" w:type="dxa"/>
          </w:tcPr>
          <w:p>
            <w:pPr>
              <w:pStyle w:val="yTable"/>
              <w:tabs>
                <w:tab w:val="left" w:pos="601"/>
              </w:tabs>
            </w:pPr>
            <w:r>
              <w:t>Entry for hearing a cause or matter (including the assessment of damages in an action for personal injury) or notice of an appointment to hear an originating summons …………........................................</w:t>
            </w:r>
          </w:p>
        </w:tc>
        <w:tc>
          <w:tcPr>
            <w:tcW w:w="1275" w:type="dxa"/>
            <w:gridSpan w:val="2"/>
          </w:tcPr>
          <w:p>
            <w:pPr>
              <w:pStyle w:val="yTable"/>
              <w:tabs>
                <w:tab w:val="right" w:pos="600"/>
              </w:tabs>
            </w:pPr>
            <w:r>
              <w:tab/>
              <w:t>454</w:t>
            </w:r>
          </w:p>
        </w:tc>
        <w:tc>
          <w:tcPr>
            <w:tcW w:w="1134" w:type="dxa"/>
          </w:tcPr>
          <w:p>
            <w:pPr>
              <w:pStyle w:val="yTable"/>
              <w:tabs>
                <w:tab w:val="right" w:pos="646"/>
              </w:tabs>
            </w:pPr>
            <w:r>
              <w:tab/>
              <w:t>681</w:t>
            </w:r>
          </w:p>
        </w:tc>
      </w:tr>
      <w:tr>
        <w:trPr>
          <w:cantSplit/>
        </w:trPr>
        <w:tc>
          <w:tcPr>
            <w:tcW w:w="709" w:type="dxa"/>
          </w:tcPr>
          <w:p>
            <w:pPr>
              <w:pStyle w:val="yTable"/>
              <w:jc w:val="center"/>
            </w:pPr>
          </w:p>
        </w:tc>
        <w:tc>
          <w:tcPr>
            <w:tcW w:w="4253" w:type="dxa"/>
          </w:tcPr>
          <w:p>
            <w:pPr>
              <w:pStyle w:val="yTable"/>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right" w:pos="34"/>
                <w:tab w:val="right" w:pos="363"/>
              </w:tabs>
              <w:ind w:left="34"/>
            </w:pPr>
            <w:r>
              <w:t>This item does not apply to entering an appeal for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6.</w:t>
            </w:r>
          </w:p>
        </w:tc>
        <w:tc>
          <w:tcPr>
            <w:tcW w:w="4253" w:type="dxa"/>
          </w:tcPr>
          <w:p>
            <w:pPr>
              <w:pStyle w:val="yTable"/>
              <w:tabs>
                <w:tab w:val="left" w:pos="601"/>
              </w:tabs>
            </w:pPr>
            <w:r>
              <w:t>Allocation of hearing date, for each day allocated ........................................</w:t>
            </w:r>
          </w:p>
        </w:tc>
        <w:tc>
          <w:tcPr>
            <w:tcW w:w="1275" w:type="dxa"/>
            <w:gridSpan w:val="2"/>
          </w:tcPr>
          <w:p>
            <w:pPr>
              <w:pStyle w:val="yTable"/>
              <w:tabs>
                <w:tab w:val="right" w:pos="600"/>
              </w:tabs>
            </w:pPr>
            <w:r>
              <w:br/>
            </w:r>
            <w:r>
              <w:tab/>
              <w:t>399</w:t>
            </w:r>
          </w:p>
        </w:tc>
        <w:tc>
          <w:tcPr>
            <w:tcW w:w="1134" w:type="dxa"/>
          </w:tcPr>
          <w:p>
            <w:pPr>
              <w:pStyle w:val="yTable"/>
              <w:tabs>
                <w:tab w:val="right" w:pos="646"/>
              </w:tabs>
            </w:pPr>
            <w:r>
              <w:br/>
            </w:r>
            <w:r>
              <w:tab/>
              <w:t>798</w:t>
            </w:r>
          </w:p>
        </w:tc>
      </w:tr>
      <w:tr>
        <w:trPr>
          <w:cantSplit/>
        </w:trPr>
        <w:tc>
          <w:tcPr>
            <w:tcW w:w="709" w:type="dxa"/>
          </w:tcPr>
          <w:p>
            <w:pPr>
              <w:pStyle w:val="yTable"/>
              <w:jc w:val="center"/>
            </w:pPr>
          </w:p>
        </w:tc>
        <w:tc>
          <w:tcPr>
            <w:tcW w:w="4253" w:type="dxa"/>
          </w:tcPr>
          <w:p>
            <w:pPr>
              <w:pStyle w:val="yTable"/>
            </w:pPr>
            <w:r>
              <w:t xml:space="preserve">NOTE: </w:t>
            </w:r>
          </w:p>
          <w:p>
            <w:pPr>
              <w:pStyle w:val="yTable"/>
              <w:tabs>
                <w:tab w:val="left" w:pos="601"/>
              </w:tabs>
            </w:pPr>
            <w:r>
              <w:t>See regulation 9.</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7.</w:t>
            </w:r>
          </w:p>
        </w:tc>
        <w:tc>
          <w:tcPr>
            <w:tcW w:w="4253" w:type="dxa"/>
          </w:tcPr>
          <w:p>
            <w:pPr>
              <w:pStyle w:val="yTable"/>
              <w:tabs>
                <w:tab w:val="left" w:pos="601"/>
              </w:tabs>
            </w:pPr>
            <w:r>
              <w:t>Daily hearing fee before a Court constituted by a Judge .......................................................</w:t>
            </w:r>
          </w:p>
        </w:tc>
        <w:tc>
          <w:tcPr>
            <w:tcW w:w="1275" w:type="dxa"/>
            <w:gridSpan w:val="2"/>
          </w:tcPr>
          <w:p>
            <w:pPr>
              <w:pStyle w:val="yTable"/>
              <w:tabs>
                <w:tab w:val="right" w:pos="600"/>
              </w:tabs>
            </w:pPr>
            <w:r>
              <w:br/>
            </w:r>
            <w:r>
              <w:tab/>
              <w:t>399</w:t>
            </w:r>
          </w:p>
        </w:tc>
        <w:tc>
          <w:tcPr>
            <w:tcW w:w="1134" w:type="dxa"/>
          </w:tcPr>
          <w:p>
            <w:pPr>
              <w:pStyle w:val="yTable"/>
              <w:tabs>
                <w:tab w:val="right" w:pos="646"/>
              </w:tabs>
            </w:pPr>
            <w:r>
              <w:br/>
            </w:r>
            <w:r>
              <w:tab/>
              <w:t>798</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 fee is payable if the proceedings are of an interlocutory nature only.</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fee to be charged is to be paid in respect of any number of hearing days greater than the number of hearing days for which a fee has been paid under item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3:</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This fee is payable for each additional day or part day that a hearing proceeds beyond the date or dates allocated in Item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4:</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If the Court only allocates a half day or less for the continuation of the hearing then a fee equal to half the prescribed amount is payable for that period.</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5:</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8.</w:t>
            </w:r>
          </w:p>
        </w:tc>
        <w:tc>
          <w:tcPr>
            <w:tcW w:w="4253" w:type="dxa"/>
          </w:tcPr>
          <w:p>
            <w:pPr>
              <w:pStyle w:val="yIndenta"/>
            </w:pPr>
            <w:r>
              <w:t xml:space="preserve">On filing an — </w:t>
            </w:r>
          </w:p>
          <w:p>
            <w:pPr>
              <w:pStyle w:val="yTable"/>
              <w:tabs>
                <w:tab w:val="left" w:pos="884"/>
              </w:tabs>
              <w:ind w:left="884" w:hanging="425"/>
            </w:pPr>
            <w:r>
              <w:t>(i)</w:t>
            </w:r>
            <w:r>
              <w:tab/>
              <w:t>interlocutory application or summons or motion returnable;</w:t>
            </w:r>
          </w:p>
          <w:p>
            <w:pPr>
              <w:pStyle w:val="yTable"/>
              <w:tabs>
                <w:tab w:val="left" w:pos="884"/>
              </w:tabs>
              <w:ind w:left="884" w:hanging="425"/>
            </w:pPr>
            <w:r>
              <w:t>(ii)</w:t>
            </w:r>
            <w:r>
              <w:tab/>
              <w:t>application for assessment of damages other than in an action for personal injury; or</w:t>
            </w:r>
          </w:p>
          <w:p>
            <w:pPr>
              <w:pStyle w:val="yTable"/>
              <w:tabs>
                <w:tab w:val="left" w:pos="884"/>
              </w:tabs>
              <w:ind w:left="884" w:hanging="425"/>
            </w:pPr>
            <w:r>
              <w:t>(iii)</w:t>
            </w:r>
            <w:r>
              <w:tab/>
              <w:t>application for summary judgment,</w:t>
            </w:r>
          </w:p>
          <w:p>
            <w:pPr>
              <w:pStyle w:val="yTable"/>
              <w:tabs>
                <w:tab w:val="left" w:pos="884"/>
              </w:tabs>
            </w:pPr>
            <w:r>
              <w:t>before a Judge or Registrar in Chambers……</w:t>
            </w:r>
          </w:p>
        </w:tc>
        <w:tc>
          <w:tcPr>
            <w:tcW w:w="1275" w:type="dxa"/>
            <w:gridSpan w:val="2"/>
          </w:tcPr>
          <w:p>
            <w:pPr>
              <w:pStyle w:val="yTable"/>
              <w:tabs>
                <w:tab w:val="right" w:pos="600"/>
              </w:tabs>
            </w:pPr>
            <w:r>
              <w:br/>
            </w:r>
            <w:r>
              <w:br/>
            </w:r>
            <w:r>
              <w:br/>
            </w:r>
            <w:r>
              <w:br/>
            </w:r>
            <w:r>
              <w:br/>
            </w:r>
            <w:r>
              <w:br/>
            </w:r>
            <w:r>
              <w:br/>
            </w:r>
            <w:r>
              <w:br/>
            </w:r>
            <w:r>
              <w:tab/>
              <w:t>114</w:t>
            </w:r>
          </w:p>
        </w:tc>
        <w:tc>
          <w:tcPr>
            <w:tcW w:w="1134" w:type="dxa"/>
          </w:tcPr>
          <w:p>
            <w:pPr>
              <w:pStyle w:val="yTable"/>
              <w:tabs>
                <w:tab w:val="right" w:pos="646"/>
              </w:tabs>
            </w:pPr>
            <w:r>
              <w:br/>
            </w:r>
            <w:r>
              <w:br/>
            </w:r>
            <w:r>
              <w:br/>
            </w:r>
            <w:r>
              <w:br/>
            </w:r>
            <w:r>
              <w:br/>
            </w:r>
            <w:r>
              <w:br/>
            </w:r>
            <w:r>
              <w:br/>
            </w:r>
            <w:r>
              <w:br/>
            </w:r>
            <w:r>
              <w:tab/>
              <w:t>171</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includes the first day of hearing of the application or summons and includes any adjournment of the hearing.</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is payable in respect of any application exercising liberty to apply to relist.</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r>
              <w:t>9.</w:t>
            </w:r>
          </w:p>
        </w:tc>
        <w:tc>
          <w:tcPr>
            <w:tcW w:w="4253" w:type="dxa"/>
          </w:tcPr>
          <w:p>
            <w:pPr>
              <w:pStyle w:val="yTable"/>
              <w:tabs>
                <w:tab w:val="left" w:pos="601"/>
              </w:tabs>
            </w:pPr>
            <w:r>
              <w:t xml:space="preserve">If the hearing of a matter to which item 8 applies is listed for more than one day and proceeds for more than the number of days listed, the fee prescribed in Item 8 is payable for each additional day or part day of hearing </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keepNext/>
              <w:jc w:val="center"/>
            </w:pPr>
          </w:p>
        </w:tc>
        <w:tc>
          <w:tcPr>
            <w:tcW w:w="4253" w:type="dxa"/>
          </w:tcPr>
          <w:p>
            <w:pPr>
              <w:pStyle w:val="yTable"/>
              <w:keepNext/>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keepNext/>
              <w:jc w:val="center"/>
            </w:pPr>
          </w:p>
        </w:tc>
        <w:tc>
          <w:tcPr>
            <w:tcW w:w="4253" w:type="dxa"/>
          </w:tcPr>
          <w:p>
            <w:pPr>
              <w:pStyle w:val="yTable"/>
              <w:keepNext/>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spacing w:before="0"/>
              <w:jc w:val="center"/>
            </w:pPr>
            <w:r>
              <w:t>10.</w:t>
            </w:r>
          </w:p>
        </w:tc>
        <w:tc>
          <w:tcPr>
            <w:tcW w:w="4253" w:type="dxa"/>
          </w:tcPr>
          <w:p>
            <w:pPr>
              <w:pStyle w:val="yTable"/>
              <w:tabs>
                <w:tab w:val="left" w:pos="0"/>
                <w:tab w:val="left" w:pos="1168"/>
              </w:tabs>
              <w:spacing w:before="0"/>
              <w:ind w:left="34" w:hanging="34"/>
            </w:pPr>
            <w:r>
              <w:t xml:space="preserve">On an appointment to tax a bill of costs in a cause or matter or under the </w:t>
            </w:r>
            <w:r>
              <w:rPr>
                <w:i/>
              </w:rPr>
              <w:t>Commercial Arbitration Act 1985</w:t>
            </w:r>
            <w:r>
              <w:t>:</w:t>
            </w:r>
          </w:p>
        </w:tc>
        <w:tc>
          <w:tcPr>
            <w:tcW w:w="1275" w:type="dxa"/>
            <w:gridSpan w:val="2"/>
          </w:tcPr>
          <w:p>
            <w:pPr>
              <w:pStyle w:val="yTable"/>
              <w:tabs>
                <w:tab w:val="right" w:pos="742"/>
              </w:tabs>
              <w:spacing w:before="0"/>
            </w:pPr>
          </w:p>
        </w:tc>
        <w:tc>
          <w:tcPr>
            <w:tcW w:w="1134" w:type="dxa"/>
          </w:tcPr>
          <w:p>
            <w:pPr>
              <w:pStyle w:val="yTable"/>
              <w:tabs>
                <w:tab w:val="right" w:pos="363"/>
              </w:tabs>
              <w:spacing w:before="0"/>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(a)</w:t>
            </w:r>
            <w:r>
              <w:tab/>
              <w:t>lodgement fee .........................................</w:t>
            </w:r>
          </w:p>
        </w:tc>
        <w:tc>
          <w:tcPr>
            <w:tcW w:w="1275" w:type="dxa"/>
            <w:gridSpan w:val="2"/>
          </w:tcPr>
          <w:p>
            <w:pPr>
              <w:pStyle w:val="yTable"/>
              <w:tabs>
                <w:tab w:val="right" w:pos="600"/>
              </w:tabs>
            </w:pPr>
            <w:r>
              <w:tab/>
              <w:t>114</w:t>
            </w:r>
          </w:p>
        </w:tc>
        <w:tc>
          <w:tcPr>
            <w:tcW w:w="1134" w:type="dxa"/>
          </w:tcPr>
          <w:p>
            <w:pPr>
              <w:pStyle w:val="yTable"/>
              <w:tabs>
                <w:tab w:val="right" w:pos="646"/>
              </w:tabs>
            </w:pPr>
            <w:r>
              <w:tab/>
              <w:t>171</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in addition to the lodgement fee, a taxing fee at the rate of ...........................</w:t>
            </w:r>
          </w:p>
        </w:tc>
        <w:tc>
          <w:tcPr>
            <w:tcW w:w="1275" w:type="dxa"/>
            <w:gridSpan w:val="2"/>
          </w:tcPr>
          <w:p>
            <w:pPr>
              <w:pStyle w:val="yTable"/>
              <w:tabs>
                <w:tab w:val="right" w:pos="742"/>
              </w:tabs>
            </w:pPr>
            <w:r>
              <w:br/>
            </w:r>
            <w:r>
              <w:tab/>
              <w:t>2.5%</w:t>
            </w:r>
          </w:p>
        </w:tc>
        <w:tc>
          <w:tcPr>
            <w:tcW w:w="1134" w:type="dxa"/>
          </w:tcPr>
          <w:p>
            <w:pPr>
              <w:pStyle w:val="yTable"/>
              <w:tabs>
                <w:tab w:val="right" w:pos="788"/>
              </w:tabs>
            </w:pPr>
            <w:r>
              <w:br/>
            </w:r>
            <w:r>
              <w:tab/>
              <w:t>2.5%</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1:</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 rate is to be applied to the amount at which the bill is drawn.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2:</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taxing Officer must allow, against the person chargeable with the costs as taxed, taxing fees at the rate indicated in Item 10(b) of the amount found to be due on taxation.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pPr>
            <w:r>
              <w:t>NOTE 3:</w:t>
            </w:r>
          </w:p>
          <w:p>
            <w:pPr>
              <w:pStyle w:val="yTable"/>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pPr>
              <w:pStyle w:val="yTable"/>
              <w:tabs>
                <w:tab w:val="left" w:pos="459"/>
              </w:tabs>
              <w:ind w:left="459" w:hanging="425"/>
            </w:pPr>
            <w:r>
              <w:t>(a)</w:t>
            </w:r>
            <w:r>
              <w:tab/>
              <w:t>if the appointment is cancelled less than 3 days before the day of the appointment, nil;</w:t>
            </w:r>
          </w:p>
          <w:p>
            <w:pPr>
              <w:pStyle w:val="yTable"/>
              <w:tabs>
                <w:tab w:val="left" w:pos="459"/>
              </w:tabs>
              <w:ind w:left="459" w:hanging="425"/>
            </w:pPr>
            <w:r>
              <w:t>(b)</w:t>
            </w:r>
            <w:r>
              <w:tab/>
              <w:t>if the appointment is cancelled 3 days or more and less than 10 days before the day of the appointment, 50%;</w:t>
            </w:r>
          </w:p>
          <w:p>
            <w:pPr>
              <w:pStyle w:val="yTable"/>
              <w:tabs>
                <w:tab w:val="left" w:pos="0"/>
                <w:tab w:val="left" w:pos="459"/>
              </w:tabs>
              <w:ind w:left="459" w:hanging="425"/>
            </w:pPr>
            <w:r>
              <w:t>(c)</w:t>
            </w:r>
            <w:r>
              <w:tab/>
              <w:t>if the appointment is cancelled 10 or more days before the day of the appointment, 80%.</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pPr>
            <w:r>
              <w:t>11.</w:t>
            </w:r>
          </w:p>
        </w:tc>
        <w:tc>
          <w:tcPr>
            <w:tcW w:w="4253" w:type="dxa"/>
          </w:tcPr>
          <w:p>
            <w:pPr>
              <w:pStyle w:val="yTable"/>
            </w:pPr>
            <w:r>
              <w:t>For searching any record or proceeding ....</w:t>
            </w:r>
          </w:p>
        </w:tc>
        <w:tc>
          <w:tcPr>
            <w:tcW w:w="1275" w:type="dxa"/>
            <w:gridSpan w:val="2"/>
          </w:tcPr>
          <w:p>
            <w:pPr>
              <w:pStyle w:val="yTable"/>
              <w:tabs>
                <w:tab w:val="right" w:pos="600"/>
              </w:tabs>
            </w:pPr>
            <w:r>
              <w:tab/>
              <w:t>23</w:t>
            </w:r>
          </w:p>
        </w:tc>
        <w:tc>
          <w:tcPr>
            <w:tcW w:w="1134" w:type="dxa"/>
          </w:tcPr>
          <w:p>
            <w:pPr>
              <w:pStyle w:val="yTable"/>
              <w:tabs>
                <w:tab w:val="right" w:pos="600"/>
              </w:tabs>
            </w:pPr>
            <w:r>
              <w:tab/>
              <w:t>23</w:t>
            </w:r>
          </w:p>
        </w:tc>
      </w:tr>
      <w:tr>
        <w:trPr>
          <w:cantSplit/>
        </w:trPr>
        <w:tc>
          <w:tcPr>
            <w:tcW w:w="709" w:type="dxa"/>
          </w:tcPr>
          <w:p>
            <w:pPr>
              <w:pStyle w:val="zytable"/>
              <w:ind w:left="0" w:right="0"/>
            </w:pPr>
          </w:p>
        </w:tc>
        <w:tc>
          <w:tcPr>
            <w:tcW w:w="4253" w:type="dxa"/>
          </w:tcPr>
          <w:p>
            <w:pPr>
              <w:pStyle w:val="yTable"/>
            </w:pPr>
            <w:r>
              <w:t>NOTE:</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pPr>
            <w:r>
              <w:t xml:space="preserve">No fee is payable under item 11 for a search made — </w:t>
            </w:r>
          </w:p>
          <w:p>
            <w:pPr>
              <w:pStyle w:val="yTable"/>
              <w:tabs>
                <w:tab w:val="left" w:pos="459"/>
              </w:tabs>
              <w:ind w:left="459" w:hanging="459"/>
            </w:pPr>
            <w:r>
              <w:t>(a)</w:t>
            </w:r>
            <w:r>
              <w:tab/>
              <w:t>by or on behalf of a party to the proceedings; or</w:t>
            </w:r>
          </w:p>
          <w:p>
            <w:pPr>
              <w:pStyle w:val="yTable"/>
              <w:tabs>
                <w:tab w:val="left" w:pos="459"/>
              </w:tabs>
              <w:ind w:left="459" w:hanging="459"/>
            </w:pPr>
            <w:r>
              <w:t>(b)</w:t>
            </w:r>
            <w:r>
              <w:tab/>
              <w:t>by an approved recipient of searchable information provided to it under regulation 11A.</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pPr>
            <w:r>
              <w:t>11A.</w:t>
            </w:r>
          </w:p>
        </w:tc>
        <w:tc>
          <w:tcPr>
            <w:tcW w:w="4253" w:type="dxa"/>
          </w:tcPr>
          <w:p>
            <w:pPr>
              <w:pStyle w:val="yTable"/>
            </w:pPr>
            <w:r>
              <w:t xml:space="preserve">For provision of searchable information to approved recipients under regulation 11A — </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tabs>
                <w:tab w:val="left" w:pos="459"/>
              </w:tabs>
              <w:ind w:left="459" w:hanging="459"/>
            </w:pPr>
            <w:r>
              <w:t>(a)</w:t>
            </w:r>
            <w:r>
              <w:tab/>
              <w:t xml:space="preserve">fee per </w:t>
            </w:r>
            <w:r>
              <w:rPr>
                <w:rFonts w:eastAsia="MS Mincho"/>
              </w:rPr>
              <w:t xml:space="preserve">action or matter provided to </w:t>
            </w:r>
            <w:r>
              <w:t>recipient</w:t>
            </w:r>
            <w:r>
              <w:rPr>
                <w:rFonts w:eastAsia="MS Mincho"/>
              </w:rPr>
              <w:t xml:space="preserve"> </w:t>
            </w:r>
          </w:p>
        </w:tc>
        <w:tc>
          <w:tcPr>
            <w:tcW w:w="1275" w:type="dxa"/>
            <w:gridSpan w:val="2"/>
          </w:tcPr>
          <w:p>
            <w:pPr>
              <w:pStyle w:val="yTable"/>
              <w:tabs>
                <w:tab w:val="right" w:pos="600"/>
              </w:tabs>
            </w:pPr>
            <w:r>
              <w:br/>
            </w:r>
            <w:r>
              <w:tab/>
              <w:t>1</w:t>
            </w:r>
          </w:p>
        </w:tc>
        <w:tc>
          <w:tcPr>
            <w:tcW w:w="1134" w:type="dxa"/>
          </w:tcPr>
          <w:p>
            <w:pPr>
              <w:pStyle w:val="yTable"/>
              <w:tabs>
                <w:tab w:val="right" w:pos="600"/>
              </w:tabs>
            </w:pPr>
            <w:r>
              <w:br/>
            </w:r>
            <w:r>
              <w:tab/>
              <w:t>1</w:t>
            </w:r>
          </w:p>
        </w:tc>
      </w:tr>
      <w:tr>
        <w:trPr>
          <w:cantSplit/>
        </w:trPr>
        <w:tc>
          <w:tcPr>
            <w:tcW w:w="709" w:type="dxa"/>
          </w:tcPr>
          <w:p>
            <w:pPr>
              <w:pStyle w:val="zytable"/>
              <w:ind w:left="0" w:right="0"/>
            </w:pPr>
          </w:p>
        </w:tc>
        <w:tc>
          <w:tcPr>
            <w:tcW w:w="4253" w:type="dxa"/>
          </w:tcPr>
          <w:p>
            <w:pPr>
              <w:pStyle w:val="yTable"/>
              <w:tabs>
                <w:tab w:val="left" w:pos="459"/>
              </w:tabs>
              <w:ind w:left="459" w:hanging="459"/>
            </w:pPr>
            <w:r>
              <w:t>(b)</w:t>
            </w:r>
            <w:r>
              <w:tab/>
              <w:t>annual fee for information provided by email to approved recipient ...................</w:t>
            </w:r>
          </w:p>
        </w:tc>
        <w:tc>
          <w:tcPr>
            <w:tcW w:w="1275" w:type="dxa"/>
            <w:gridSpan w:val="2"/>
          </w:tcPr>
          <w:p>
            <w:pPr>
              <w:pStyle w:val="yTable"/>
              <w:tabs>
                <w:tab w:val="right" w:pos="600"/>
              </w:tabs>
            </w:pPr>
            <w:r>
              <w:br/>
            </w:r>
            <w:r>
              <w:tab/>
              <w:t>1 042</w:t>
            </w:r>
          </w:p>
        </w:tc>
        <w:tc>
          <w:tcPr>
            <w:tcW w:w="1134" w:type="dxa"/>
          </w:tcPr>
          <w:p>
            <w:pPr>
              <w:pStyle w:val="yTable"/>
              <w:tabs>
                <w:tab w:val="right" w:pos="600"/>
              </w:tabs>
            </w:pPr>
            <w:r>
              <w:br/>
            </w:r>
            <w:r>
              <w:tab/>
              <w:t>1 042</w:t>
            </w:r>
          </w:p>
        </w:tc>
      </w:tr>
      <w:tr>
        <w:trPr>
          <w:cantSplit/>
        </w:trPr>
        <w:tc>
          <w:tcPr>
            <w:tcW w:w="709" w:type="dxa"/>
          </w:tcPr>
          <w:p>
            <w:pPr>
              <w:pStyle w:val="zytable"/>
              <w:ind w:left="0" w:right="0"/>
            </w:pPr>
          </w:p>
        </w:tc>
        <w:tc>
          <w:tcPr>
            <w:tcW w:w="4253" w:type="dxa"/>
          </w:tcPr>
          <w:p>
            <w:pPr>
              <w:pStyle w:val="yTable"/>
            </w:pPr>
            <w:r>
              <w:t>NOTE:</w:t>
            </w:r>
          </w:p>
        </w:tc>
        <w:tc>
          <w:tcPr>
            <w:tcW w:w="1275" w:type="dxa"/>
            <w:gridSpan w:val="2"/>
          </w:tcPr>
          <w:p>
            <w:pPr>
              <w:pStyle w:val="zytable"/>
              <w:keepNext/>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pPr>
            <w:r>
              <w:t>The fee under item 11A(b) is payable on the date on which the recipient is approved by the Attorney General and on each anniversary of that date.</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jc w:val="center"/>
            </w:pPr>
            <w:r>
              <w:t>12.</w:t>
            </w:r>
          </w:p>
        </w:tc>
        <w:tc>
          <w:tcPr>
            <w:tcW w:w="4253" w:type="dxa"/>
          </w:tcPr>
          <w:p>
            <w:pPr>
              <w:pStyle w:val="yTable"/>
              <w:tabs>
                <w:tab w:val="left" w:pos="459"/>
              </w:tabs>
              <w:ind w:left="459" w:hanging="459"/>
            </w:pPr>
            <w:r>
              <w:t>(a)</w:t>
            </w:r>
            <w:r>
              <w:tab/>
              <w:t>On an application for the production of records or documents that are required to be produced to any court, tribunal, arbitrator or umpire ................................</w:t>
            </w:r>
          </w:p>
        </w:tc>
        <w:tc>
          <w:tcPr>
            <w:tcW w:w="1275" w:type="dxa"/>
            <w:gridSpan w:val="2"/>
          </w:tcPr>
          <w:p>
            <w:pPr>
              <w:pStyle w:val="yTable"/>
              <w:tabs>
                <w:tab w:val="right" w:pos="600"/>
              </w:tabs>
            </w:pPr>
            <w:r>
              <w:br/>
            </w:r>
            <w:r>
              <w:br/>
            </w:r>
            <w:r>
              <w:br/>
            </w:r>
            <w:r>
              <w:tab/>
              <w:t>34</w:t>
            </w:r>
          </w:p>
        </w:tc>
        <w:tc>
          <w:tcPr>
            <w:tcW w:w="1134" w:type="dxa"/>
          </w:tcPr>
          <w:p>
            <w:pPr>
              <w:pStyle w:val="yTable"/>
              <w:tabs>
                <w:tab w:val="right" w:pos="646"/>
              </w:tabs>
            </w:pPr>
            <w:r>
              <w:br/>
            </w:r>
            <w:r>
              <w:br/>
            </w:r>
            <w:r>
              <w:br/>
            </w:r>
            <w:r>
              <w:tab/>
              <w:t>34</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If an officer is required to attend at any court or place out of the District Court building, the officer’s reasonable expenses and, in addition for each hour when the officer is necessarily absent from his or her office .............................</w:t>
            </w:r>
          </w:p>
        </w:tc>
        <w:tc>
          <w:tcPr>
            <w:tcW w:w="1275" w:type="dxa"/>
            <w:gridSpan w:val="2"/>
          </w:tcPr>
          <w:p>
            <w:pPr>
              <w:pStyle w:val="yTable"/>
              <w:tabs>
                <w:tab w:val="right" w:pos="600"/>
              </w:tabs>
            </w:pPr>
            <w:r>
              <w:br/>
            </w:r>
            <w:r>
              <w:br/>
            </w:r>
            <w:r>
              <w:br/>
            </w:r>
            <w:r>
              <w:br/>
            </w:r>
            <w:r>
              <w:br/>
            </w:r>
            <w:r>
              <w:tab/>
              <w:t>57</w:t>
            </w:r>
          </w:p>
        </w:tc>
        <w:tc>
          <w:tcPr>
            <w:tcW w:w="1134" w:type="dxa"/>
          </w:tcPr>
          <w:p>
            <w:pPr>
              <w:pStyle w:val="yTable"/>
              <w:tabs>
                <w:tab w:val="right" w:pos="646"/>
              </w:tabs>
            </w:pPr>
            <w:r>
              <w:br/>
            </w:r>
            <w:r>
              <w:br/>
            </w:r>
            <w:r>
              <w:br/>
            </w:r>
            <w:r>
              <w:br/>
            </w:r>
            <w:r>
              <w:br/>
            </w:r>
            <w:r>
              <w:tab/>
              <w:t>57</w:t>
            </w:r>
          </w:p>
        </w:tc>
      </w:tr>
      <w:tr>
        <w:trPr>
          <w:cantSplit/>
        </w:trPr>
        <w:tc>
          <w:tcPr>
            <w:tcW w:w="709" w:type="dxa"/>
          </w:tcPr>
          <w:p>
            <w:pPr>
              <w:pStyle w:val="yTable"/>
              <w:jc w:val="center"/>
            </w:pPr>
            <w:r>
              <w:t>13.</w:t>
            </w:r>
          </w:p>
        </w:tc>
        <w:tc>
          <w:tcPr>
            <w:tcW w:w="4253" w:type="dxa"/>
          </w:tcPr>
          <w:p>
            <w:pPr>
              <w:pStyle w:val="yTable"/>
              <w:tabs>
                <w:tab w:val="left" w:pos="459"/>
              </w:tabs>
              <w:ind w:left="459" w:hanging="459"/>
            </w:pPr>
            <w:r>
              <w:t>(a)</w:t>
            </w:r>
            <w:r>
              <w:tab/>
              <w:t>For a copy of a document of any kind or an exhibit, including marking as an office copy if required, for each page or part thereof ..................</w:t>
            </w:r>
          </w:p>
        </w:tc>
        <w:tc>
          <w:tcPr>
            <w:tcW w:w="1275" w:type="dxa"/>
            <w:gridSpan w:val="2"/>
          </w:tcPr>
          <w:p>
            <w:pPr>
              <w:pStyle w:val="yTable"/>
              <w:tabs>
                <w:tab w:val="right" w:pos="600"/>
              </w:tabs>
            </w:pPr>
            <w:r>
              <w:br/>
            </w:r>
            <w:r>
              <w:br/>
            </w:r>
            <w:r>
              <w:br/>
            </w:r>
            <w:r>
              <w:tab/>
              <w:t>3</w:t>
            </w:r>
          </w:p>
        </w:tc>
        <w:tc>
          <w:tcPr>
            <w:tcW w:w="1134" w:type="dxa"/>
          </w:tcPr>
          <w:p>
            <w:pPr>
              <w:pStyle w:val="yTable"/>
              <w:tabs>
                <w:tab w:val="right" w:pos="646"/>
              </w:tabs>
            </w:pPr>
            <w:r>
              <w:br/>
            </w:r>
            <w:r>
              <w:br/>
            </w:r>
            <w:r>
              <w:br/>
            </w:r>
            <w:r>
              <w:tab/>
              <w:t>3</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For a copy of reasons for judgment —</w:t>
            </w:r>
          </w:p>
          <w:p>
            <w:pPr>
              <w:pStyle w:val="yTable"/>
              <w:tabs>
                <w:tab w:val="left" w:pos="884"/>
              </w:tabs>
              <w:ind w:left="884" w:hanging="425"/>
            </w:pPr>
            <w:r>
              <w:t>(i)</w:t>
            </w:r>
            <w:r>
              <w:tab/>
              <w:t>for each copy consisting of not more than 10 pages issued to a person not a party to the proceedings and for each copy in excess of one copy issued to a party to the proceedings .................</w:t>
            </w:r>
          </w:p>
          <w:p>
            <w:pPr>
              <w:pStyle w:val="yTable"/>
              <w:tabs>
                <w:tab w:val="left" w:pos="884"/>
              </w:tabs>
              <w:ind w:left="884" w:hanging="425"/>
              <w:rPr>
                <w:spacing w:val="-4"/>
              </w:rPr>
            </w:pPr>
            <w:r>
              <w:rPr>
                <w:spacing w:val="-4"/>
              </w:rPr>
              <w:t>(ii)</w:t>
            </w:r>
            <w:r>
              <w:rPr>
                <w:spacing w:val="-4"/>
              </w:rPr>
              <w:tab/>
              <w:t>for each copy consisting of 10 or more pages an additional fee per page of ................................................</w:t>
            </w:r>
          </w:p>
        </w:tc>
        <w:tc>
          <w:tcPr>
            <w:tcW w:w="1275" w:type="dxa"/>
            <w:gridSpan w:val="2"/>
          </w:tcPr>
          <w:p>
            <w:pPr>
              <w:pStyle w:val="yTable"/>
              <w:tabs>
                <w:tab w:val="right" w:pos="742"/>
              </w:tabs>
            </w:pPr>
            <w:r>
              <w:br/>
            </w:r>
            <w:r>
              <w:br/>
            </w:r>
          </w:p>
          <w:p>
            <w:pPr>
              <w:pStyle w:val="yTable"/>
              <w:tabs>
                <w:tab w:val="right" w:pos="742"/>
              </w:tabs>
            </w:pPr>
            <w:r>
              <w:br/>
            </w:r>
          </w:p>
          <w:p>
            <w:pPr>
              <w:pStyle w:val="yTable"/>
              <w:tabs>
                <w:tab w:val="right" w:pos="600"/>
              </w:tabs>
            </w:pPr>
            <w:r>
              <w:br/>
            </w:r>
            <w:r>
              <w:tab/>
              <w:t>8</w:t>
            </w:r>
          </w:p>
          <w:p>
            <w:pPr>
              <w:pStyle w:val="yTable"/>
              <w:tabs>
                <w:tab w:val="right" w:pos="600"/>
              </w:tabs>
            </w:pPr>
            <w:r>
              <w:br/>
            </w:r>
            <w:r>
              <w:br/>
            </w:r>
            <w:r>
              <w:tab/>
              <w:t>1</w:t>
            </w:r>
          </w:p>
        </w:tc>
        <w:tc>
          <w:tcPr>
            <w:tcW w:w="1134" w:type="dxa"/>
          </w:tcPr>
          <w:p>
            <w:pPr>
              <w:pStyle w:val="yTable"/>
              <w:tabs>
                <w:tab w:val="right" w:pos="363"/>
                <w:tab w:val="right" w:pos="743"/>
              </w:tabs>
            </w:pPr>
            <w:r>
              <w:br/>
            </w:r>
            <w:r>
              <w:br/>
            </w:r>
          </w:p>
          <w:p>
            <w:pPr>
              <w:pStyle w:val="yTable"/>
              <w:tabs>
                <w:tab w:val="right" w:pos="363"/>
                <w:tab w:val="right" w:pos="743"/>
              </w:tabs>
            </w:pPr>
            <w:r>
              <w:br/>
            </w:r>
          </w:p>
          <w:p>
            <w:pPr>
              <w:pStyle w:val="yTable"/>
              <w:tabs>
                <w:tab w:val="right" w:pos="646"/>
              </w:tabs>
            </w:pPr>
            <w:r>
              <w:br/>
            </w:r>
            <w:r>
              <w:tab/>
              <w:t>8</w:t>
            </w:r>
          </w:p>
          <w:p>
            <w:pPr>
              <w:pStyle w:val="yTable"/>
              <w:tabs>
                <w:tab w:val="right" w:pos="646"/>
              </w:tabs>
            </w:pPr>
            <w:r>
              <w:br/>
            </w:r>
            <w:r>
              <w:br/>
            </w:r>
            <w:r>
              <w:tab/>
              <w:t>1</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(c)</w:t>
            </w:r>
            <w:r>
              <w:tab/>
              <w:t>for certifying under seal that a document is a true copy, an additional fee of ......................................................</w:t>
            </w:r>
          </w:p>
        </w:tc>
        <w:tc>
          <w:tcPr>
            <w:tcW w:w="1275" w:type="dxa"/>
            <w:gridSpan w:val="2"/>
          </w:tcPr>
          <w:p>
            <w:pPr>
              <w:pStyle w:val="yTable"/>
              <w:tabs>
                <w:tab w:val="right" w:pos="600"/>
              </w:tabs>
            </w:pPr>
            <w:r>
              <w:br/>
            </w:r>
            <w:r>
              <w:br/>
            </w:r>
            <w:r>
              <w:tab/>
              <w:t>11</w:t>
            </w:r>
          </w:p>
        </w:tc>
        <w:tc>
          <w:tcPr>
            <w:tcW w:w="1134" w:type="dxa"/>
          </w:tcPr>
          <w:p>
            <w:pPr>
              <w:pStyle w:val="yTable"/>
              <w:tabs>
                <w:tab w:val="right" w:pos="646"/>
              </w:tabs>
            </w:pPr>
            <w:r>
              <w:br/>
            </w:r>
            <w:r>
              <w:br/>
            </w:r>
            <w:r>
              <w:tab/>
              <w:t>11</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for a certificate under the hand of a Registrar .................................................</w:t>
            </w:r>
          </w:p>
        </w:tc>
        <w:tc>
          <w:tcPr>
            <w:tcW w:w="1275" w:type="dxa"/>
            <w:gridSpan w:val="2"/>
          </w:tcPr>
          <w:p>
            <w:pPr>
              <w:pStyle w:val="yTable"/>
              <w:tabs>
                <w:tab w:val="right" w:pos="600"/>
              </w:tabs>
            </w:pPr>
            <w:r>
              <w:br/>
            </w:r>
            <w:r>
              <w:tab/>
              <w:t>46</w:t>
            </w:r>
          </w:p>
        </w:tc>
        <w:tc>
          <w:tcPr>
            <w:tcW w:w="1134" w:type="dxa"/>
          </w:tcPr>
          <w:p>
            <w:pPr>
              <w:pStyle w:val="yTable"/>
              <w:tabs>
                <w:tab w:val="right" w:pos="646"/>
              </w:tabs>
            </w:pPr>
            <w:r>
              <w:br/>
            </w:r>
            <w:r>
              <w:tab/>
              <w:t>46</w:t>
            </w:r>
          </w:p>
        </w:tc>
      </w:tr>
      <w:tr>
        <w:tc>
          <w:tcPr>
            <w:tcW w:w="709" w:type="dxa"/>
          </w:tcPr>
          <w:p>
            <w:pPr>
              <w:pStyle w:val="yTable"/>
            </w:pPr>
            <w:r>
              <w:t>14.</w:t>
            </w:r>
          </w:p>
        </w:tc>
        <w:tc>
          <w:tcPr>
            <w:tcW w:w="4253" w:type="dxa"/>
          </w:tcPr>
          <w:p>
            <w:pPr>
              <w:pStyle w:val="yTable"/>
              <w:tabs>
                <w:tab w:val="left" w:pos="459"/>
              </w:tabs>
              <w:ind w:left="459" w:hanging="459"/>
            </w:pPr>
            <w:r>
              <w:t>(a)</w:t>
            </w:r>
            <w:r>
              <w:tab/>
              <w:t>For a copy of a transcript, for each page or part of a page .....................................</w:t>
            </w:r>
          </w:p>
        </w:tc>
        <w:tc>
          <w:tcPr>
            <w:tcW w:w="1275" w:type="dxa"/>
            <w:gridSpan w:val="2"/>
          </w:tcPr>
          <w:p>
            <w:pPr>
              <w:pStyle w:val="yTable"/>
            </w:pPr>
            <w:r>
              <w:br/>
            </w:r>
            <w:r>
              <w:br/>
              <w:t>4.50</w:t>
            </w:r>
          </w:p>
        </w:tc>
        <w:tc>
          <w:tcPr>
            <w:tcW w:w="1134" w:type="dxa"/>
          </w:tcPr>
          <w:p>
            <w:pPr>
              <w:pStyle w:val="yTable"/>
            </w:pPr>
            <w:r>
              <w:br/>
            </w:r>
            <w:r>
              <w:br/>
              <w:t>4.50</w:t>
            </w:r>
          </w:p>
        </w:tc>
      </w:tr>
      <w:tr>
        <w:tc>
          <w:tcPr>
            <w:tcW w:w="709" w:type="dxa"/>
          </w:tcPr>
          <w:p>
            <w:pPr>
              <w:pStyle w:val="zytable"/>
              <w:pageBreakBefore/>
              <w:ind w:left="0" w:right="34"/>
            </w:pPr>
          </w:p>
        </w:tc>
        <w:tc>
          <w:tcPr>
            <w:tcW w:w="4253" w:type="dxa"/>
          </w:tcPr>
          <w:p>
            <w:pPr>
              <w:pStyle w:val="yTable"/>
              <w:tabs>
                <w:tab w:val="left" w:pos="459"/>
              </w:tabs>
              <w:ind w:left="459" w:hanging="459"/>
            </w:pPr>
            <w:r>
              <w:t>(b)</w:t>
            </w:r>
            <w:r>
              <w:tab/>
              <w:t>For each copy of a transcript in electronic format if a fee has been paid under paragraph (a) by the applicant for a copy of the transcript, for each day of transcript ............................................</w:t>
            </w:r>
          </w:p>
        </w:tc>
        <w:tc>
          <w:tcPr>
            <w:tcW w:w="1275" w:type="dxa"/>
            <w:gridSpan w:val="2"/>
          </w:tcPr>
          <w:p>
            <w:pPr>
              <w:pStyle w:val="yTable"/>
            </w:pPr>
            <w:r>
              <w:br/>
            </w:r>
            <w:r>
              <w:br/>
            </w:r>
            <w:r>
              <w:br/>
            </w:r>
            <w:r>
              <w:br/>
              <w:t>11</w:t>
            </w:r>
          </w:p>
        </w:tc>
        <w:tc>
          <w:tcPr>
            <w:tcW w:w="1134" w:type="dxa"/>
          </w:tcPr>
          <w:p>
            <w:pPr>
              <w:pStyle w:val="yTable"/>
            </w:pPr>
            <w:r>
              <w:br/>
            </w:r>
            <w:r>
              <w:br/>
            </w:r>
            <w:r>
              <w:br/>
            </w:r>
            <w:r>
              <w:br/>
              <w:t>11</w:t>
            </w:r>
          </w:p>
        </w:tc>
      </w:tr>
      <w:tr>
        <w:tc>
          <w:tcPr>
            <w:tcW w:w="709" w:type="dxa"/>
          </w:tcPr>
          <w:p>
            <w:pPr>
              <w:pStyle w:val="zytable"/>
              <w:ind w:left="0" w:right="34"/>
            </w:pPr>
          </w:p>
        </w:tc>
        <w:tc>
          <w:tcPr>
            <w:tcW w:w="4253" w:type="dxa"/>
          </w:tcPr>
          <w:p>
            <w:pPr>
              <w:pStyle w:val="yTable"/>
              <w:tabs>
                <w:tab w:val="left" w:pos="459"/>
              </w:tabs>
              <w:ind w:left="459" w:hanging="459"/>
            </w:pPr>
            <w:r>
              <w:t>(c)</w:t>
            </w:r>
            <w:r>
              <w:tab/>
              <w:t>For each copy of a transcript not in electronic format if a fee has been paid under paragraph (a) by the applicant for a copy of the transcript, for each page or part of a page .........................................</w:t>
            </w:r>
          </w:p>
        </w:tc>
        <w:tc>
          <w:tcPr>
            <w:tcW w:w="1275" w:type="dxa"/>
            <w:gridSpan w:val="2"/>
          </w:tcPr>
          <w:p>
            <w:pPr>
              <w:pStyle w:val="yTable"/>
            </w:pPr>
            <w:r>
              <w:br/>
            </w:r>
            <w:r>
              <w:br/>
            </w:r>
            <w:r>
              <w:br/>
            </w:r>
            <w:r>
              <w:br/>
              <w:t>1.50</w:t>
            </w:r>
          </w:p>
        </w:tc>
        <w:tc>
          <w:tcPr>
            <w:tcW w:w="1134" w:type="dxa"/>
          </w:tcPr>
          <w:p>
            <w:pPr>
              <w:pStyle w:val="yTable"/>
            </w:pPr>
            <w:r>
              <w:br/>
            </w:r>
            <w:r>
              <w:br/>
            </w:r>
            <w:r>
              <w:br/>
            </w:r>
            <w:r>
              <w:br/>
              <w:t>1.50</w:t>
            </w:r>
          </w:p>
        </w:tc>
      </w:tr>
    </w:tbl>
    <w:p>
      <w:pPr>
        <w:pStyle w:val="Footnotesection"/>
      </w:pPr>
      <w:r>
        <w:tab/>
        <w:t>[Schedule 1 amended in Gazette 30 Dec 2003 p. 5705-7; 28 Apr 2005 p. 1754-5; 23 Jun 2005 p. 2690-1; 23 Jun 2006 p. 2188.]</w:t>
      </w:r>
    </w:p>
    <w:p>
      <w:pPr>
        <w:pStyle w:val="yHeading2"/>
      </w:pPr>
      <w:bookmarkStart w:id="88" w:name="_Toc138838341"/>
      <w:bookmarkStart w:id="89" w:name="_Toc138838360"/>
      <w:bookmarkStart w:id="90" w:name="_Toc138838381"/>
      <w:bookmarkStart w:id="91" w:name="_Toc139273602"/>
      <w:bookmarkStart w:id="92" w:name="_Toc533482767"/>
      <w:r>
        <w:rPr>
          <w:rStyle w:val="CharSchNo"/>
        </w:rPr>
        <w:t>Schedule 2</w:t>
      </w:r>
      <w:r>
        <w:t> — </w:t>
      </w:r>
      <w:r>
        <w:rPr>
          <w:rStyle w:val="CharSchText"/>
        </w:rPr>
        <w:t>Sheriff’s Fees</w:t>
      </w:r>
      <w:bookmarkEnd w:id="88"/>
      <w:bookmarkEnd w:id="89"/>
      <w:bookmarkEnd w:id="90"/>
      <w:bookmarkEnd w:id="91"/>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993"/>
        <w:gridCol w:w="4536"/>
        <w:gridCol w:w="1559"/>
      </w:tblGrid>
      <w:tr>
        <w:trPr>
          <w:cantSplit/>
          <w:tblHeader/>
        </w:trPr>
        <w:tc>
          <w:tcPr>
            <w:tcW w:w="993" w:type="dxa"/>
            <w:tcBorders>
              <w:top w:val="single" w:sz="4" w:space="0" w:color="auto"/>
              <w:bottom w:val="single" w:sz="4" w:space="0" w:color="auto"/>
            </w:tcBorders>
          </w:tcPr>
          <w:p>
            <w:pPr>
              <w:pStyle w:val="yTable"/>
            </w:pPr>
            <w:r>
              <w:rPr>
                <w:b/>
                <w:bCs/>
                <w:sz w:val="20"/>
              </w:rPr>
              <w:t>Item</w:t>
            </w:r>
          </w:p>
        </w:tc>
        <w:tc>
          <w:tcPr>
            <w:tcW w:w="4536" w:type="dxa"/>
            <w:tcBorders>
              <w:top w:val="single" w:sz="4" w:space="0" w:color="auto"/>
              <w:bottom w:val="single" w:sz="4" w:space="0" w:color="auto"/>
            </w:tcBorders>
          </w:tcPr>
          <w:p>
            <w:pPr>
              <w:pStyle w:val="yTable"/>
              <w:jc w:val="center"/>
            </w:pPr>
            <w:r>
              <w:rPr>
                <w:b/>
                <w:bCs/>
                <w:sz w:val="20"/>
              </w:rPr>
              <w:t>Matter</w:t>
            </w:r>
          </w:p>
        </w:tc>
        <w:tc>
          <w:tcPr>
            <w:tcW w:w="1559" w:type="dxa"/>
            <w:tcBorders>
              <w:top w:val="single" w:sz="4" w:space="0" w:color="auto"/>
              <w:bottom w:val="single" w:sz="4" w:space="0" w:color="auto"/>
            </w:tcBorders>
          </w:tcPr>
          <w:p>
            <w:pPr>
              <w:pStyle w:val="yTable"/>
            </w:pPr>
            <w:r>
              <w:rPr>
                <w:b/>
                <w:bCs/>
                <w:sz w:val="20"/>
              </w:rPr>
              <w:t>Fee</w:t>
            </w:r>
          </w:p>
          <w:p>
            <w:pPr>
              <w:pStyle w:val="yTable"/>
            </w:pPr>
            <w:r>
              <w:t>$</w:t>
            </w:r>
          </w:p>
        </w:tc>
      </w:tr>
      <w:tr>
        <w:tc>
          <w:tcPr>
            <w:tcW w:w="993" w:type="dxa"/>
          </w:tcPr>
          <w:p>
            <w:pPr>
              <w:pStyle w:val="yTable"/>
            </w:pPr>
            <w:r>
              <w:rPr>
                <w:sz w:val="20"/>
              </w:rPr>
              <w:t>1.</w:t>
            </w:r>
          </w:p>
        </w:tc>
        <w:tc>
          <w:tcPr>
            <w:tcW w:w="4536" w:type="dxa"/>
          </w:tcPr>
          <w:p>
            <w:pPr>
              <w:pStyle w:val="yTable"/>
            </w:pPr>
            <w:r>
              <w:rPr>
                <w:sz w:val="20"/>
              </w:rPr>
              <w:t xml:space="preserve">On the execution of an arrest warrant of any kind — </w:t>
            </w:r>
          </w:p>
        </w:tc>
        <w:tc>
          <w:tcPr>
            <w:tcW w:w="1559" w:type="dxa"/>
          </w:tcPr>
          <w:p>
            <w:pPr>
              <w:pStyle w:val="yTable"/>
            </w:pP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(a)</w:t>
            </w:r>
            <w:r>
              <w:rPr>
                <w:sz w:val="20"/>
              </w:rPr>
              <w:tab/>
              <w:t>for arresting the person ……….………………</w:t>
            </w:r>
          </w:p>
        </w:tc>
        <w:tc>
          <w:tcPr>
            <w:tcW w:w="1559" w:type="dxa"/>
          </w:tcPr>
          <w:p>
            <w:pPr>
              <w:pStyle w:val="yTable"/>
            </w:pPr>
            <w:r>
              <w:rPr>
                <w:sz w:val="20"/>
              </w:rPr>
              <w:t>72.50</w:t>
            </w: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559" w:type="dxa"/>
          </w:tcPr>
          <w:p>
            <w:pPr>
              <w:pStyle w:val="yTable"/>
            </w:pPr>
            <w:r>
              <w:rPr>
                <w:sz w:val="20"/>
              </w:rPr>
              <w:br/>
            </w:r>
            <w:r>
              <w:rPr>
                <w:sz w:val="20"/>
              </w:rPr>
              <w:br/>
              <w:t>72.50</w:t>
            </w: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(c)</w:t>
            </w:r>
            <w:r>
              <w:rPr>
                <w:sz w:val="20"/>
              </w:rPr>
              <w:tab/>
              <w:t xml:space="preserve">for each 30 minutes after 2 hours and 30 minutes that an enforcement officer, as defined in the </w:t>
            </w:r>
            <w:r>
              <w:rPr>
                <w:i/>
                <w:sz w:val="20"/>
              </w:rPr>
              <w:t>Civil Judgments Enforcement Act 2004</w:t>
            </w:r>
            <w:r>
              <w:rPr>
                <w:sz w:val="20"/>
              </w:rPr>
              <w:t xml:space="preserve"> section 3, is required to keep the person in custody until he or she is conveyed to a court or a custodial place ……………………</w:t>
            </w:r>
          </w:p>
        </w:tc>
        <w:tc>
          <w:tcPr>
            <w:tcW w:w="1559" w:type="dxa"/>
          </w:tcPr>
          <w:p>
            <w:pPr>
              <w:pStyle w:val="yTable"/>
            </w:pPr>
            <w:r>
              <w:rPr>
                <w:sz w:val="20"/>
              </w:rPr>
              <w:br/>
            </w:r>
            <w:r>
              <w:rPr>
                <w:sz w:val="20"/>
              </w:rPr>
              <w:br/>
            </w:r>
            <w:r>
              <w:rPr>
                <w:sz w:val="20"/>
              </w:rPr>
              <w:br/>
            </w:r>
            <w:r>
              <w:rPr>
                <w:sz w:val="20"/>
              </w:rPr>
              <w:br/>
            </w:r>
            <w:r>
              <w:rPr>
                <w:sz w:val="20"/>
              </w:rPr>
              <w:br/>
              <w:t>19.25</w:t>
            </w:r>
          </w:p>
        </w:tc>
      </w:tr>
      <w:tr>
        <w:trPr>
          <w:cantSplit/>
        </w:trPr>
        <w:tc>
          <w:tcPr>
            <w:tcW w:w="7088" w:type="dxa"/>
            <w:gridSpan w:val="3"/>
          </w:tcPr>
          <w:p>
            <w:pPr>
              <w:pStyle w:val="yTable"/>
            </w:pPr>
            <w:r>
              <w:rPr>
                <w:sz w:val="20"/>
              </w:rPr>
              <w:t>NOTE 1:</w:t>
            </w:r>
          </w:p>
          <w:p>
            <w:pPr>
              <w:pStyle w:val="yTable"/>
            </w:pPr>
            <w:r>
              <w:t>The fee under paragraph (a) is payable whether or not the Sheriff’s functions under the warrant are performed and includes up to 3 attempts to perform the functions at the same address.</w:t>
            </w:r>
          </w:p>
        </w:tc>
      </w:tr>
      <w:tr>
        <w:trPr>
          <w:cantSplit/>
        </w:trPr>
        <w:tc>
          <w:tcPr>
            <w:tcW w:w="7088" w:type="dxa"/>
            <w:gridSpan w:val="3"/>
          </w:tcPr>
          <w:p>
            <w:pPr>
              <w:pStyle w:val="yTable"/>
            </w:pPr>
            <w:r>
              <w:rPr>
                <w:sz w:val="20"/>
              </w:rPr>
              <w:t>NOTE 2:</w:t>
            </w:r>
          </w:p>
          <w:p>
            <w:pPr>
              <w:pStyle w:val="yTable"/>
            </w:pPr>
            <w:r>
              <w:t xml:space="preserve">The fee under paragraph (a) includes — </w:t>
            </w:r>
          </w:p>
          <w:p>
            <w:pPr>
              <w:pStyle w:val="yTable"/>
              <w:tabs>
                <w:tab w:val="left" w:pos="601"/>
              </w:tabs>
              <w:spacing w:before="0"/>
            </w:pPr>
            <w:r>
              <w:t>(a)</w:t>
            </w:r>
            <w:r>
              <w:tab/>
              <w:t>receipt of the warrant; and</w:t>
            </w:r>
          </w:p>
          <w:p>
            <w:pPr>
              <w:pStyle w:val="yTable"/>
              <w:tabs>
                <w:tab w:val="left" w:pos="601"/>
              </w:tabs>
              <w:spacing w:before="0"/>
            </w:pPr>
            <w:r>
              <w:t>(b)</w:t>
            </w:r>
            <w:r>
              <w:tab/>
              <w:t>attendances and inquiries before attempting arrest; and</w:t>
            </w:r>
          </w:p>
          <w:p>
            <w:pPr>
              <w:pStyle w:val="yTable"/>
              <w:tabs>
                <w:tab w:val="left" w:pos="601"/>
              </w:tabs>
              <w:spacing w:before="0"/>
            </w:pPr>
            <w:r>
              <w:t>(c)</w:t>
            </w:r>
            <w:r>
              <w:tab/>
              <w:t>giving any notice; and</w:t>
            </w:r>
          </w:p>
          <w:p>
            <w:pPr>
              <w:pStyle w:val="yTable"/>
              <w:tabs>
                <w:tab w:val="left" w:pos="601"/>
              </w:tabs>
              <w:spacing w:before="0"/>
            </w:pPr>
            <w:r>
              <w:t>(d)</w:t>
            </w:r>
            <w:r>
              <w:tab/>
              <w:t>making any report.</w:t>
            </w:r>
          </w:p>
        </w:tc>
      </w:tr>
      <w:tr>
        <w:trPr>
          <w:cantSplit/>
        </w:trPr>
        <w:tc>
          <w:tcPr>
            <w:tcW w:w="993" w:type="dxa"/>
          </w:tcPr>
          <w:p>
            <w:pPr>
              <w:pStyle w:val="yTable"/>
            </w:pPr>
            <w:r>
              <w:rPr>
                <w:sz w:val="20"/>
              </w:rPr>
              <w:t>2.</w:t>
            </w:r>
          </w:p>
        </w:tc>
        <w:tc>
          <w:tcPr>
            <w:tcW w:w="4536" w:type="dxa"/>
          </w:tcPr>
          <w:p>
            <w:pPr>
              <w:pStyle w:val="yTable"/>
            </w:pPr>
            <w:r>
              <w:rPr>
                <w:sz w:val="20"/>
              </w:rPr>
              <w:t>For the service of any writ, application, summons, originating process, notice or order of the Court or any other process requiring service ............................</w:t>
            </w:r>
          </w:p>
        </w:tc>
        <w:tc>
          <w:tcPr>
            <w:tcW w:w="1559" w:type="dxa"/>
          </w:tcPr>
          <w:p>
            <w:pPr>
              <w:pStyle w:val="yTable"/>
            </w:pPr>
            <w:r>
              <w:rPr>
                <w:sz w:val="20"/>
              </w:rPr>
              <w:br/>
            </w:r>
            <w:r>
              <w:rPr>
                <w:sz w:val="20"/>
              </w:rPr>
              <w:br/>
              <w:t>39.50</w:t>
            </w:r>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993" w:type="dxa"/>
          </w:tcPr>
          <w:p>
            <w:pPr>
              <w:pStyle w:val="yTable"/>
            </w:pPr>
            <w:r>
              <w:rPr>
                <w:sz w:val="20"/>
              </w:rPr>
              <w:t>3.</w:t>
            </w:r>
          </w:p>
        </w:tc>
        <w:tc>
          <w:tcPr>
            <w:tcW w:w="4536" w:type="dxa"/>
          </w:tcPr>
          <w:p>
            <w:pPr>
              <w:pStyle w:val="yTable"/>
            </w:pPr>
            <w:r>
              <w:rPr>
                <w:sz w:val="20"/>
              </w:rP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59" w:type="dxa"/>
          </w:tcPr>
          <w:p>
            <w:pPr>
              <w:pStyle w:val="yTable"/>
            </w:pP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559" w:type="dxa"/>
          </w:tcPr>
          <w:p>
            <w:pPr>
              <w:pStyle w:val="yTable"/>
            </w:pPr>
            <w:r>
              <w:rPr>
                <w:sz w:val="20"/>
              </w:rPr>
              <w:br/>
              <w:t>1.00</w:t>
            </w: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559" w:type="dxa"/>
          </w:tcPr>
          <w:p>
            <w:pPr>
              <w:pStyle w:val="yTable"/>
            </w:pPr>
            <w:r>
              <w:rPr>
                <w:sz w:val="20"/>
              </w:rPr>
              <w:br/>
              <w:t>1.10</w:t>
            </w:r>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r>
      <w:tr>
        <w:trPr>
          <w:cantSplit/>
        </w:trPr>
        <w:tc>
          <w:tcPr>
            <w:tcW w:w="993" w:type="dxa"/>
          </w:tcPr>
          <w:p>
            <w:pPr>
              <w:pStyle w:val="yTable"/>
              <w:rPr>
                <w:highlight w:val="yellow"/>
              </w:rPr>
            </w:pPr>
            <w:r>
              <w:rPr>
                <w:sz w:val="20"/>
              </w:rPr>
              <w:t>4.</w:t>
            </w:r>
          </w:p>
        </w:tc>
        <w:tc>
          <w:tcPr>
            <w:tcW w:w="4536" w:type="dxa"/>
          </w:tcPr>
          <w:p>
            <w:pPr>
              <w:pStyle w:val="yTable"/>
            </w:pPr>
            <w:r>
              <w:rPr>
                <w:sz w:val="20"/>
              </w:rPr>
              <w:t>Fee to the Sheriff for attending a view — per hour or part of an hour ....................................</w:t>
            </w:r>
          </w:p>
        </w:tc>
        <w:tc>
          <w:tcPr>
            <w:tcW w:w="1559" w:type="dxa"/>
          </w:tcPr>
          <w:p>
            <w:pPr>
              <w:pStyle w:val="yTable"/>
              <w:rPr>
                <w:highlight w:val="yellow"/>
              </w:rPr>
            </w:pPr>
            <w:r>
              <w:rPr>
                <w:sz w:val="20"/>
                <w:highlight w:val="yellow"/>
              </w:rPr>
              <w:br/>
            </w:r>
            <w:r>
              <w:rPr>
                <w:sz w:val="20"/>
              </w:rPr>
              <w:t>38.50</w:t>
            </w:r>
          </w:p>
        </w:tc>
      </w:tr>
      <w:tr>
        <w:trPr>
          <w:cantSplit/>
        </w:trPr>
        <w:tc>
          <w:tcPr>
            <w:tcW w:w="993" w:type="dxa"/>
          </w:tcPr>
          <w:p>
            <w:pPr>
              <w:pStyle w:val="yTable"/>
              <w:rPr>
                <w:highlight w:val="yellow"/>
              </w:rPr>
            </w:pPr>
            <w:r>
              <w:rPr>
                <w:sz w:val="20"/>
              </w:rPr>
              <w:t>5.</w:t>
            </w:r>
          </w:p>
        </w:tc>
        <w:tc>
          <w:tcPr>
            <w:tcW w:w="4536" w:type="dxa"/>
          </w:tcPr>
          <w:p>
            <w:pPr>
              <w:pStyle w:val="yTable"/>
              <w:tabs>
                <w:tab w:val="left" w:pos="459"/>
              </w:tabs>
              <w:ind w:left="459" w:hanging="459"/>
              <w:rPr>
                <w:sz w:val="20"/>
                <w:highlight w:val="yellow"/>
              </w:rPr>
            </w:pPr>
            <w:r>
              <w:rPr>
                <w:sz w:val="20"/>
              </w:rPr>
              <w:t>(a)</w:t>
            </w:r>
            <w:r>
              <w:rPr>
                <w:sz w:val="20"/>
              </w:rPr>
              <w:tab/>
              <w:t>For striking a jury and preparing jury panel .......</w:t>
            </w:r>
          </w:p>
        </w:tc>
        <w:tc>
          <w:tcPr>
            <w:tcW w:w="1559" w:type="dxa"/>
          </w:tcPr>
          <w:p>
            <w:pPr>
              <w:pStyle w:val="yTable"/>
              <w:rPr>
                <w:highlight w:val="yellow"/>
              </w:rPr>
            </w:pPr>
            <w:r>
              <w:rPr>
                <w:sz w:val="20"/>
              </w:rPr>
              <w:t>123.00</w:t>
            </w:r>
          </w:p>
        </w:tc>
      </w:tr>
      <w:tr>
        <w:trPr>
          <w:cantSplit/>
        </w:trPr>
        <w:tc>
          <w:tcPr>
            <w:tcW w:w="993" w:type="dxa"/>
            <w:tcBorders>
              <w:bottom w:val="single" w:sz="4" w:space="0" w:color="auto"/>
            </w:tcBorders>
          </w:tcPr>
          <w:p>
            <w:pPr>
              <w:pStyle w:val="zytable"/>
              <w:ind w:left="0"/>
              <w:rPr>
                <w:sz w:val="20"/>
                <w:highlight w:val="yellow"/>
              </w:rPr>
            </w:pPr>
          </w:p>
        </w:tc>
        <w:tc>
          <w:tcPr>
            <w:tcW w:w="4536" w:type="dxa"/>
            <w:tcBorders>
              <w:bottom w:val="single" w:sz="4" w:space="0" w:color="auto"/>
            </w:tcBorders>
          </w:tcPr>
          <w:p>
            <w:pPr>
              <w:pStyle w:val="yTable"/>
              <w:tabs>
                <w:tab w:val="left" w:pos="459"/>
              </w:tabs>
              <w:ind w:left="459" w:hanging="459"/>
              <w:rPr>
                <w:highlight w:val="yellow"/>
              </w:rPr>
            </w:pPr>
            <w:r>
              <w:rPr>
                <w:sz w:val="20"/>
              </w:rPr>
              <w:t>(b)</w:t>
            </w:r>
            <w:r>
              <w:rPr>
                <w:sz w:val="20"/>
              </w:rPr>
              <w:tab/>
              <w:t>For attendance of Sheriff</w:t>
            </w:r>
            <w:r>
              <w:rPr>
                <w:rFonts w:ascii="Times" w:hAnsi="Times"/>
                <w:spacing w:val="40"/>
                <w:sz w:val="20"/>
              </w:rPr>
              <w:t>’</w:t>
            </w:r>
            <w:r>
              <w:rPr>
                <w:sz w:val="20"/>
              </w:rPr>
              <w:t>s officer at hearing (per day or part of a day)</w:t>
            </w:r>
          </w:p>
        </w:tc>
        <w:tc>
          <w:tcPr>
            <w:tcW w:w="1559" w:type="dxa"/>
            <w:tcBorders>
              <w:bottom w:val="single" w:sz="4" w:space="0" w:color="auto"/>
            </w:tcBorders>
          </w:tcPr>
          <w:p>
            <w:pPr>
              <w:pStyle w:val="yTable"/>
              <w:rPr>
                <w:highlight w:val="yellow"/>
              </w:rPr>
            </w:pPr>
            <w:r>
              <w:rPr>
                <w:sz w:val="20"/>
              </w:rPr>
              <w:t>The sum actually and reasonably paid.</w:t>
            </w:r>
          </w:p>
        </w:tc>
      </w:tr>
    </w:tbl>
    <w:p>
      <w:pPr>
        <w:pStyle w:val="Footnotesection"/>
      </w:pPr>
      <w:r>
        <w:tab/>
        <w:t>[Schedule 2 inserted in Gazette 28 Apr 2005 p. 1756; amended in Gazette 23 Jun 2005 p. 2691-2; 23 Jun 2006 p. 2189.]</w:t>
      </w:r>
    </w:p>
    <w:p>
      <w:pPr>
        <w:pStyle w:val="yScheduleHeading"/>
      </w:pPr>
      <w:bookmarkStart w:id="93" w:name="_Toc138838342"/>
      <w:bookmarkStart w:id="94" w:name="_Toc138838361"/>
      <w:bookmarkStart w:id="95" w:name="_Toc138838382"/>
      <w:bookmarkStart w:id="96" w:name="_Toc139273603"/>
      <w:r>
        <w:rPr>
          <w:rStyle w:val="CharSchNo"/>
        </w:rPr>
        <w:t>Schedule 3</w:t>
      </w:r>
      <w:r>
        <w:t xml:space="preserve"> — </w:t>
      </w:r>
      <w:r>
        <w:rPr>
          <w:rStyle w:val="CharSchText"/>
        </w:rPr>
        <w:t>Forms</w:t>
      </w:r>
      <w:bookmarkEnd w:id="92"/>
      <w:bookmarkEnd w:id="93"/>
      <w:bookmarkEnd w:id="94"/>
      <w:bookmarkEnd w:id="95"/>
      <w:bookmarkEnd w:id="96"/>
    </w:p>
    <w:p>
      <w:pPr>
        <w:pStyle w:val="yShoulderClause"/>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single" w:sz="4" w:space="0" w:color="auto"/>
            </w:tcBorders>
          </w:tcPr>
          <w:p>
            <w:pPr>
              <w:pStyle w:val="yTable"/>
              <w:jc w:val="center"/>
              <w:rPr>
                <w:b/>
              </w:rPr>
            </w:pPr>
            <w:r>
              <w:rPr>
                <w:b/>
              </w:rPr>
              <w:t>Form 1</w:t>
            </w:r>
          </w:p>
        </w:tc>
      </w:tr>
      <w:tr>
        <w:tc>
          <w:tcPr>
            <w:tcW w:w="6804" w:type="dxa"/>
            <w:gridSpan w:val="4"/>
            <w:tcBorders>
              <w:top w:val="single" w:sz="4" w:space="0" w:color="auto"/>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District Court of Western Australia</w:t>
            </w:r>
          </w:p>
        </w:tc>
        <w:tc>
          <w:tcPr>
            <w:tcW w:w="3189" w:type="dxa"/>
          </w:tcPr>
          <w:p>
            <w:pPr>
              <w:pStyle w:val="yTable"/>
            </w:pPr>
            <w:r>
              <w:t>No.         of  2   </w:t>
            </w:r>
          </w:p>
        </w:tc>
      </w:tr>
      <w:tr>
        <w:trPr>
          <w:cantSplit/>
        </w:trPr>
        <w:tc>
          <w:tcPr>
            <w:tcW w:w="6804" w:type="dxa"/>
            <w:gridSpan w:val="4"/>
          </w:tcPr>
          <w:p>
            <w:pPr>
              <w:pStyle w:val="yTable"/>
            </w:pPr>
            <w:r>
              <w:rPr>
                <w:b/>
              </w:rPr>
              <w:t>Plaintiff:</w:t>
            </w:r>
            <w:r>
              <w:tab/>
              <w:t>..................................................................................................</w:t>
            </w:r>
          </w:p>
        </w:tc>
      </w:tr>
      <w:tr>
        <w:trPr>
          <w:cantSplit/>
        </w:trPr>
        <w:tc>
          <w:tcPr>
            <w:tcW w:w="6804" w:type="dxa"/>
            <w:gridSpan w:val="4"/>
          </w:tcPr>
          <w:p>
            <w:pPr>
              <w:pStyle w:val="yTable"/>
            </w:pPr>
            <w:r>
              <w:rPr>
                <w:b/>
              </w:rPr>
              <w:t>Defendant:</w:t>
            </w:r>
            <w:r>
              <w:tab/>
              <w:t>..................................................................................................</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jc w:val="center"/>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pPr>
            <w:r>
              <w:t>Name of small business</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pPr>
            <w:r>
              <w:t>Position held by applicant in the small business</w:t>
            </w:r>
          </w:p>
        </w:tc>
      </w:tr>
      <w:tr>
        <w:trPr>
          <w:cantSplit/>
        </w:trPr>
        <w:tc>
          <w:tcPr>
            <w:tcW w:w="6804" w:type="dxa"/>
            <w:gridSpan w:val="4"/>
          </w:tcPr>
          <w:p>
            <w:pPr>
              <w:pStyle w:val="yTable"/>
              <w:tabs>
                <w:tab w:val="left" w:pos="601"/>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
            </w:pPr>
            <w:r>
              <w:t>Signature of applicant:</w:t>
            </w:r>
          </w:p>
        </w:tc>
        <w:tc>
          <w:tcPr>
            <w:tcW w:w="4252" w:type="dxa"/>
            <w:gridSpan w:val="2"/>
          </w:tcPr>
          <w:p>
            <w:pPr>
              <w:pStyle w:val="yTable"/>
            </w:pPr>
          </w:p>
        </w:tc>
      </w:tr>
      <w:tr>
        <w:trPr>
          <w:cantSplit/>
          <w:trHeight w:val="429"/>
        </w:trPr>
        <w:tc>
          <w:tcPr>
            <w:tcW w:w="2552" w:type="dxa"/>
            <w:gridSpan w:val="2"/>
          </w:tcPr>
          <w:p>
            <w:pPr>
              <w:pStyle w:val="yTable"/>
            </w:pPr>
            <w: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w:t>
            </w:r>
            <w:r>
              <w:rPr>
                <w:i/>
              </w:rPr>
              <w:t xml:space="preserve">.  </w:t>
            </w:r>
            <w:r>
              <w:rPr>
                <w:i/>
                <w:sz w:val="16"/>
              </w:rPr>
              <w:t>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District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Defpara"/>
              <w:spacing w:line="240" w:lineRule="auto"/>
              <w:ind w:left="0" w:firstLine="0"/>
              <w:rPr>
                <w:i/>
                <w:sz w:val="16"/>
              </w:rPr>
            </w:pPr>
            <w:r>
              <w:rPr>
                <w:i/>
                <w:sz w:val="16"/>
              </w:rPr>
              <w:tab/>
              <w:t>a corporation that has less than 20 full-time equivalent employees and that is not a subsidiary of a corporation that has 20 or more full-time equivalent employees;</w:t>
            </w:r>
          </w:p>
          <w:p>
            <w:pPr>
              <w:pStyle w:val="yTable"/>
              <w:rPr>
                <w:i/>
                <w:sz w:val="16"/>
              </w:rPr>
            </w:pPr>
          </w:p>
        </w:tc>
      </w:tr>
      <w:tr>
        <w:trPr>
          <w:cantSplit/>
          <w:trHeight w:val="429"/>
        </w:trPr>
        <w:tc>
          <w:tcPr>
            <w:tcW w:w="6804"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full-time equivalent employees and that is not, under section 130(1) of that Act, deemed to be a subsidiary company of another company or corporation that has 20 or more full-time equivalent employees; or</w:t>
            </w:r>
          </w:p>
          <w:p>
            <w:pPr>
              <w:pStyle w:val="yTable"/>
              <w:rPr>
                <w:i/>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Height w:val="429"/>
        </w:trPr>
        <w:tc>
          <w:tcPr>
            <w:tcW w:w="6804"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District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pPr>
            <w:r>
              <w:rPr>
                <w:b/>
              </w:rPr>
              <w:t>Application to remit fees</w:t>
            </w:r>
          </w:p>
        </w:tc>
      </w:tr>
      <w:tr>
        <w:trPr>
          <w:cantSplit/>
        </w:trPr>
        <w:tc>
          <w:tcPr>
            <w:tcW w:w="3615" w:type="dxa"/>
            <w:gridSpan w:val="3"/>
          </w:tcPr>
          <w:p>
            <w:pPr>
              <w:pStyle w:val="yTable"/>
            </w:pPr>
            <w:r>
              <w:t>In the District Court of Western Australia</w:t>
            </w:r>
          </w:p>
        </w:tc>
        <w:tc>
          <w:tcPr>
            <w:tcW w:w="3189" w:type="dxa"/>
            <w:gridSpan w:val="5"/>
          </w:tcPr>
          <w:p>
            <w:pPr>
              <w:pStyle w:val="yTable"/>
            </w:pPr>
            <w:r>
              <w:t>No.         of  2    </w:t>
            </w:r>
          </w:p>
        </w:tc>
      </w:tr>
      <w:tr>
        <w:trPr>
          <w:cantSplit/>
        </w:trPr>
        <w:tc>
          <w:tcPr>
            <w:tcW w:w="6804" w:type="dxa"/>
            <w:gridSpan w:val="8"/>
          </w:tcPr>
          <w:p>
            <w:pPr>
              <w:pStyle w:val="yTable"/>
            </w:pPr>
            <w:r>
              <w:rPr>
                <w:b/>
              </w:rPr>
              <w:t>Plaintiff:</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pPr>
            <w:r>
              <w:t>Date of birth</w:t>
            </w:r>
          </w:p>
        </w:tc>
        <w:tc>
          <w:tcPr>
            <w:tcW w:w="2481" w:type="dxa"/>
            <w:gridSpan w:val="3"/>
          </w:tcPr>
          <w:p>
            <w:pPr>
              <w:pStyle w:val="yTable"/>
            </w:pPr>
            <w:r>
              <w:t>......................................</w:t>
            </w:r>
          </w:p>
          <w:p>
            <w:pPr>
              <w:pStyle w:val="yTable"/>
            </w:pPr>
            <w:r>
              <w:t>MDL No.</w:t>
            </w:r>
          </w:p>
        </w:tc>
      </w:tr>
      <w:tr>
        <w:trPr>
          <w:cantSplit/>
          <w:trHeight w:val="431"/>
        </w:trPr>
        <w:tc>
          <w:tcPr>
            <w:tcW w:w="6804" w:type="dxa"/>
            <w:gridSpan w:val="8"/>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743"/>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6804" w:type="dxa"/>
            <w:gridSpan w:val="8"/>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w:t>
            </w:r>
            <w:r>
              <w:rPr>
                <w:i/>
              </w:rPr>
              <w:t xml:space="preserve">.  </w:t>
            </w:r>
            <w:r>
              <w:rPr>
                <w:i/>
                <w:sz w:val="16"/>
              </w:rPr>
              <w:t>The maximum fine is $1 000.</w:t>
            </w:r>
          </w:p>
        </w:tc>
      </w:tr>
    </w:tbl>
    <w:p>
      <w:pPr>
        <w:pStyle w:val="yFootnotesection"/>
      </w:pPr>
      <w:r>
        <w:tab/>
        <w:t>[Form 2 amended in Gazette 30 Jun 2003 p. 2601; 30 Dec 2003 p. 5708-9;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District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pPr>
            <w:r>
              <w:rPr>
                <w:b/>
                <w:bCs/>
              </w:rPr>
              <w:t>Plaintiff:</w:t>
            </w:r>
            <w:r>
              <w:tab/>
              <w:t>...........................................................….................................</w:t>
            </w:r>
          </w:p>
        </w:tc>
      </w:tr>
      <w:tr>
        <w:trPr>
          <w:cantSplit/>
        </w:trPr>
        <w:tc>
          <w:tcPr>
            <w:tcW w:w="6662" w:type="dxa"/>
            <w:gridSpan w:val="4"/>
          </w:tcPr>
          <w:p>
            <w:pPr>
              <w:pStyle w:val="yTable"/>
            </w:pPr>
            <w:r>
              <w:rPr>
                <w:b/>
                <w:bCs/>
              </w:rPr>
              <w:t>Defendant:</w:t>
            </w:r>
            <w:r>
              <w:tab/>
              <w:t>..............................................................…..............................</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 xml:space="preserve">[give details] </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w:t>
            </w:r>
          </w:p>
        </w:tc>
      </w:tr>
    </w:tbl>
    <w:p>
      <w:pPr>
        <w:pStyle w:val="yFootnotesection"/>
      </w:pPr>
      <w:r>
        <w:tab/>
        <w:t>[Form 3 inserted in Gazette 28 Apr 2005 p. 1757.]</w:t>
      </w:r>
    </w:p>
    <w:p>
      <w:pPr>
        <w:pStyle w:val="yFootnotesection"/>
        <w:spacing w:before="240"/>
      </w:pPr>
      <w:r>
        <w:tab/>
        <w:t>[Schedule 3 amended in Gazette 30 Jun 2003 p. 2601; 30 Dec 2003 p. 5707-9; 28 Apr 2005 p. 1757.]</w:t>
      </w:r>
    </w:p>
    <w:p>
      <w:pPr>
        <w:tabs>
          <w:tab w:val="right" w:pos="600"/>
          <w:tab w:val="right" w:pos="646"/>
        </w:tabs>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7" w:name="_Toc102886471"/>
      <w:bookmarkStart w:id="98" w:name="_Toc107624952"/>
      <w:bookmarkStart w:id="99" w:name="_Toc138838312"/>
      <w:bookmarkStart w:id="100" w:name="_Toc138838343"/>
      <w:bookmarkStart w:id="101" w:name="_Toc138838362"/>
      <w:bookmarkStart w:id="102" w:name="_Toc138838383"/>
      <w:bookmarkStart w:id="103" w:name="_Toc139273604"/>
      <w:r>
        <w:t>Notes</w:t>
      </w:r>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rPr>
        <w:t>District Court (Fees) Regulations 2002</w:t>
      </w:r>
      <w:r>
        <w:rPr>
          <w:snapToGrid w:val="0"/>
        </w:rPr>
        <w:t xml:space="preserve"> and includes the amendments made by the other written laws referred to in the following table.</w:t>
      </w:r>
    </w:p>
    <w:p>
      <w:pPr>
        <w:pStyle w:val="nHeading3"/>
      </w:pPr>
      <w:bookmarkStart w:id="104" w:name="_Toc511102520"/>
      <w:bookmarkStart w:id="105" w:name="_Toc513888953"/>
      <w:bookmarkStart w:id="106" w:name="_Toc138838344"/>
      <w:bookmarkStart w:id="107" w:name="_Toc139273605"/>
      <w:r>
        <w:t>Compilation table</w:t>
      </w:r>
      <w:bookmarkEnd w:id="104"/>
      <w:bookmarkEnd w:id="105"/>
      <w:bookmarkEnd w:id="106"/>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District Court (Fees) Regulations 2002</w:t>
            </w:r>
          </w:p>
        </w:tc>
        <w:tc>
          <w:tcPr>
            <w:tcW w:w="1276" w:type="dxa"/>
            <w:tcBorders>
              <w:top w:val="single" w:sz="8" w:space="0" w:color="auto"/>
            </w:tcBorders>
          </w:tcPr>
          <w:p>
            <w:pPr>
              <w:pStyle w:val="nTable"/>
            </w:pPr>
            <w:r>
              <w:t>27 Dec 2001 p. 6619-43</w:t>
            </w:r>
          </w:p>
        </w:tc>
        <w:tc>
          <w:tcPr>
            <w:tcW w:w="2693" w:type="dxa"/>
            <w:tcBorders>
              <w:top w:val="single" w:sz="8" w:space="0" w:color="auto"/>
            </w:tcBorders>
          </w:tcPr>
          <w:p>
            <w:pPr>
              <w:pStyle w:val="nTable"/>
            </w:pPr>
            <w:r>
              <w:t>1 Jan 2002 (see r. 2)</w:t>
            </w:r>
          </w:p>
        </w:tc>
      </w:tr>
      <w:tr>
        <w:tc>
          <w:tcPr>
            <w:tcW w:w="3119" w:type="dxa"/>
          </w:tcPr>
          <w:p>
            <w:pPr>
              <w:pStyle w:val="nTable"/>
              <w:rPr>
                <w:i/>
              </w:rPr>
            </w:pPr>
            <w:r>
              <w:rPr>
                <w:i/>
                <w:sz w:val="19"/>
              </w:rPr>
              <w:t>Equality of Status Subsidiary Legislation Amendment Regulations 2003</w:t>
            </w:r>
            <w:r>
              <w:rPr>
                <w:sz w:val="19"/>
              </w:rPr>
              <w:t xml:space="preserve"> Pt. 11</w:t>
            </w:r>
          </w:p>
        </w:tc>
        <w:tc>
          <w:tcPr>
            <w:tcW w:w="1276" w:type="dxa"/>
          </w:tcPr>
          <w:p>
            <w:pPr>
              <w:pStyle w:val="nTable"/>
            </w:pPr>
            <w:r>
              <w:rPr>
                <w:sz w:val="19"/>
              </w:rPr>
              <w:t>30 Jun 2003 p. 2581-638</w:t>
            </w:r>
          </w:p>
        </w:tc>
        <w:tc>
          <w:tcPr>
            <w:tcW w:w="2693" w:type="dxa"/>
          </w:tcPr>
          <w:p>
            <w:pPr>
              <w:pStyle w:val="nTable"/>
            </w:pPr>
            <w:r>
              <w:rPr>
                <w:sz w:val="19"/>
              </w:rPr>
              <w:t xml:space="preserve">1 Jul 2003 (see r. 2 and </w:t>
            </w:r>
            <w:r>
              <w:rPr>
                <w:i/>
                <w:sz w:val="19"/>
              </w:rPr>
              <w:t xml:space="preserve">Gazette </w:t>
            </w:r>
            <w:r>
              <w:rPr>
                <w:sz w:val="19"/>
              </w:rPr>
              <w:t>30 Jun 2003 p. 2579</w:t>
            </w:r>
            <w:r>
              <w:rPr>
                <w:i/>
                <w:sz w:val="19"/>
              </w:rPr>
              <w:t>)</w:t>
            </w:r>
          </w:p>
        </w:tc>
      </w:tr>
      <w:tr>
        <w:tc>
          <w:tcPr>
            <w:tcW w:w="3119" w:type="dxa"/>
          </w:tcPr>
          <w:p>
            <w:pPr>
              <w:pStyle w:val="nTable"/>
              <w:rPr>
                <w:i/>
                <w:sz w:val="19"/>
              </w:rPr>
            </w:pPr>
            <w:r>
              <w:rPr>
                <w:i/>
                <w:sz w:val="19"/>
              </w:rPr>
              <w:t>District Court (Fees) Amendment Regulations 2003</w:t>
            </w:r>
          </w:p>
        </w:tc>
        <w:tc>
          <w:tcPr>
            <w:tcW w:w="1276" w:type="dxa"/>
          </w:tcPr>
          <w:p>
            <w:pPr>
              <w:pStyle w:val="nTable"/>
              <w:rPr>
                <w:sz w:val="19"/>
              </w:rPr>
            </w:pPr>
            <w:r>
              <w:rPr>
                <w:sz w:val="19"/>
              </w:rPr>
              <w:t>30 Dec 2003 p. 5702-9</w:t>
            </w:r>
          </w:p>
        </w:tc>
        <w:tc>
          <w:tcPr>
            <w:tcW w:w="2693" w:type="dxa"/>
          </w:tcPr>
          <w:p>
            <w:pPr>
              <w:pStyle w:val="nTable"/>
              <w:rPr>
                <w:sz w:val="19"/>
              </w:rPr>
            </w:pPr>
            <w:r>
              <w:rPr>
                <w:sz w:val="19"/>
              </w:rPr>
              <w:t>1 Jan 2004 (see r. 2)</w:t>
            </w:r>
          </w:p>
        </w:tc>
      </w:tr>
      <w:tr>
        <w:tc>
          <w:tcPr>
            <w:tcW w:w="3119" w:type="dxa"/>
          </w:tcPr>
          <w:p>
            <w:pPr>
              <w:pStyle w:val="nTable"/>
              <w:rPr>
                <w:i/>
                <w:sz w:val="19"/>
              </w:rPr>
            </w:pPr>
            <w:r>
              <w:rPr>
                <w:i/>
              </w:rPr>
              <w:t>District Court (Fees) Amendment Regulations 2005 </w:t>
            </w:r>
            <w:r>
              <w:rPr>
                <w:i/>
                <w:vertAlign w:val="superscript"/>
              </w:rPr>
              <w:t>2</w:t>
            </w:r>
          </w:p>
        </w:tc>
        <w:tc>
          <w:tcPr>
            <w:tcW w:w="1276" w:type="dxa"/>
          </w:tcPr>
          <w:p>
            <w:pPr>
              <w:pStyle w:val="nTable"/>
              <w:rPr>
                <w:sz w:val="19"/>
              </w:rPr>
            </w:pPr>
            <w:r>
              <w:t>28 Apr 2005 p. 1751-7</w:t>
            </w:r>
          </w:p>
        </w:tc>
        <w:tc>
          <w:tcPr>
            <w:tcW w:w="2693" w:type="dxa"/>
          </w:tcPr>
          <w:p>
            <w:pPr>
              <w:pStyle w:val="nTable"/>
              <w:rPr>
                <w:sz w:val="19"/>
              </w:rPr>
            </w:pPr>
            <w:r>
              <w:t xml:space="preserve">1 May 2005 (see r. 2 and </w:t>
            </w:r>
            <w:r>
              <w:rPr>
                <w:i/>
                <w:iCs/>
              </w:rPr>
              <w:t>Gazette</w:t>
            </w:r>
            <w:r>
              <w:t xml:space="preserve"> 31 Dec 2004 p. 7128)</w:t>
            </w:r>
          </w:p>
        </w:tc>
      </w:tr>
      <w:tr>
        <w:tc>
          <w:tcPr>
            <w:tcW w:w="3119" w:type="dxa"/>
          </w:tcPr>
          <w:p>
            <w:pPr>
              <w:pStyle w:val="nTable"/>
              <w:rPr>
                <w:i/>
              </w:rPr>
            </w:pPr>
            <w:r>
              <w:rPr>
                <w:i/>
              </w:rPr>
              <w:t>District Court (Fees) Amendment Regulations (No. 2) 2005</w:t>
            </w:r>
          </w:p>
        </w:tc>
        <w:tc>
          <w:tcPr>
            <w:tcW w:w="1276" w:type="dxa"/>
          </w:tcPr>
          <w:p>
            <w:pPr>
              <w:pStyle w:val="nTable"/>
            </w:pPr>
            <w:r>
              <w:t>23 Jun 2005 p. 2690-2</w:t>
            </w:r>
          </w:p>
        </w:tc>
        <w:tc>
          <w:tcPr>
            <w:tcW w:w="2693" w:type="dxa"/>
          </w:tcPr>
          <w:p>
            <w:pPr>
              <w:pStyle w:val="nTable"/>
            </w:pPr>
            <w:r>
              <w:t>1 Jul 2005 (see r. 2)</w:t>
            </w:r>
          </w:p>
        </w:tc>
      </w:tr>
      <w:tr>
        <w:tc>
          <w:tcPr>
            <w:tcW w:w="3119" w:type="dxa"/>
            <w:tcBorders>
              <w:bottom w:val="single" w:sz="8" w:space="0" w:color="auto"/>
            </w:tcBorders>
          </w:tcPr>
          <w:p>
            <w:pPr>
              <w:pStyle w:val="nTable"/>
              <w:rPr>
                <w:i/>
              </w:rPr>
            </w:pPr>
            <w:r>
              <w:rPr>
                <w:i/>
              </w:rPr>
              <w:t>District Court (Fees) Amendment Regulations 2006</w:t>
            </w:r>
          </w:p>
        </w:tc>
        <w:tc>
          <w:tcPr>
            <w:tcW w:w="1276" w:type="dxa"/>
            <w:tcBorders>
              <w:bottom w:val="single" w:sz="8" w:space="0" w:color="auto"/>
            </w:tcBorders>
          </w:tcPr>
          <w:p>
            <w:pPr>
              <w:pStyle w:val="nTable"/>
            </w:pPr>
            <w:r>
              <w:t>23 Jun 2006 p. 2187</w:t>
            </w:r>
            <w:r>
              <w:noBreakHyphen/>
              <w:t>9</w:t>
            </w:r>
          </w:p>
        </w:tc>
        <w:tc>
          <w:tcPr>
            <w:tcW w:w="2693" w:type="dxa"/>
            <w:tcBorders>
              <w:bottom w:val="single" w:sz="8" w:space="0" w:color="auto"/>
            </w:tcBorders>
          </w:tcPr>
          <w:p>
            <w:pPr>
              <w:pStyle w:val="nTable"/>
            </w:pPr>
            <w:r>
              <w:rPr>
                <w:sz w:val="19"/>
              </w:rPr>
              <w:t>1 Jul 2006 (see r. 2)</w:t>
            </w:r>
          </w:p>
        </w:tc>
      </w:tr>
    </w:tbl>
    <w:p>
      <w:pPr>
        <w:pStyle w:val="nSubsection"/>
        <w:rPr>
          <w:iCs/>
        </w:rPr>
      </w:pPr>
      <w:bookmarkStart w:id="108" w:name="UpToHere"/>
      <w:bookmarkEnd w:id="108"/>
      <w:r>
        <w:rPr>
          <w:vertAlign w:val="superscript"/>
        </w:rPr>
        <w:t>2</w:t>
      </w:r>
      <w:r>
        <w:tab/>
        <w:t xml:space="preserve">The </w:t>
      </w:r>
      <w:r>
        <w:rPr>
          <w:i/>
        </w:rPr>
        <w:t>District Court (Fees) Amendment Regulations 2005 </w:t>
      </w:r>
      <w:r>
        <w:rPr>
          <w:iCs/>
        </w:rPr>
        <w:t>r. 13 reads as follows:</w:t>
      </w:r>
    </w:p>
    <w:p>
      <w:pPr>
        <w:pStyle w:val="MiscOpen"/>
      </w:pPr>
      <w:r>
        <w:t>“</w:t>
      </w: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08"/>
    <w:docVar w:name="WAFER_20151210093008" w:val="RemoveTrackChanges"/>
    <w:docVar w:name="WAFER_20151210093008_GUID" w:val="e0c47c09-771d-4599-a34a-fd8b0be6e3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6075</Words>
  <Characters>31955</Characters>
  <Application>Microsoft Office Word</Application>
  <DocSecurity>0</DocSecurity>
  <Lines>1389</Lines>
  <Paragraphs>731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2002 - 00-b0-03</dc:title>
  <dc:subject/>
  <dc:creator/>
  <cp:keywords/>
  <dc:description/>
  <cp:lastModifiedBy>svcMRProcess</cp:lastModifiedBy>
  <cp:revision>4</cp:revision>
  <cp:lastPrinted>2001-12-27T06:58:00Z</cp:lastPrinted>
  <dcterms:created xsi:type="dcterms:W3CDTF">2015-12-11T04:36:00Z</dcterms:created>
  <dcterms:modified xsi:type="dcterms:W3CDTF">2015-12-11T04:36:00Z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3577</vt:i4>
  </property>
  <property fmtid="{D5CDD505-2E9C-101B-9397-08002B2CF9AE}" pid="6" name="AsAtDate">
    <vt:lpwstr>01 Jul 2006</vt:lpwstr>
  </property>
  <property fmtid="{D5CDD505-2E9C-101B-9397-08002B2CF9AE}" pid="7" name="Suffix">
    <vt:lpwstr>00-b0-03</vt:lpwstr>
  </property>
</Properties>
</file>