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4200"/>
        <w:ind w:left="284" w:right="293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Highways (Liability for Straying Animals) Act 1983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  <w:ind w:left="284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Highways (Liability for Straying Animals) Act 1983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r>
        <w:tab/>
      </w:r>
      <w:r>
        <w:fldChar w:fldCharType="begin"/>
      </w:r>
      <w:r>
        <w:instrText xml:space="preserve"> PAGEREF _Toc535914121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Interpretation</w:t>
      </w:r>
      <w:r>
        <w:tab/>
      </w:r>
      <w:r>
        <w:fldChar w:fldCharType="begin"/>
      </w:r>
      <w:r>
        <w:instrText xml:space="preserve"> PAGEREF _Toc535914122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</w:t>
      </w:r>
      <w:r>
        <w:rPr>
          <w:snapToGrid w:val="0"/>
        </w:rPr>
        <w:t>.</w:t>
      </w:r>
      <w:r>
        <w:rPr>
          <w:snapToGrid w:val="0"/>
        </w:rPr>
        <w:tab/>
        <w:t>Liability in tort for damage caused by animals straying on to highways</w:t>
      </w:r>
      <w:r>
        <w:tab/>
      </w:r>
      <w:r>
        <w:fldChar w:fldCharType="begin"/>
      </w:r>
      <w:r>
        <w:instrText xml:space="preserve"> PAGEREF _Toc535914123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4.</w:t>
      </w:r>
      <w:r>
        <w:tab/>
        <w:t>Maximum damages recoverable for damage caused by animals straying on to highways</w:t>
      </w:r>
      <w:r>
        <w:tab/>
      </w:r>
      <w:r>
        <w:fldChar w:fldCharType="begin"/>
      </w:r>
      <w:r>
        <w:instrText xml:space="preserve"> PAGEREF _Toc535914124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5.</w:t>
      </w:r>
      <w:r>
        <w:tab/>
        <w:t>Regulations</w:t>
      </w:r>
      <w:r>
        <w:tab/>
      </w:r>
      <w:r>
        <w:fldChar w:fldCharType="begin"/>
      </w:r>
      <w:r>
        <w:instrText xml:space="preserve"> PAGEREF _Toc535914125 \h </w:instrText>
      </w:r>
      <w:r>
        <w:fldChar w:fldCharType="separate"/>
      </w:r>
      <w:r>
        <w:t>4</w:t>
      </w:r>
      <w:r>
        <w:fldChar w:fldCharType="end"/>
      </w:r>
    </w:p>
    <w:p>
      <w:pPr>
        <w:pStyle w:val="TOC2"/>
        <w:tabs>
          <w:tab w:val="right" w:pos="6794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>Compilation table</w:t>
      </w:r>
      <w:r>
        <w:tab/>
      </w:r>
      <w:r>
        <w:fldChar w:fldCharType="begin"/>
      </w:r>
      <w:r>
        <w:instrText xml:space="preserve"> PAGEREF _Toc535914127 \h </w:instrText>
      </w:r>
      <w:r>
        <w:fldChar w:fldCharType="separate"/>
      </w:r>
      <w:r>
        <w:t>5</w:t>
      </w:r>
      <w:r>
        <w:fldChar w:fldCharType="end"/>
      </w:r>
    </w:p>
    <w:p>
      <w:pPr>
        <w:pStyle w:val="TOC2"/>
        <w:tabs>
          <w:tab w:val="right" w:pos="6794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693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WA"/>
      </w:pPr>
      <w:r>
        <w:t>Western Australia</w:t>
      </w:r>
    </w:p>
    <w:p>
      <w:pPr>
        <w:pStyle w:val="NameofActReg"/>
      </w:pPr>
      <w:r>
        <w:t xml:space="preserve">Highways (Liability for Straying Animals) Act 1983 </w:t>
      </w:r>
    </w:p>
    <w:p>
      <w:pPr>
        <w:pStyle w:val="LongTitle"/>
        <w:rPr>
          <w:snapToGrid w:val="0"/>
        </w:rPr>
      </w:pPr>
      <w:r>
        <w:rPr>
          <w:snapToGrid w:val="0"/>
        </w:rPr>
        <w:t xml:space="preserve">An Act to clarify and amend the law relating to liability in tort for damage caused by animals straying on to highways. </w:t>
      </w:r>
    </w:p>
    <w:p>
      <w:pPr>
        <w:pStyle w:val="Heading5"/>
        <w:rPr>
          <w:snapToGrid w:val="0"/>
        </w:rPr>
      </w:pPr>
      <w:bookmarkStart w:id="3" w:name="_Toc535914121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bookmarkEnd w:id="3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This Act may be cited as the </w:t>
      </w:r>
      <w:r>
        <w:rPr>
          <w:i/>
          <w:snapToGrid w:val="0"/>
        </w:rPr>
        <w:t>Highways (Liability for Straying Animals) Act 1983</w:t>
      </w:r>
      <w:r>
        <w:rPr>
          <w:snapToGrid w:val="0"/>
          <w:vertAlign w:val="superscript"/>
        </w:rPr>
        <w:t> 1</w:t>
      </w:r>
      <w:r>
        <w:rPr>
          <w:snapToGrid w:val="0"/>
        </w:rPr>
        <w:t>.</w:t>
      </w:r>
    </w:p>
    <w:p>
      <w:pPr>
        <w:pStyle w:val="Heading5"/>
        <w:rPr>
          <w:snapToGrid w:val="0"/>
        </w:rPr>
      </w:pPr>
      <w:bookmarkStart w:id="4" w:name="_Toc535914122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Interpretation</w:t>
      </w:r>
      <w:bookmarkEnd w:id="4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In this Act, unless the contrary intention appears — 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damage</w:t>
      </w:r>
      <w:r>
        <w:t xml:space="preserve"> includes — </w:t>
      </w:r>
    </w:p>
    <w:p>
      <w:pPr>
        <w:pStyle w:val="Defpara"/>
      </w:pPr>
      <w:r>
        <w:tab/>
        <w:t>(a)</w:t>
      </w:r>
      <w:r>
        <w:tab/>
        <w:t>the death of a person; and</w:t>
      </w:r>
    </w:p>
    <w:p>
      <w:pPr>
        <w:pStyle w:val="Defpara"/>
      </w:pPr>
      <w:r>
        <w:tab/>
        <w:t>(b)</w:t>
      </w:r>
      <w:r>
        <w:tab/>
        <w:t>injury to a person, including disease and impairment of mental or physical condition suffered by the person.</w:t>
      </w:r>
    </w:p>
    <w:p>
      <w:pPr>
        <w:pStyle w:val="Heading5"/>
        <w:rPr>
          <w:snapToGrid w:val="0"/>
        </w:rPr>
      </w:pPr>
      <w:bookmarkStart w:id="5" w:name="_Toc535914123"/>
      <w:r>
        <w:rPr>
          <w:rStyle w:val="CharSectno"/>
        </w:rPr>
        <w:t>3</w:t>
      </w:r>
      <w:r>
        <w:rPr>
          <w:snapToGrid w:val="0"/>
        </w:rPr>
        <w:t>.</w:t>
      </w:r>
      <w:r>
        <w:rPr>
          <w:snapToGrid w:val="0"/>
        </w:rPr>
        <w:tab/>
        <w:t>Liability in tort for damage caused by animals straying on to highways</w:t>
      </w:r>
      <w:bookmarkEnd w:id="5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Subject to subsection (2), so much of the rules of the common law relating to liability in tort for negligence as excludes or restricts the duty which a person might owe to others to take such care as is reasonable to see that damage is not caused by animals straying on to a highway does not form part, and shall be deemed never to have formed part, of the law of Western Australia.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Subsection (1) has no operation in relation to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any action in respect of which a court has given judgment before the coming into operation of this Act; or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any appeal relating to the matters which were in issue in the action referred to in paragraph (a).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(3)</w:t>
      </w:r>
      <w:r>
        <w:rPr>
          <w:snapToGrid w:val="0"/>
        </w:rPr>
        <w:tab/>
        <w:t>A court shall determine the liability in tort of a person for damage caused by animals straying on to a highway solely according to the law of Western Australia relating to liability in tort for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negligence; or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intentional acts or omissions.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(4)</w:t>
      </w:r>
      <w:r>
        <w:rPr>
          <w:snapToGrid w:val="0"/>
        </w:rPr>
        <w:tab/>
        <w:t>In determining according to the law of Western Australia relating to liability in tort for negligence whether or not a person is liable for damage caused by animals straying on to a particular highway, a court may consider, among other matters — 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the general nature of the locality in which the relevant part of that highway is situated (in this subsection called </w:t>
      </w:r>
      <w:r>
        <w:rPr>
          <w:rStyle w:val="CharDefText"/>
        </w:rPr>
        <w:t>the locality</w:t>
      </w:r>
      <w:r>
        <w:rPr>
          <w:snapToGrid w:val="0"/>
        </w:rPr>
        <w:t>);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nature and amount of traffic using that highway;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extent to which users of that highway would expect to encounter animals on that highway and could be expected to guard against the risk associated with their presence;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the common practice in the locality in relation to — </w:t>
      </w:r>
    </w:p>
    <w:p>
      <w:pPr>
        <w:pStyle w:val="Indenti"/>
        <w:rPr>
          <w:snapToGrid w:val="0"/>
        </w:rPr>
      </w:pPr>
      <w:r>
        <w:rPr>
          <w:snapToGrid w:val="0"/>
        </w:rPr>
        <w:tab/>
        <w:t>(i)</w:t>
      </w:r>
      <w:r>
        <w:rPr>
          <w:snapToGrid w:val="0"/>
        </w:rPr>
        <w:tab/>
        <w:t>fencing and the taking of other measures to prevent animals from straying on to highways in that locality; and</w:t>
      </w:r>
    </w:p>
    <w:p>
      <w:pPr>
        <w:pStyle w:val="Indenti"/>
        <w:rPr>
          <w:snapToGrid w:val="0"/>
        </w:rPr>
      </w:pPr>
      <w:r>
        <w:rPr>
          <w:snapToGrid w:val="0"/>
        </w:rPr>
        <w:tab/>
        <w:t>(ii)</w:t>
      </w:r>
      <w:r>
        <w:rPr>
          <w:snapToGrid w:val="0"/>
        </w:rPr>
        <w:tab/>
        <w:t xml:space="preserve">the taking of measures to warn users of that highway of the likely presence of animals thereon; </w:t>
      </w:r>
    </w:p>
    <w:p>
      <w:pPr>
        <w:pStyle w:val="Indenta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(e)</w:t>
      </w:r>
      <w:r>
        <w:rPr>
          <w:snapToGrid w:val="0"/>
        </w:rPr>
        <w:tab/>
        <w:t>the cost of fencing, or of the taking of measures, referred to in paragraph (d) or of both, as the case requires.</w:t>
      </w:r>
    </w:p>
    <w:p>
      <w:pPr>
        <w:pStyle w:val="Ednotesubsection"/>
      </w:pPr>
      <w:r>
        <w:tab/>
        <w:t>[(5)</w:t>
      </w:r>
      <w:r>
        <w:tab/>
        <w:t>deleted]</w:t>
      </w:r>
    </w:p>
    <w:p>
      <w:pPr>
        <w:pStyle w:val="Footnotesection"/>
      </w:pPr>
      <w:r>
        <w:tab/>
        <w:t>[Section 3 amended: No. 30 of 2016 s. 4.]</w:t>
      </w:r>
    </w:p>
    <w:p>
      <w:pPr>
        <w:pStyle w:val="Heading5"/>
      </w:pPr>
      <w:bookmarkStart w:id="6" w:name="_Toc535914124"/>
      <w:r>
        <w:rPr>
          <w:rStyle w:val="CharSectno"/>
        </w:rPr>
        <w:t>4</w:t>
      </w:r>
      <w:r>
        <w:t>.</w:t>
      </w:r>
      <w:r>
        <w:tab/>
        <w:t>Maximum damages recoverable for damage caused by animals straying on to highways</w:t>
      </w:r>
      <w:bookmarkEnd w:id="6"/>
    </w:p>
    <w:p>
      <w:pPr>
        <w:pStyle w:val="Subsection"/>
      </w:pPr>
      <w:r>
        <w:tab/>
        <w:t>(1)</w:t>
      </w:r>
      <w:r>
        <w:tab/>
        <w:t>The damages awarded in respect of any one cause of action in tort for negligence arising out of damage caused by animals straying on to a highway must not exceed the maximum damages amount prescribed by the regulations for the financial year in which the damages are assessed.</w:t>
      </w:r>
    </w:p>
    <w:p>
      <w:pPr>
        <w:pStyle w:val="Subsection"/>
      </w:pPr>
      <w:r>
        <w:tab/>
        <w:t>(2)</w:t>
      </w:r>
      <w:r>
        <w:tab/>
        <w:t>Regulations made for the purposes of subsection (1) may specify or provide for a method of calculating the maximum damages amount for a financial year.</w:t>
      </w:r>
    </w:p>
    <w:p>
      <w:pPr>
        <w:pStyle w:val="Subsection"/>
      </w:pPr>
      <w:r>
        <w:tab/>
        <w:t>(3)</w:t>
      </w:r>
      <w:r>
        <w:tab/>
        <w:t xml:space="preserve">On or before each 1 July, the Minister must publish a notice in the </w:t>
      </w:r>
      <w:r>
        <w:rPr>
          <w:i/>
        </w:rPr>
        <w:t>Gazette</w:t>
      </w:r>
      <w:r>
        <w:t xml:space="preserve"> specifying the amount that is the maximum damages amount for the purposes of subsection (1) for the financial year that begins on that 1 July.</w:t>
      </w:r>
    </w:p>
    <w:p>
      <w:pPr>
        <w:pStyle w:val="Subsection"/>
      </w:pPr>
      <w:r>
        <w:tab/>
        <w:t>(4)</w:t>
      </w:r>
      <w:r>
        <w:tab/>
        <w:t>The notice under subsection (3) is for public information only and a failure to publish or a delay or error in publication does not affect the maximum damages amount for the financial year concerned.</w:t>
      </w:r>
    </w:p>
    <w:p>
      <w:pPr>
        <w:pStyle w:val="Subsection"/>
      </w:pPr>
      <w:r>
        <w:tab/>
        <w:t>(5)</w:t>
      </w:r>
      <w:r>
        <w:tab/>
        <w:t>For the purposes of the application of this section to the financial year that includes the day (</w:t>
      </w:r>
      <w:r>
        <w:rPr>
          <w:rStyle w:val="CharDefText"/>
        </w:rPr>
        <w:t>commencement day</w:t>
      </w:r>
      <w:r>
        <w:t xml:space="preserve">) on which the </w:t>
      </w:r>
      <w:r>
        <w:rPr>
          <w:i/>
        </w:rPr>
        <w:t xml:space="preserve">Highways (Liability for Straying Animals) Amendment Act 2016 </w:t>
      </w:r>
      <w:r>
        <w:t xml:space="preserve">section 5 comes into operation — </w:t>
      </w:r>
    </w:p>
    <w:p>
      <w:pPr>
        <w:pStyle w:val="Indenta"/>
      </w:pPr>
      <w:r>
        <w:tab/>
        <w:t>(a)</w:t>
      </w:r>
      <w:r>
        <w:tab/>
        <w:t>a reference in subsections (1) to (4) to a financial year is to be read as a reference to the period that begins on commencement day and ends on the next 30 June; and</w:t>
      </w:r>
    </w:p>
    <w:p>
      <w:pPr>
        <w:pStyle w:val="Indenta"/>
      </w:pPr>
      <w:r>
        <w:tab/>
        <w:t>(b)</w:t>
      </w:r>
      <w:r>
        <w:tab/>
        <w:t>a reference in subsection (3) to 1 July is to be read as a reference to commencement day.</w:t>
      </w:r>
    </w:p>
    <w:p>
      <w:pPr>
        <w:pStyle w:val="Footnotesection"/>
        <w:rPr>
          <w:rStyle w:val="CharDivText"/>
        </w:rPr>
      </w:pPr>
      <w:r>
        <w:tab/>
        <w:t>[Section 4 inserted: No. 30 of 2016 s. 5.]</w:t>
      </w:r>
    </w:p>
    <w:p>
      <w:pPr>
        <w:pStyle w:val="Heading5"/>
      </w:pPr>
      <w:bookmarkStart w:id="7" w:name="_Toc535914125"/>
      <w:r>
        <w:rPr>
          <w:rStyle w:val="CharSectno"/>
        </w:rPr>
        <w:t>5</w:t>
      </w:r>
      <w:r>
        <w:t>.</w:t>
      </w:r>
      <w:r>
        <w:tab/>
        <w:t>Regulations</w:t>
      </w:r>
      <w:bookmarkEnd w:id="7"/>
    </w:p>
    <w:p>
      <w:pPr>
        <w:pStyle w:val="Subsection"/>
      </w:pPr>
      <w:r>
        <w:tab/>
      </w:r>
      <w:r>
        <w:tab/>
        <w:t xml:space="preserve">The Governor may make regulations prescribing matters — </w:t>
      </w:r>
    </w:p>
    <w:p>
      <w:pPr>
        <w:pStyle w:val="Indenta"/>
      </w:pPr>
      <w:r>
        <w:tab/>
        <w:t>(a)</w:t>
      </w:r>
      <w:r>
        <w:tab/>
        <w:t>required or permitted to be prescribed by this Act; or</w:t>
      </w:r>
    </w:p>
    <w:p>
      <w:pPr>
        <w:pStyle w:val="Indenta"/>
      </w:pPr>
      <w:r>
        <w:tab/>
        <w:t>(b)</w:t>
      </w:r>
      <w:r>
        <w:tab/>
        <w:t>necessary or convenient to be prescribed for giving effect to this Act.</w:t>
      </w:r>
    </w:p>
    <w:p>
      <w:pPr>
        <w:pStyle w:val="Footnotesection"/>
        <w:rPr>
          <w:rStyle w:val="CharDivText"/>
          <w:b/>
        </w:rPr>
      </w:pPr>
      <w:r>
        <w:tab/>
        <w:t>[Section 5 inserted: No. 30 of 2016 s. 5.]</w:t>
      </w:r>
    </w:p>
    <w:p>
      <w:pPr>
        <w:rPr>
          <w:rStyle w:val="CharDivText"/>
        </w:rPr>
        <w:sectPr>
          <w:headerReference w:type="even" r:id="rId21"/>
          <w:headerReference w:type="default" r:id="rId22"/>
          <w:headerReference w:type="first" r:id="rId23"/>
          <w:pgSz w:w="11907" w:h="16840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nHeading2"/>
      </w:pPr>
      <w:bookmarkStart w:id="8" w:name="_Toc535914126"/>
      <w:r>
        <w:t>Notes</w:t>
      </w:r>
      <w:bookmarkEnd w:id="8"/>
    </w:p>
    <w:p>
      <w:pPr>
        <w:pStyle w:val="nSubsection"/>
      </w:pPr>
      <w:r>
        <w:rPr>
          <w:vertAlign w:val="superscript"/>
        </w:rPr>
        <w:t>1</w:t>
      </w:r>
      <w:r>
        <w:tab/>
        <w:t xml:space="preserve">This is a compilation of the </w:t>
      </w:r>
      <w:r>
        <w:rPr>
          <w:i/>
          <w:noProof/>
        </w:rPr>
        <w:t>Highways (Liability for Straying Animals) Act 1983</w:t>
      </w:r>
      <w:r>
        <w:t>. The table also contains information about any reprint.</w:t>
      </w:r>
    </w:p>
    <w:p>
      <w:pPr>
        <w:pStyle w:val="nHeading3"/>
        <w:rPr>
          <w:snapToGrid w:val="0"/>
        </w:rPr>
      </w:pPr>
      <w:bookmarkStart w:id="9" w:name="_Toc535914127"/>
      <w:r>
        <w:rPr>
          <w:snapToGrid w:val="0"/>
        </w:rPr>
        <w:t>Compilation table</w:t>
      </w:r>
      <w:bookmarkEnd w:id="9"/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2551"/>
      </w:tblGrid>
      <w:tr>
        <w:trPr>
          <w:tblHeader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Short title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Number and year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Assent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nTable"/>
              <w:spacing w:before="80"/>
            </w:pPr>
            <w:r>
              <w:rPr>
                <w:i/>
              </w:rPr>
              <w:t>Highways (Liability for Straying Animals) Act 1983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nTable"/>
              <w:spacing w:before="80"/>
            </w:pPr>
            <w:r>
              <w:t>17 of 1983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nTable"/>
              <w:spacing w:before="80"/>
            </w:pPr>
            <w:r>
              <w:t>17 Nov 1983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nTable"/>
              <w:spacing w:before="80"/>
            </w:pPr>
            <w:r>
              <w:t>17 Nov 1983</w:t>
            </w:r>
          </w:p>
        </w:tc>
      </w:tr>
      <w:tr>
        <w:trPr>
          <w:cantSplit/>
        </w:trPr>
        <w:tc>
          <w:tcPr>
            <w:tcW w:w="7087" w:type="dxa"/>
            <w:gridSpan w:val="4"/>
            <w:tcBorders>
              <w:top w:val="nil"/>
              <w:bottom w:val="nil"/>
            </w:tcBorders>
          </w:tcPr>
          <w:p>
            <w:pPr>
              <w:pStyle w:val="nTable"/>
              <w:spacing w:before="80"/>
              <w:rPr>
                <w:b/>
              </w:rPr>
            </w:pPr>
            <w:r>
              <w:rPr>
                <w:b/>
              </w:rPr>
              <w:t xml:space="preserve">Reprint of the </w:t>
            </w:r>
            <w:r>
              <w:rPr>
                <w:b/>
                <w:i/>
              </w:rPr>
              <w:t>Highways (Liability for Straying Animals) Act 1983</w:t>
            </w:r>
            <w:r>
              <w:rPr>
                <w:b/>
              </w:rPr>
              <w:t xml:space="preserve"> as at 11 Oct 2002</w:t>
            </w:r>
          </w:p>
        </w:tc>
      </w:tr>
      <w:tr>
        <w:tc>
          <w:tcPr>
            <w:tcW w:w="2268" w:type="dxa"/>
            <w:tcBorders>
              <w:top w:val="nil"/>
              <w:bottom w:val="single" w:sz="2" w:space="0" w:color="auto"/>
            </w:tcBorders>
          </w:tcPr>
          <w:p>
            <w:pPr>
              <w:pStyle w:val="nTable"/>
              <w:spacing w:before="80"/>
              <w:rPr>
                <w:vertAlign w:val="superscript"/>
              </w:rPr>
            </w:pPr>
            <w:r>
              <w:rPr>
                <w:i/>
              </w:rPr>
              <w:t>Highways (Liability for Straying Animals) Amendment Act 2016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>
            <w:pPr>
              <w:pStyle w:val="nTable"/>
              <w:spacing w:before="80"/>
            </w:pPr>
            <w:r>
              <w:t>30 of 2016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>
            <w:pPr>
              <w:pStyle w:val="nTable"/>
              <w:spacing w:before="80"/>
            </w:pPr>
            <w:r>
              <w:t>3 Oct 2016</w:t>
            </w:r>
          </w:p>
        </w:tc>
        <w:tc>
          <w:tcPr>
            <w:tcW w:w="2551" w:type="dxa"/>
            <w:tcBorders>
              <w:top w:val="nil"/>
              <w:bottom w:val="single" w:sz="2" w:space="0" w:color="auto"/>
            </w:tcBorders>
          </w:tcPr>
          <w:p>
            <w:pPr>
              <w:pStyle w:val="nTable"/>
              <w:spacing w:before="80"/>
            </w:pPr>
            <w:r>
              <w:rPr>
                <w:bCs/>
                <w:snapToGrid w:val="0"/>
                <w:spacing w:val="-2"/>
              </w:rPr>
              <w:t>s. 1 and 2: 2 Dec 2016 (see s. 2(a));</w:t>
            </w:r>
            <w:r>
              <w:rPr>
                <w:bCs/>
                <w:snapToGrid w:val="0"/>
                <w:spacing w:val="-2"/>
              </w:rPr>
              <w:br/>
              <w:t xml:space="preserve">Act other than s. 1 and 2: 3 Dec 2016 (see s. 2(b) and </w:t>
            </w:r>
            <w:r>
              <w:rPr>
                <w:bCs/>
                <w:i/>
                <w:snapToGrid w:val="0"/>
                <w:spacing w:val="-2"/>
              </w:rPr>
              <w:t>Gazette</w:t>
            </w:r>
            <w:r>
              <w:rPr>
                <w:bCs/>
                <w:snapToGrid w:val="0"/>
                <w:spacing w:val="-2"/>
              </w:rPr>
              <w:t xml:space="preserve"> 2 Dec 2016 p. 5383)</w:t>
            </w:r>
          </w:p>
        </w:tc>
      </w:tr>
    </w:tbl>
    <w:p>
      <w:pPr>
        <w:sectPr>
          <w:headerReference w:type="even" r:id="rId24"/>
          <w:headerReference w:type="default" r:id="rId25"/>
          <w:headerReference w:type="first" r:id="rId26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>
      <w:pPr>
        <w:pStyle w:val="nHeading2"/>
        <w:rPr>
          <w:sz w:val="28"/>
        </w:rPr>
      </w:pPr>
      <w:bookmarkStart w:id="11" w:name="_Toc535914128"/>
      <w:r>
        <w:rPr>
          <w:sz w:val="28"/>
        </w:rPr>
        <w:t>Defined terms</w:t>
      </w:r>
      <w:bookmarkEnd w:id="11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commencement day</w:t>
      </w:r>
      <w:r>
        <w:tab/>
        <w:t>4(5)</w:t>
      </w:r>
    </w:p>
    <w:p>
      <w:pPr>
        <w:pStyle w:val="DefinedTerms"/>
      </w:pPr>
      <w:r>
        <w:t>damage</w:t>
      </w:r>
      <w:r>
        <w:tab/>
        <w:t>2</w:t>
      </w:r>
    </w:p>
    <w:p>
      <w:pPr>
        <w:pStyle w:val="DefinedTerms"/>
      </w:pPr>
      <w:r>
        <w:t>the locality</w:t>
      </w:r>
      <w:r>
        <w:tab/>
        <w:t>3(4)</w:t>
      </w:r>
    </w:p>
    <w:p/>
    <w:p>
      <w:pPr>
        <w:sectPr>
          <w:headerReference w:type="even" r:id="rId27"/>
          <w:headerReference w:type="default" r:id="rId28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/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2381" w:right="2410" w:bottom="2977" w:left="2410" w:header="720" w:footer="338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5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03 Dec 2016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01-c0-02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10" w:name="Compilation"/>
    <w:bookmarkEnd w:id="10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12" w:name="DefinedTerms"/>
    <w:bookmarkEnd w:id="12"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3" w:name="Coversheet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05"/>
      <w:gridCol w:w="600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985"/>
      <w:gridCol w:w="132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Highways (Liability for Straying Animals) Act 1983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FE90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CA18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164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786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89625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0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B255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CA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A0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AU" w:vendorID="8" w:dllVersion="513" w:checkStyle="1"/>
  <w:revisionView w:formatting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70125152042"/>
    <w:docVar w:name="WAFER_20140129145405" w:val="RemoveTocBookmarks,RemoveUnusedBookmarks,RemoveLanguageTags,UsedStyles,ResetPageSize,UpdateArrangement"/>
    <w:docVar w:name="WAFER_20140129145405_GUID" w:val="72a8f739-268e-484e-8388-e1f322f21177"/>
    <w:docVar w:name="WAFER_20140129145410" w:val="RemoveTocBookmarks,RunningHeaders"/>
    <w:docVar w:name="WAFER_20140129145410_GUID" w:val="bc753b91-2bb7-4f30-aa2e-626e6aa78192"/>
    <w:docVar w:name="WAFER_20150515142807" w:val="ResetPageSize,UpdateArrangement,UpdateNTable"/>
    <w:docVar w:name="WAFER_20150515142807_GUID" w:val="8843ec3f-af46-4715-80db-7923dcbba2b2"/>
    <w:docVar w:name="WAFER_20151105132953" w:val="UpdateStyles,UsedStyles"/>
    <w:docVar w:name="WAFER_20151105132953_GUID" w:val="e9b25013-1131-4725-9c0c-fe4534b7ccb3"/>
    <w:docVar w:name="WAFER_20161201121026" w:val="RemoveTocBookmarks,RemoveUnusedBookmarks,RemoveLanguageTags,UsedStyles,ResetPageSize"/>
    <w:docVar w:name="WAFER_20161201121026_GUID" w:val="5a83f3b0-f392-4af8-bb01-5d7331ea1112"/>
    <w:docVar w:name="WAFER_20170125152042" w:val="RemoveTocBookmarks,RemoveUnusedBookmarks,RemoveLanguageTags,UsedStyles,ResetPageSize"/>
    <w:docVar w:name="WAFER_20170125152042_GUID" w:val="10573e15-b51f-4810-b02c-bee63bb20035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right" w:pos="605"/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Penstart"/>
    <w:pPr>
      <w:shd w:val="clear" w:color="808080" w:fill="auto"/>
      <w:tabs>
        <w:tab w:val="clear" w:pos="879"/>
        <w:tab w:val="left" w:pos="1446"/>
      </w:tabs>
      <w:ind w:left="2155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Subsection"/>
    <w:pPr>
      <w:shd w:val="clear" w:color="808080" w:fill="auto"/>
      <w:tabs>
        <w:tab w:val="clear" w:pos="595"/>
        <w:tab w:val="clear" w:pos="879"/>
        <w:tab w:val="right" w:pos="1162"/>
        <w:tab w:val="left" w:pos="1446"/>
      </w:tabs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160" w:line="260" w:lineRule="atLeast"/>
      <w:ind w:left="2333" w:hanging="2333"/>
    </w:pPr>
    <w:rPr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spacing w:before="120" w:line="260" w:lineRule="atLeast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120" w:line="260" w:lineRule="atLeast"/>
      <w:ind w:left="3053" w:hanging="3053"/>
    </w:pPr>
    <w:rPr>
      <w:sz w:val="24"/>
    </w:rPr>
  </w:style>
  <w:style w:type="paragraph" w:customStyle="1" w:styleId="zHeading1">
    <w:name w:val="zHeading 1"/>
    <w:basedOn w:val="Heading1"/>
    <w:pPr>
      <w:shd w:val="clear" w:color="808080" w:fill="auto"/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hd w:val="clear" w:color="808080" w:fill="auto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shd w:val="clear" w:color="808080" w:fill="auto"/>
      <w:ind w:left="567" w:right="284"/>
      <w:outlineLvl w:val="9"/>
    </w:pPr>
  </w:style>
  <w:style w:type="paragraph" w:customStyle="1" w:styleId="zHeading4">
    <w:name w:val="zHeading 4"/>
    <w:basedOn w:val="Heading4"/>
    <w:pPr>
      <w:shd w:val="clear" w:color="808080" w:fill="auto"/>
      <w:ind w:left="567" w:right="284"/>
      <w:outlineLvl w:val="9"/>
    </w:pPr>
  </w:style>
  <w:style w:type="paragraph" w:customStyle="1" w:styleId="zHeading5">
    <w:name w:val="zHeading 5"/>
    <w:basedOn w:val="Heading5"/>
    <w:pPr>
      <w:shd w:val="clear" w:color="808080" w:fill="auto"/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160" w:line="260" w:lineRule="atLeast"/>
      <w:ind w:left="3773" w:hanging="3773"/>
    </w:pPr>
    <w:rPr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Indenta"/>
    <w:pPr>
      <w:shd w:val="clear" w:color="808080" w:fill="auto"/>
      <w:tabs>
        <w:tab w:val="clear" w:pos="1332"/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IndentA0">
    <w:name w:val="zIndent(A)"/>
    <w:basedOn w:val="IndentA0"/>
    <w:pPr>
      <w:shd w:val="clear" w:color="808080" w:fill="auto"/>
      <w:tabs>
        <w:tab w:val="clear" w:pos="3686"/>
        <w:tab w:val="clear" w:pos="3969"/>
        <w:tab w:val="right" w:pos="4253"/>
        <w:tab w:val="left" w:pos="4536"/>
      </w:tabs>
      <w:ind w:left="4537" w:right="284" w:hanging="851"/>
    </w:pPr>
  </w:style>
  <w:style w:type="paragraph" w:customStyle="1" w:styleId="zIndenti">
    <w:name w:val="zIndent(i)"/>
    <w:basedOn w:val="Indenti"/>
    <w:pPr>
      <w:shd w:val="clear" w:color="808080" w:fill="auto"/>
      <w:tabs>
        <w:tab w:val="clear" w:pos="2041"/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IndentI0">
    <w:name w:val="zIndent(I)"/>
    <w:basedOn w:val="IndentI0"/>
    <w:pPr>
      <w:shd w:val="clear" w:color="808080" w:fill="auto"/>
      <w:tabs>
        <w:tab w:val="clear" w:pos="2892"/>
        <w:tab w:val="clear" w:pos="3204"/>
        <w:tab w:val="right" w:pos="3459"/>
        <w:tab w:val="left" w:pos="3771"/>
      </w:tabs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Penpara"/>
    <w:pPr>
      <w:shd w:val="clear" w:color="808080" w:fill="auto"/>
      <w:tabs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Pensubpara">
    <w:name w:val="zPensubpara"/>
    <w:basedOn w:val="Pensubpara"/>
    <w:pPr>
      <w:shd w:val="clear" w:color="808080" w:fill="auto"/>
      <w:tabs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Penitem">
    <w:name w:val="zPenitem"/>
    <w:basedOn w:val="Penitem"/>
    <w:pPr>
      <w:shd w:val="clear" w:color="808080" w:fill="auto"/>
      <w:tabs>
        <w:tab w:val="clear" w:pos="3119"/>
        <w:tab w:val="right" w:pos="3402"/>
        <w:tab w:val="left" w:pos="3686"/>
      </w:tabs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</w:pPr>
  </w:style>
  <w:style w:type="paragraph" w:styleId="ListBullet2">
    <w:name w:val="List Bullet 2"/>
    <w:basedOn w:val="Normal"/>
    <w:autoRedefine/>
    <w:semiHidden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pPr>
      <w:tabs>
        <w:tab w:val="num" w:pos="360"/>
      </w:tabs>
    </w:pPr>
  </w:style>
  <w:style w:type="paragraph" w:styleId="ListBullet4">
    <w:name w:val="List Bullet 4"/>
    <w:basedOn w:val="Normal"/>
    <w:autoRedefine/>
    <w:semiHidden/>
    <w:pPr>
      <w:tabs>
        <w:tab w:val="num" w:pos="360"/>
      </w:tabs>
    </w:pPr>
  </w:style>
  <w:style w:type="paragraph" w:styleId="ListBullet5">
    <w:name w:val="List Bullet 5"/>
    <w:basedOn w:val="Normal"/>
    <w:autoRedefine/>
    <w:semiHidden/>
    <w:pPr>
      <w:tabs>
        <w:tab w:val="num" w:pos="360"/>
      </w:tabs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styleId="ListNumber3">
    <w:name w:val="List Number 3"/>
    <w:basedOn w:val="Normal"/>
    <w:semiHidden/>
    <w:pPr>
      <w:tabs>
        <w:tab w:val="num" w:pos="360"/>
      </w:tabs>
    </w:pPr>
  </w:style>
  <w:style w:type="paragraph" w:styleId="ListNumber4">
    <w:name w:val="List Number 4"/>
    <w:basedOn w:val="Normal"/>
    <w:semiHidden/>
    <w:pPr>
      <w:tabs>
        <w:tab w:val="num" w:pos="360"/>
      </w:tabs>
    </w:pPr>
  </w:style>
  <w:style w:type="paragraph" w:styleId="ListNumber5">
    <w:name w:val="List Number 5"/>
    <w:basedOn w:val="Normal"/>
    <w:semiHidden/>
    <w:pPr>
      <w:tabs>
        <w:tab w:val="num" w:pos="360"/>
      </w:tabs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  <w:outlineLvl w:val="9"/>
    </w:pPr>
    <w:rPr>
      <w:sz w:val="22"/>
    </w:rPr>
  </w:style>
  <w:style w:type="paragraph" w:customStyle="1" w:styleId="yEdnotepara">
    <w:name w:val="yEdnote(para)"/>
    <w:basedOn w:val="Ednotepara"/>
    <w:pPr>
      <w:spacing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  <w:ind w:left="2330" w:hanging="2330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  <w:ind w:left="3050" w:hanging="305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  <w:ind w:left="3771" w:hanging="3771"/>
    </w:p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pPr>
      <w:shd w:val="clear" w:color="808080" w:fill="auto"/>
    </w:pPr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MiscellaneousBody"/>
    <w:pPr>
      <w:shd w:val="clear" w:color="808080" w:fill="auto"/>
      <w:ind w:left="567" w:right="284"/>
    </w:p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pPr>
      <w:spacing w:before="6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right" w:pos="605"/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Penstart"/>
    <w:pPr>
      <w:shd w:val="clear" w:color="808080" w:fill="auto"/>
      <w:tabs>
        <w:tab w:val="clear" w:pos="879"/>
        <w:tab w:val="left" w:pos="1446"/>
      </w:tabs>
      <w:ind w:left="2155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Subsection"/>
    <w:pPr>
      <w:shd w:val="clear" w:color="808080" w:fill="auto"/>
      <w:tabs>
        <w:tab w:val="clear" w:pos="595"/>
        <w:tab w:val="clear" w:pos="879"/>
        <w:tab w:val="right" w:pos="1162"/>
        <w:tab w:val="left" w:pos="1446"/>
      </w:tabs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160" w:line="260" w:lineRule="atLeast"/>
      <w:ind w:left="2333" w:hanging="2333"/>
    </w:pPr>
    <w:rPr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spacing w:before="120" w:line="260" w:lineRule="atLeast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120" w:line="260" w:lineRule="atLeast"/>
      <w:ind w:left="3053" w:hanging="3053"/>
    </w:pPr>
    <w:rPr>
      <w:sz w:val="24"/>
    </w:rPr>
  </w:style>
  <w:style w:type="paragraph" w:customStyle="1" w:styleId="zHeading1">
    <w:name w:val="zHeading 1"/>
    <w:basedOn w:val="Heading1"/>
    <w:pPr>
      <w:shd w:val="clear" w:color="808080" w:fill="auto"/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hd w:val="clear" w:color="808080" w:fill="auto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shd w:val="clear" w:color="808080" w:fill="auto"/>
      <w:ind w:left="567" w:right="284"/>
      <w:outlineLvl w:val="9"/>
    </w:pPr>
  </w:style>
  <w:style w:type="paragraph" w:customStyle="1" w:styleId="zHeading4">
    <w:name w:val="zHeading 4"/>
    <w:basedOn w:val="Heading4"/>
    <w:pPr>
      <w:shd w:val="clear" w:color="808080" w:fill="auto"/>
      <w:ind w:left="567" w:right="284"/>
      <w:outlineLvl w:val="9"/>
    </w:pPr>
  </w:style>
  <w:style w:type="paragraph" w:customStyle="1" w:styleId="zHeading5">
    <w:name w:val="zHeading 5"/>
    <w:basedOn w:val="Heading5"/>
    <w:pPr>
      <w:shd w:val="clear" w:color="808080" w:fill="auto"/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160" w:line="260" w:lineRule="atLeast"/>
      <w:ind w:left="3773" w:hanging="3773"/>
    </w:pPr>
    <w:rPr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Indenta"/>
    <w:pPr>
      <w:shd w:val="clear" w:color="808080" w:fill="auto"/>
      <w:tabs>
        <w:tab w:val="clear" w:pos="1332"/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IndentA0">
    <w:name w:val="zIndent(A)"/>
    <w:basedOn w:val="IndentA0"/>
    <w:pPr>
      <w:shd w:val="clear" w:color="808080" w:fill="auto"/>
      <w:tabs>
        <w:tab w:val="clear" w:pos="3686"/>
        <w:tab w:val="clear" w:pos="3969"/>
        <w:tab w:val="right" w:pos="4253"/>
        <w:tab w:val="left" w:pos="4536"/>
      </w:tabs>
      <w:ind w:left="4537" w:right="284" w:hanging="851"/>
    </w:pPr>
  </w:style>
  <w:style w:type="paragraph" w:customStyle="1" w:styleId="zIndenti">
    <w:name w:val="zIndent(i)"/>
    <w:basedOn w:val="Indenti"/>
    <w:pPr>
      <w:shd w:val="clear" w:color="808080" w:fill="auto"/>
      <w:tabs>
        <w:tab w:val="clear" w:pos="2041"/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IndentI0">
    <w:name w:val="zIndent(I)"/>
    <w:basedOn w:val="IndentI0"/>
    <w:pPr>
      <w:shd w:val="clear" w:color="808080" w:fill="auto"/>
      <w:tabs>
        <w:tab w:val="clear" w:pos="2892"/>
        <w:tab w:val="clear" w:pos="3204"/>
        <w:tab w:val="right" w:pos="3459"/>
        <w:tab w:val="left" w:pos="3771"/>
      </w:tabs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Penpara"/>
    <w:pPr>
      <w:shd w:val="clear" w:color="808080" w:fill="auto"/>
      <w:tabs>
        <w:tab w:val="clear" w:pos="1616"/>
        <w:tab w:val="right" w:pos="1899"/>
        <w:tab w:val="left" w:pos="2183"/>
      </w:tabs>
      <w:ind w:left="2183" w:right="284" w:hanging="851"/>
    </w:pPr>
  </w:style>
  <w:style w:type="paragraph" w:customStyle="1" w:styleId="zPensubpara">
    <w:name w:val="zPensubpara"/>
    <w:basedOn w:val="Pensubpara"/>
    <w:pPr>
      <w:shd w:val="clear" w:color="808080" w:fill="auto"/>
      <w:tabs>
        <w:tab w:val="clear" w:pos="2325"/>
        <w:tab w:val="right" w:pos="2608"/>
        <w:tab w:val="left" w:pos="2892"/>
      </w:tabs>
      <w:ind w:left="2892" w:right="284" w:hanging="851"/>
    </w:pPr>
  </w:style>
  <w:style w:type="paragraph" w:customStyle="1" w:styleId="zPenitem">
    <w:name w:val="zPenitem"/>
    <w:basedOn w:val="Penitem"/>
    <w:pPr>
      <w:shd w:val="clear" w:color="808080" w:fill="auto"/>
      <w:tabs>
        <w:tab w:val="clear" w:pos="3119"/>
        <w:tab w:val="right" w:pos="3402"/>
        <w:tab w:val="left" w:pos="3686"/>
      </w:tabs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</w:pPr>
  </w:style>
  <w:style w:type="paragraph" w:styleId="ListBullet2">
    <w:name w:val="List Bullet 2"/>
    <w:basedOn w:val="Normal"/>
    <w:autoRedefine/>
    <w:semiHidden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pPr>
      <w:tabs>
        <w:tab w:val="num" w:pos="360"/>
      </w:tabs>
    </w:pPr>
  </w:style>
  <w:style w:type="paragraph" w:styleId="ListBullet4">
    <w:name w:val="List Bullet 4"/>
    <w:basedOn w:val="Normal"/>
    <w:autoRedefine/>
    <w:semiHidden/>
    <w:pPr>
      <w:tabs>
        <w:tab w:val="num" w:pos="360"/>
      </w:tabs>
    </w:pPr>
  </w:style>
  <w:style w:type="paragraph" w:styleId="ListBullet5">
    <w:name w:val="List Bullet 5"/>
    <w:basedOn w:val="Normal"/>
    <w:autoRedefine/>
    <w:semiHidden/>
    <w:pPr>
      <w:tabs>
        <w:tab w:val="num" w:pos="360"/>
      </w:tabs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styleId="ListNumber3">
    <w:name w:val="List Number 3"/>
    <w:basedOn w:val="Normal"/>
    <w:semiHidden/>
    <w:pPr>
      <w:tabs>
        <w:tab w:val="num" w:pos="360"/>
      </w:tabs>
    </w:pPr>
  </w:style>
  <w:style w:type="paragraph" w:styleId="ListNumber4">
    <w:name w:val="List Number 4"/>
    <w:basedOn w:val="Normal"/>
    <w:semiHidden/>
    <w:pPr>
      <w:tabs>
        <w:tab w:val="num" w:pos="360"/>
      </w:tabs>
    </w:pPr>
  </w:style>
  <w:style w:type="paragraph" w:styleId="ListNumber5">
    <w:name w:val="List Number 5"/>
    <w:basedOn w:val="Normal"/>
    <w:semiHidden/>
    <w:pPr>
      <w:tabs>
        <w:tab w:val="num" w:pos="360"/>
      </w:tabs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  <w:outlineLvl w:val="9"/>
    </w:pPr>
    <w:rPr>
      <w:sz w:val="22"/>
    </w:rPr>
  </w:style>
  <w:style w:type="paragraph" w:customStyle="1" w:styleId="yEdnotepara">
    <w:name w:val="yEdnote(para)"/>
    <w:basedOn w:val="Ednotepara"/>
    <w:pPr>
      <w:spacing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  <w:ind w:left="2330" w:hanging="2330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  <w:ind w:left="3050" w:hanging="305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  <w:ind w:left="3771" w:hanging="3771"/>
    </w:p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pPr>
      <w:shd w:val="clear" w:color="808080" w:fill="auto"/>
    </w:pPr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MiscellaneousBody"/>
    <w:pPr>
      <w:shd w:val="clear" w:color="808080" w:fill="auto"/>
      <w:ind w:left="567" w:right="284"/>
    </w:p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pPr>
      <w:spacing w:before="6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1078</Words>
  <Characters>5049</Characters>
  <Application>Microsoft Office Word</Application>
  <DocSecurity>0</DocSecurity>
  <Lines>174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Highways (Liability for Straying Animals) Act 1983 - 01-c0-02</dc:title>
  <dc:subject/>
  <dc:creator/>
  <cp:keywords/>
  <dc:description/>
  <cp:lastModifiedBy>svcMRProcess</cp:lastModifiedBy>
  <cp:revision>4</cp:revision>
  <cp:lastPrinted>2002-10-09T23:58:00Z</cp:lastPrinted>
  <dcterms:created xsi:type="dcterms:W3CDTF">2019-01-22T01:53:00Z</dcterms:created>
  <dcterms:modified xsi:type="dcterms:W3CDTF">2019-01-22T01:53:00Z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17 of 1983</vt:lpwstr>
  </property>
  <property fmtid="{D5CDD505-2E9C-101B-9397-08002B2CF9AE}" pid="3" name="ReprintedAsAt">
    <vt:filetime>2002-10-10T16:00:00Z</vt:filetime>
  </property>
  <property fmtid="{D5CDD505-2E9C-101B-9397-08002B2CF9AE}" pid="4" name="DocumentType">
    <vt:lpwstr>Act</vt:lpwstr>
  </property>
  <property fmtid="{D5CDD505-2E9C-101B-9397-08002B2CF9AE}" pid="5" name="CommencementDate">
    <vt:lpwstr>20161203</vt:lpwstr>
  </property>
  <property fmtid="{D5CDD505-2E9C-101B-9397-08002B2CF9AE}" pid="6" name="AsAtDate">
    <vt:lpwstr>03 Dec 2016</vt:lpwstr>
  </property>
  <property fmtid="{D5CDD505-2E9C-101B-9397-08002B2CF9AE}" pid="7" name="Suffix">
    <vt:lpwstr>01-c0-02</vt:lpwstr>
  </property>
</Properties>
</file>