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ind w:left="426" w:right="576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Disposal of Uncollected Goods Amendment Act 2016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  <w:ind w:left="426" w:right="424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Disposal of Uncollected Goods Amendment Act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_Toc468460047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_Toc468460048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_Toc468460049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4 amended</w:t>
      </w:r>
      <w:r>
        <w:tab/>
      </w:r>
      <w:r>
        <w:fldChar w:fldCharType="begin"/>
      </w:r>
      <w:r>
        <w:instrText xml:space="preserve"> PAGEREF _Toc468460050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Part III heading amended</w:t>
      </w:r>
      <w:r>
        <w:tab/>
      </w:r>
      <w:r>
        <w:fldChar w:fldCharType="begin"/>
      </w:r>
      <w:r>
        <w:instrText xml:space="preserve"> PAGEREF _Toc468460051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</w:pPr>
      <w:r>
        <w:t>6.</w:t>
      </w:r>
      <w:r>
        <w:tab/>
        <w:t>Section 10 amended</w:t>
      </w:r>
      <w:r>
        <w:tab/>
      </w:r>
      <w:r>
        <w:fldChar w:fldCharType="begin"/>
      </w:r>
      <w:r>
        <w:instrText xml:space="preserve"> PAGEREF _Toc468460052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16 amended</w:t>
      </w:r>
      <w:r>
        <w:tab/>
      </w:r>
      <w:r>
        <w:fldChar w:fldCharType="begin"/>
      </w:r>
      <w:r>
        <w:instrText xml:space="preserve"> PAGEREF _Toc468460053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Part VI heading amended</w:t>
      </w:r>
      <w:r>
        <w:tab/>
      </w:r>
      <w:r>
        <w:fldChar w:fldCharType="begin"/>
      </w:r>
      <w:r>
        <w:instrText xml:space="preserve"> PAGEREF _Toc468460054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Section 18 amended</w:t>
      </w:r>
      <w:r>
        <w:tab/>
      </w:r>
      <w:r>
        <w:fldChar w:fldCharType="begin"/>
      </w:r>
      <w:r>
        <w:instrText xml:space="preserve"> PAGEREF _Toc468460055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Section 26 amended</w:t>
      </w:r>
      <w:r>
        <w:tab/>
      </w:r>
      <w:r>
        <w:fldChar w:fldCharType="begin"/>
      </w:r>
      <w:r>
        <w:instrText xml:space="preserve"> PAGEREF _Toc468460056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09652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09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Disposal of Uncollected Goods Amendment Act 2016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43 of 2016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Disposal of Uncollected Goods Act 1970</w:t>
      </w:r>
      <w:r>
        <w:t>.</w:t>
      </w:r>
    </w:p>
    <w:p>
      <w:pPr>
        <w:pStyle w:val="AssentNote"/>
      </w:pPr>
      <w:r>
        <w:t>[Assented to 1 December 2016]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67151608"/>
      <w:bookmarkStart w:id="5" w:name="_Toc468458353"/>
      <w:bookmarkStart w:id="6" w:name="_Toc468460047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Disposal of Uncollected Goods Amendment Act 2016</w:t>
      </w:r>
      <w:r>
        <w:t>.</w:t>
      </w:r>
    </w:p>
    <w:p>
      <w:pPr>
        <w:pStyle w:val="Heading5"/>
      </w:pPr>
      <w:bookmarkStart w:id="7" w:name="_Toc467151609"/>
      <w:bookmarkStart w:id="8" w:name="_Toc468458354"/>
      <w:bookmarkStart w:id="9" w:name="_Toc468460048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proclamation, and different days may be fixed for different provisions.</w:t>
      </w:r>
    </w:p>
    <w:p>
      <w:pPr>
        <w:pStyle w:val="Heading5"/>
        <w:rPr>
          <w:snapToGrid w:val="0"/>
        </w:rPr>
      </w:pPr>
      <w:bookmarkStart w:id="10" w:name="_Toc467151610"/>
      <w:bookmarkStart w:id="11" w:name="_Toc468458355"/>
      <w:bookmarkStart w:id="12" w:name="_Toc46846004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Disposal of Uncollected Goods Act 1970</w:t>
      </w:r>
      <w:r>
        <w:t>.</w:t>
      </w:r>
    </w:p>
    <w:p>
      <w:pPr>
        <w:pStyle w:val="Heading5"/>
      </w:pPr>
      <w:bookmarkStart w:id="13" w:name="_Toc467151611"/>
      <w:bookmarkStart w:id="14" w:name="_Toc468458356"/>
      <w:bookmarkStart w:id="15" w:name="_Toc468460050"/>
      <w:r>
        <w:rPr>
          <w:rStyle w:val="CharSectno"/>
        </w:rPr>
        <w:t>4</w:t>
      </w:r>
      <w:r>
        <w:t>.</w:t>
      </w:r>
      <w:r>
        <w:tab/>
        <w:t>Section 4 amended</w:t>
      </w:r>
      <w:bookmarkEnd w:id="13"/>
      <w:bookmarkEnd w:id="14"/>
      <w:bookmarkEnd w:id="15"/>
    </w:p>
    <w:p>
      <w:pPr>
        <w:pStyle w:val="Subsection"/>
      </w:pPr>
      <w:r>
        <w:tab/>
        <w:t>(1)</w:t>
      </w:r>
      <w:r>
        <w:tab/>
        <w:t>In section 4(1) delete the definitions of:</w:t>
      </w:r>
    </w:p>
    <w:p>
      <w:pPr>
        <w:pStyle w:val="DeleteListSub"/>
        <w:rPr>
          <w:b/>
          <w:i/>
        </w:rPr>
      </w:pPr>
      <w:r>
        <w:rPr>
          <w:b/>
          <w:i/>
        </w:rPr>
        <w:t>Part</w:t>
      </w:r>
    </w:p>
    <w:p>
      <w:pPr>
        <w:pStyle w:val="DeleteListSub"/>
        <w:rPr>
          <w:b/>
          <w:i/>
        </w:rPr>
      </w:pPr>
      <w:r>
        <w:rPr>
          <w:b/>
          <w:i/>
        </w:rPr>
        <w:t>section</w:t>
      </w:r>
    </w:p>
    <w:p>
      <w:pPr>
        <w:pStyle w:val="Subsection"/>
      </w:pPr>
      <w:r>
        <w:tab/>
        <w:t>(2)</w:t>
      </w:r>
      <w:r>
        <w:tab/>
        <w:t>In section 4(1) insert in alphabetical order:</w:t>
      </w:r>
    </w:p>
    <w:p>
      <w:pPr>
        <w:pStyle w:val="BlankOpen"/>
      </w:pPr>
    </w:p>
    <w:p>
      <w:pPr>
        <w:pStyle w:val="zDefstart"/>
      </w:pPr>
      <w:r>
        <w:tab/>
      </w:r>
      <w:r>
        <w:rPr>
          <w:rStyle w:val="CharDefText"/>
        </w:rPr>
        <w:t>relevant amount</w:t>
      </w:r>
      <w:r>
        <w:t xml:space="preserve"> means $3 500 or such other amount as is prescribed by regulation.</w:t>
      </w:r>
    </w:p>
    <w:p>
      <w:pPr>
        <w:pStyle w:val="BlankClose"/>
      </w:pPr>
    </w:p>
    <w:p>
      <w:pPr>
        <w:pStyle w:val="Subsection"/>
      </w:pPr>
      <w:r>
        <w:tab/>
        <w:t>(3)</w:t>
      </w:r>
      <w:r>
        <w:tab/>
        <w:t xml:space="preserve">In section 4(1) in the definition of </w:t>
      </w:r>
      <w:r>
        <w:rPr>
          <w:b/>
          <w:i/>
        </w:rPr>
        <w:t>prescribed goods</w:t>
      </w:r>
      <w:r>
        <w:t xml:space="preserve"> delete “regulation; and”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regulation;</w:t>
      </w:r>
    </w:p>
    <w:p>
      <w:pPr>
        <w:pStyle w:val="BlankClose"/>
      </w:pPr>
    </w:p>
    <w:p>
      <w:pPr>
        <w:pStyle w:val="Heading5"/>
      </w:pPr>
      <w:bookmarkStart w:id="16" w:name="_Toc467151612"/>
      <w:bookmarkStart w:id="17" w:name="_Toc468458357"/>
      <w:bookmarkStart w:id="18" w:name="_Toc468460051"/>
      <w:r>
        <w:rPr>
          <w:rStyle w:val="CharSectno"/>
        </w:rPr>
        <w:lastRenderedPageBreak/>
        <w:t>5</w:t>
      </w:r>
      <w:r>
        <w:t>.</w:t>
      </w:r>
      <w:r>
        <w:tab/>
        <w:t>Part III heading amended</w:t>
      </w:r>
      <w:bookmarkEnd w:id="16"/>
      <w:bookmarkEnd w:id="17"/>
      <w:bookmarkEnd w:id="18"/>
    </w:p>
    <w:p>
      <w:pPr>
        <w:pStyle w:val="Subsection"/>
        <w:keepNext/>
      </w:pPr>
      <w:r>
        <w:tab/>
      </w:r>
      <w:r>
        <w:tab/>
        <w:t>In the heading to Part III delete “</w:t>
      </w:r>
      <w:r>
        <w:rPr>
          <w:b/>
          <w:sz w:val="30"/>
        </w:rPr>
        <w:t>$300</w:t>
      </w:r>
      <w:r>
        <w:t>” and insert:</w:t>
      </w:r>
    </w:p>
    <w:p>
      <w:pPr>
        <w:pStyle w:val="BlankOpen"/>
      </w:pPr>
    </w:p>
    <w:p>
      <w:pPr>
        <w:pStyle w:val="Subsection"/>
        <w:rPr>
          <w:b/>
          <w:sz w:val="30"/>
        </w:rPr>
      </w:pPr>
      <w:r>
        <w:tab/>
      </w:r>
      <w:r>
        <w:tab/>
      </w:r>
      <w:r>
        <w:rPr>
          <w:b/>
          <w:sz w:val="30"/>
        </w:rPr>
        <w:t>the relevant amount</w:t>
      </w:r>
    </w:p>
    <w:p>
      <w:pPr>
        <w:pStyle w:val="BlankClose"/>
      </w:pPr>
    </w:p>
    <w:p>
      <w:pPr>
        <w:pStyle w:val="Heading5"/>
      </w:pPr>
      <w:bookmarkStart w:id="19" w:name="_Toc467151613"/>
      <w:bookmarkStart w:id="20" w:name="_Toc468458358"/>
      <w:bookmarkStart w:id="21" w:name="_Toc468460052"/>
      <w:r>
        <w:rPr>
          <w:rStyle w:val="CharSectno"/>
        </w:rPr>
        <w:t>6</w:t>
      </w:r>
      <w:r>
        <w:t>.</w:t>
      </w:r>
      <w:r>
        <w:tab/>
        <w:t>Section 10 amended</w:t>
      </w:r>
      <w:bookmarkEnd w:id="19"/>
      <w:bookmarkEnd w:id="20"/>
      <w:bookmarkEnd w:id="21"/>
    </w:p>
    <w:p>
      <w:pPr>
        <w:pStyle w:val="Subsection"/>
      </w:pPr>
      <w:r>
        <w:tab/>
      </w:r>
      <w:r>
        <w:tab/>
        <w:t>In section 10 delete “$300”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the relevant amount</w:t>
      </w:r>
    </w:p>
    <w:p>
      <w:pPr>
        <w:pStyle w:val="BlankClose"/>
      </w:pPr>
    </w:p>
    <w:p>
      <w:pPr>
        <w:pStyle w:val="Heading5"/>
      </w:pPr>
      <w:bookmarkStart w:id="22" w:name="_Toc467151614"/>
      <w:bookmarkStart w:id="23" w:name="_Toc468458359"/>
      <w:bookmarkStart w:id="24" w:name="_Toc468460053"/>
      <w:r>
        <w:rPr>
          <w:rStyle w:val="CharSectno"/>
        </w:rPr>
        <w:t>7</w:t>
      </w:r>
      <w:r>
        <w:t>.</w:t>
      </w:r>
      <w:r>
        <w:tab/>
        <w:t>Section 16 amended</w:t>
      </w:r>
      <w:bookmarkEnd w:id="22"/>
      <w:bookmarkEnd w:id="23"/>
      <w:bookmarkEnd w:id="24"/>
    </w:p>
    <w:p>
      <w:pPr>
        <w:pStyle w:val="Subsection"/>
      </w:pPr>
      <w:r>
        <w:tab/>
      </w:r>
      <w:r>
        <w:tab/>
        <w:t>In section 16(b) delete “$300,”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the relevant amount,</w:t>
      </w:r>
    </w:p>
    <w:p>
      <w:pPr>
        <w:pStyle w:val="BlankClose"/>
      </w:pPr>
    </w:p>
    <w:p>
      <w:pPr>
        <w:pStyle w:val="Heading5"/>
      </w:pPr>
      <w:bookmarkStart w:id="25" w:name="_Toc467151615"/>
      <w:bookmarkStart w:id="26" w:name="_Toc468458360"/>
      <w:bookmarkStart w:id="27" w:name="_Toc468460054"/>
      <w:r>
        <w:rPr>
          <w:rStyle w:val="CharSectno"/>
        </w:rPr>
        <w:t>8</w:t>
      </w:r>
      <w:r>
        <w:t>.</w:t>
      </w:r>
      <w:r>
        <w:tab/>
        <w:t>Part VI heading amended</w:t>
      </w:r>
      <w:bookmarkEnd w:id="25"/>
      <w:bookmarkEnd w:id="26"/>
      <w:bookmarkEnd w:id="27"/>
    </w:p>
    <w:p>
      <w:pPr>
        <w:pStyle w:val="Subsection"/>
      </w:pPr>
      <w:r>
        <w:tab/>
      </w:r>
      <w:r>
        <w:tab/>
        <w:t>In the heading to Part VI delete “</w:t>
      </w:r>
      <w:r>
        <w:rPr>
          <w:b/>
          <w:sz w:val="30"/>
        </w:rPr>
        <w:t>$300</w:t>
      </w:r>
      <w:r>
        <w:t>” and insert:</w:t>
      </w:r>
    </w:p>
    <w:p>
      <w:pPr>
        <w:pStyle w:val="BlankOpen"/>
      </w:pPr>
    </w:p>
    <w:p>
      <w:pPr>
        <w:pStyle w:val="Subsection"/>
        <w:rPr>
          <w:szCs w:val="24"/>
        </w:rPr>
      </w:pPr>
      <w:r>
        <w:tab/>
      </w:r>
      <w:r>
        <w:tab/>
      </w:r>
      <w:r>
        <w:rPr>
          <w:b/>
          <w:sz w:val="30"/>
        </w:rPr>
        <w:t>the relevant amount</w:t>
      </w:r>
    </w:p>
    <w:p>
      <w:pPr>
        <w:pStyle w:val="BlankClose"/>
      </w:pPr>
    </w:p>
    <w:p>
      <w:pPr>
        <w:pStyle w:val="Heading5"/>
      </w:pPr>
      <w:bookmarkStart w:id="28" w:name="_Toc467151616"/>
      <w:bookmarkStart w:id="29" w:name="_Toc468458361"/>
      <w:bookmarkStart w:id="30" w:name="_Toc468460055"/>
      <w:r>
        <w:rPr>
          <w:rStyle w:val="CharSectno"/>
        </w:rPr>
        <w:t>9</w:t>
      </w:r>
      <w:r>
        <w:t>.</w:t>
      </w:r>
      <w:r>
        <w:tab/>
        <w:t>Section 18 amended</w:t>
      </w:r>
      <w:bookmarkEnd w:id="28"/>
      <w:bookmarkEnd w:id="29"/>
      <w:bookmarkEnd w:id="30"/>
    </w:p>
    <w:p>
      <w:pPr>
        <w:pStyle w:val="Subsection"/>
      </w:pPr>
      <w:r>
        <w:tab/>
      </w:r>
      <w:r>
        <w:tab/>
        <w:t>In section 18 delete “$300,”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the relevant amount</w:t>
      </w:r>
    </w:p>
    <w:p>
      <w:pPr>
        <w:pStyle w:val="BlankClose"/>
      </w:pPr>
    </w:p>
    <w:p>
      <w:pPr>
        <w:pStyle w:val="Heading5"/>
      </w:pPr>
      <w:bookmarkStart w:id="31" w:name="_Toc467151617"/>
      <w:bookmarkStart w:id="32" w:name="_Toc468458362"/>
      <w:bookmarkStart w:id="33" w:name="_Toc468460056"/>
      <w:r>
        <w:rPr>
          <w:rStyle w:val="CharSectno"/>
        </w:rPr>
        <w:lastRenderedPageBreak/>
        <w:t>10</w:t>
      </w:r>
      <w:r>
        <w:t>.</w:t>
      </w:r>
      <w:r>
        <w:tab/>
        <w:t>Section 26 amended</w:t>
      </w:r>
      <w:bookmarkEnd w:id="31"/>
      <w:bookmarkEnd w:id="32"/>
      <w:bookmarkEnd w:id="33"/>
    </w:p>
    <w:p>
      <w:pPr>
        <w:pStyle w:val="Subsection"/>
      </w:pPr>
      <w:r>
        <w:tab/>
      </w:r>
      <w:r>
        <w:tab/>
        <w:t>In section 26(4)(a) and (c)(ii) delete “$300,”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the relevant amount,</w:t>
      </w:r>
    </w:p>
    <w:p>
      <w:pPr>
        <w:pStyle w:val="BlankClose"/>
      </w:pPr>
    </w:p>
    <w:p>
      <w:pPr>
        <w:pStyle w:val="Subsection"/>
        <w:jc w:val="center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9"/>
          <w:headerReference w:type="default" r:id="rId30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8140416</wp:posOffset>
                </wp:positionV>
                <wp:extent cx="130628" cy="2451100"/>
                <wp:effectExtent l="0" t="0" r="1905" b="635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JOHN A. STRIJK,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641pt;width:10.3pt;height:193pt;z-index:25166131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es9AIAAHoGAAAOAAAAZHJzL2Uyb0RvYy54bWysVVFv2jAQfp+0/2D5nSahgRbUUNFWTJNQ&#10;W62d+mwcG6w6tmcbCKv233d2EgrtHtZpPDhn++589913x8VlXUm0YdYJrQqcnaQYMUV1KdSywN8f&#10;Z71zjJwnqiRSK1bgHXP4cvL508XWjFlfr7QsmUXgRLnx1hR45b0ZJ4mjK1YRd6INU3DJta2Ih61d&#10;JqUlW/BeyaSfpsNkq21prKbMOTi9aS7xJPrnnFF/x7ljHskCQ2w+rjaui7AmkwsyXlpiVoK2YZB/&#10;iKIiQsGje1c3xBO0tuKdq0pQq53m/oTqKtGcC8piDpBNlr7J5mFFDIu5ADjO7GFy/88tvd3cWyTK&#10;Ap9ipEgFJZqu/Upb4XcBnK1xY9B5MKDl6ytdQ5G7cweHIeea2yp8IRsE9wDzbg8tqz2iweg0HfaB&#10;CxSu+vkgy9KIffJqbazzX5iuUBAKbKF0EVGymTsPkYBqpxIec1qKciakjBu7XFxLizYEyjyLvxAk&#10;mBypSYW2BR6eDtLoWelg3+hJFfywyJjmPdjVHsR4DlnEar6Msn6eXvVHvdnw/KyXz/JBb3SWnvfS&#10;bHQ1Gqb5KL+Z/Qres3y8EmXJ1Fwo1jEry/+uci3HG05Ebh0FfpRUAGWf+0IS+vw+9eQ4nIgMZNd9&#10;Y5ZJKHVT0ij5nWQhd6m+MQ4MiZUNB7E32f5JQilTPpIC8I7aQYsDtB8xbPWDaVOFjxjvLeLLWvm9&#10;cSWUtrHab8Iun7uQeaMPYBzkHURfL+q2BRa63EEHWA3MBH47Q2cCcJ8T5++JhYkBhzAF/R0sXGpg&#10;mW4ljKCZfv7pPOgDHeAWoy1MoAK7H2tiGUbyq4IWH2V5HkZW3OSDsz5s7OHN4vBGratrDezPYnRR&#10;DPpediK3unqCYTkNr8IVURTeLrDvxGvfzEUYtpRNp1EJhpQhfq4eDA2uA7yBb4/1E7Gm7VQPTLrV&#10;3awi4zcN2+gGS6VhtGguYjcHgBtUW+BhwEU+tsM4TNDDfdR6/cuY/AYAAP//AwBQSwMEFAAGAAgA&#10;AAAhACm9q/zeAAAACQEAAA8AAABkcnMvZG93bnJldi54bWxMj0FPwzAMhe9I/IfISNxYQhFVVZpO&#10;ExKnaQcKDI5ZY9pqjVOSdCv/HnOCm/2e9fy9ar24UZwwxMGThtuVAoHUejtQp+H15emmABGTIWtG&#10;T6jhGyOs68uLypTWn+kZT03qBIdQLI2GPqWplDK2PToTV35CYu/TB2cSr6GTNpgzh7tRZkrl0pmB&#10;+ENvJnzssT02s9PwsRvud/vt5r1o1Ny8fS3b490+aH19tWweQCRc0t8x/OIzOtTMdPAz2ShGDVwk&#10;sZoVGU/sZyoHcWAlzwsFsq7k/wb1DwAAAP//AwBQSwECLQAUAAYACAAAACEAtoM4kv4AAADhAQAA&#10;EwAAAAAAAAAAAAAAAAAAAAAAW0NvbnRlbnRfVHlwZXNdLnhtbFBLAQItABQABgAIAAAAIQA4/SH/&#10;1gAAAJQBAAALAAAAAAAAAAAAAAAAAC8BAABfcmVscy8ucmVsc1BLAQItABQABgAIAAAAIQCdRves&#10;9AIAAHoGAAAOAAAAAAAAAAAAAAAAAC4CAABkcnMvZTJvRG9jLnhtbFBLAQItABQABgAIAAAAIQAp&#10;vav83gAAAAkBAAAPAAAAAAAAAAAAAAAAAE4FAABkcnMvZG93bnJldi54bWxQSwUGAAAAAAQABADz&#10;AAAAWQYAAAAA&#10;" stroked="f" strokeweight=".5pt">
                <v:textbox>
                  <w:txbxContent>
                    <w:p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JOHN A.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STRIJK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43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43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43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43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43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43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43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43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Disposal of Uncollected Goods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Disposal of Uncollected Goods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5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34" w:name="Compilation"/>
    <w:bookmarkEnd w:id="3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5" w:name="Coversheet"/>
    <w:bookmarkEnd w:id="3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Disposal of Uncollected Goods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Disposal of Uncollected Goods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Disposal of Uncollected Goods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Disposal of Uncollected Goods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31903"/>
    <w:docVar w:name="WAFER_20150206084435" w:val="ResetPageSize"/>
    <w:docVar w:name="WAFER_20150206084435_GUID" w:val="bd672a8f-e74f-4265-8b59-571b146e34b9"/>
    <w:docVar w:name="WAFER_20151012091936" w:val="RemoveTocBookmarks,RemoveUnusedBookmarks,RemoveLanguageTags,UsedStyles,ResetPageSize"/>
    <w:docVar w:name="WAFER_20151012091936_GUID" w:val="4378e9c3-eb96-40d7-8d81-8239d47695c8"/>
    <w:docVar w:name="WAFER_20151102131903" w:val="UpdateStyles,UsedStyles"/>
    <w:docVar w:name="WAFER_20151102131903_GUID" w:val="4efb84c9-8935-4c9f-bc89-a0fe019885f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10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9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image" Target="media/image3.png"/><Relationship Id="rId36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B2E2-3F20-4DE2-9404-8CED9F54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451</Words>
  <Characters>2184</Characters>
  <Application>Microsoft Office Word</Application>
  <DocSecurity>0</DocSecurity>
  <Lines>128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2545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of Uncollected Goods Amendment Act 2016 - 00-00-00</dc:title>
  <dc:subject/>
  <dc:creator/>
  <cp:keywords/>
  <dc:description/>
  <cp:lastModifiedBy>svcMRProcess</cp:lastModifiedBy>
  <cp:revision>4</cp:revision>
  <cp:lastPrinted>2016-12-02T06:39:00Z</cp:lastPrinted>
  <dcterms:created xsi:type="dcterms:W3CDTF">2016-12-02T08:46:00Z</dcterms:created>
  <dcterms:modified xsi:type="dcterms:W3CDTF">2016-12-02T08:46:00Z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2443</vt:lpwstr>
  </property>
  <property fmtid="{D5CDD505-2E9C-101B-9397-08002B2CF9AE}" pid="3" name="ActNo">
    <vt:lpwstr>43 of 2016</vt:lpwstr>
  </property>
  <property fmtid="{D5CDD505-2E9C-101B-9397-08002B2CF9AE}" pid="4" name="DocumentType">
    <vt:lpwstr>Act</vt:lpwstr>
  </property>
  <property fmtid="{D5CDD505-2E9C-101B-9397-08002B2CF9AE}" pid="5" name="AsAtDate">
    <vt:lpwstr>01 Dec 2016</vt:lpwstr>
  </property>
  <property fmtid="{D5CDD505-2E9C-101B-9397-08002B2CF9AE}" pid="6" name="Suffix">
    <vt:lpwstr>00-00-00</vt:lpwstr>
  </property>
  <property fmtid="{D5CDD505-2E9C-101B-9397-08002B2CF9AE}" pid="7" name="ActNoFooter">
    <vt:lpwstr>No. 43 of 2016</vt:lpwstr>
  </property>
  <property fmtid="{D5CDD505-2E9C-101B-9397-08002B2CF9AE}" pid="8" name="CommencementDate">
    <vt:lpwstr>20161201</vt:lpwstr>
  </property>
</Properties>
</file>