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_Toc473124373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_Toc473124374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_Toc473124375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_Toc473124376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_Toc473124377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_Toc473124378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_Toc473124379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_Toc473124380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_Toc473124381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_Toc473124382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_Toc473124383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_Toc473124384 \h </w:instrText>
      </w:r>
      <w:r>
        <w:fldChar w:fldCharType="separate"/>
      </w:r>
      <w:r>
        <w:t>8</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_Toc473124385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_Toc473124386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_Toc473124387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_Toc473124388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_Toc473124389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_Toc473124390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_Toc473124391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_Toc473124392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_Toc473124393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_Toc473124394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Penalty for offences generally</w:t>
      </w:r>
      <w:r>
        <w:tab/>
      </w:r>
      <w:r>
        <w:fldChar w:fldCharType="begin"/>
      </w:r>
      <w:r>
        <w:instrText xml:space="preserve"> PAGEREF _Toc473124395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_Toc473124396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_Toc473124397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_Toc473124398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_Toc473124399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_Toc473124401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_Toc473124402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47312437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7312437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5" w:name="_Toc473124375"/>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by No. 26 of 1999 s. 73(2); No. 55 of 2004 s. 220; </w:t>
      </w:r>
      <w:r>
        <w:rPr>
          <w:spacing w:val="-4"/>
        </w:rPr>
        <w:t>No. 58 of 2010 s. 181</w:t>
      </w:r>
      <w:r>
        <w:t>.]</w:t>
      </w:r>
    </w:p>
    <w:p>
      <w:pPr>
        <w:pStyle w:val="Heading5"/>
        <w:rPr>
          <w:snapToGrid w:val="0"/>
        </w:rPr>
      </w:pPr>
      <w:bookmarkStart w:id="6" w:name="_Toc473124376"/>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7" w:name="_Toc473124377"/>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8" w:name="_Toc473124378"/>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9" w:name="_Toc473124379"/>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Subsection"/>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10" w:name="_Toc473124380"/>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A person who desires to obtain a licence or renewal thereof shall make application in the form prescribed.</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11" w:name="_Toc473124381"/>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12" w:name="_Toc473124382"/>
      <w:r>
        <w:rPr>
          <w:rStyle w:val="CharSectno"/>
        </w:rPr>
        <w:t>10</w:t>
      </w:r>
      <w:r>
        <w:rPr>
          <w:snapToGrid w:val="0"/>
        </w:rPr>
        <w:t>.</w:t>
      </w:r>
      <w:r>
        <w:rPr>
          <w:snapToGrid w:val="0"/>
        </w:rPr>
        <w:tab/>
        <w:t>Cancellation of licence</w:t>
      </w:r>
      <w:bookmarkEnd w:id="12"/>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13" w:name="_Toc473124383"/>
      <w:r>
        <w:rPr>
          <w:rStyle w:val="CharSectno"/>
        </w:rPr>
        <w:t>11</w:t>
      </w:r>
      <w:r>
        <w:t>.</w:t>
      </w:r>
      <w:r>
        <w:tab/>
        <w:t>Review of Commissioner’s decision</w:t>
      </w:r>
      <w:bookmarkEnd w:id="1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14" w:name="_Toc473124384"/>
      <w:r>
        <w:rPr>
          <w:rStyle w:val="CharSectno"/>
        </w:rPr>
        <w:t>12</w:t>
      </w:r>
      <w:r>
        <w:rPr>
          <w:snapToGrid w:val="0"/>
        </w:rPr>
        <w:t>.</w:t>
      </w:r>
      <w:r>
        <w:rPr>
          <w:snapToGrid w:val="0"/>
        </w:rPr>
        <w:tab/>
        <w:t>Register to be kept by Commissioner</w:t>
      </w:r>
      <w:bookmarkEnd w:id="14"/>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by No. 55 of 2004 s. 225.]</w:t>
      </w:r>
    </w:p>
    <w:p>
      <w:pPr>
        <w:pStyle w:val="Heading5"/>
      </w:pPr>
      <w:bookmarkStart w:id="15" w:name="_Toc473124385"/>
      <w:r>
        <w:rPr>
          <w:rStyle w:val="CharSectno"/>
        </w:rPr>
        <w:t>12A</w:t>
      </w:r>
      <w:r>
        <w:t>.</w:t>
      </w:r>
      <w:r>
        <w:tab/>
        <w:t>Matters to be included in annual report</w:t>
      </w:r>
      <w:bookmarkEnd w:id="15"/>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16" w:name="_Toc473124386"/>
      <w:r>
        <w:rPr>
          <w:rStyle w:val="CharSectno"/>
        </w:rPr>
        <w:t>13</w:t>
      </w:r>
      <w:r>
        <w:rPr>
          <w:snapToGrid w:val="0"/>
        </w:rPr>
        <w:t>.</w:t>
      </w:r>
      <w:r>
        <w:rPr>
          <w:snapToGrid w:val="0"/>
        </w:rPr>
        <w:tab/>
        <w:t>Unlicensed persons not to recover fees etc.</w:t>
      </w:r>
      <w:bookmarkEnd w:id="16"/>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7" w:name="_Toc473124387"/>
      <w:r>
        <w:rPr>
          <w:rStyle w:val="CharSectno"/>
        </w:rPr>
        <w:t>14</w:t>
      </w:r>
      <w:r>
        <w:rPr>
          <w:snapToGrid w:val="0"/>
        </w:rPr>
        <w:t>.</w:t>
      </w:r>
      <w:r>
        <w:rPr>
          <w:snapToGrid w:val="0"/>
        </w:rPr>
        <w:tab/>
        <w:t>Offence of furnishing incorrect information in applications etc.</w:t>
      </w:r>
      <w:bookmarkEnd w:id="17"/>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18" w:name="_Toc473124388"/>
      <w:r>
        <w:rPr>
          <w:rStyle w:val="CharSectno"/>
        </w:rPr>
        <w:t>15</w:t>
      </w:r>
      <w:r>
        <w:rPr>
          <w:snapToGrid w:val="0"/>
        </w:rPr>
        <w:t>.</w:t>
      </w:r>
      <w:r>
        <w:rPr>
          <w:snapToGrid w:val="0"/>
        </w:rPr>
        <w:tab/>
        <w:t>Duty of debt collectors in respect of trust money</w:t>
      </w:r>
      <w:bookmarkEnd w:id="18"/>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by No. 55 of 2004 s. 227.]</w:t>
      </w:r>
    </w:p>
    <w:p>
      <w:pPr>
        <w:pStyle w:val="Heading5"/>
        <w:rPr>
          <w:snapToGrid w:val="0"/>
        </w:rPr>
      </w:pPr>
      <w:bookmarkStart w:id="19" w:name="_Toc473124389"/>
      <w:r>
        <w:rPr>
          <w:rStyle w:val="CharSectno"/>
        </w:rPr>
        <w:t>16</w:t>
      </w:r>
      <w:r>
        <w:rPr>
          <w:snapToGrid w:val="0"/>
        </w:rPr>
        <w:t>.</w:t>
      </w:r>
      <w:r>
        <w:rPr>
          <w:snapToGrid w:val="0"/>
        </w:rPr>
        <w:tab/>
        <w:t>Duty of bank Manager</w:t>
      </w:r>
      <w:bookmarkEnd w:id="1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20" w:name="_Toc473124390"/>
      <w:r>
        <w:rPr>
          <w:rStyle w:val="CharSectno"/>
        </w:rPr>
        <w:t>17</w:t>
      </w:r>
      <w:r>
        <w:rPr>
          <w:snapToGrid w:val="0"/>
        </w:rPr>
        <w:t>.</w:t>
      </w:r>
      <w:r>
        <w:rPr>
          <w:snapToGrid w:val="0"/>
        </w:rPr>
        <w:tab/>
        <w:t>Duty of debt collector as to accounts</w:t>
      </w:r>
      <w:bookmarkEnd w:id="20"/>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21" w:name="_Toc473124391"/>
      <w:r>
        <w:rPr>
          <w:rStyle w:val="CharSectno"/>
        </w:rPr>
        <w:t>18</w:t>
      </w:r>
      <w:r>
        <w:rPr>
          <w:snapToGrid w:val="0"/>
        </w:rPr>
        <w:t>.</w:t>
      </w:r>
      <w:r>
        <w:rPr>
          <w:snapToGrid w:val="0"/>
        </w:rPr>
        <w:tab/>
        <w:t>Inspection of records</w:t>
      </w:r>
      <w:bookmarkEnd w:id="21"/>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22" w:name="_Toc473124392"/>
      <w:r>
        <w:rPr>
          <w:rStyle w:val="CharSectno"/>
        </w:rPr>
        <w:t>19</w:t>
      </w:r>
      <w:r>
        <w:rPr>
          <w:snapToGrid w:val="0"/>
        </w:rPr>
        <w:t>.</w:t>
      </w:r>
      <w:r>
        <w:rPr>
          <w:snapToGrid w:val="0"/>
        </w:rPr>
        <w:tab/>
        <w:t>Minister may appoint auditor to audit trust accounts</w:t>
      </w:r>
      <w:bookmarkEnd w:id="22"/>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Sch. 1 cl. 44.] </w:t>
      </w:r>
    </w:p>
    <w:p>
      <w:pPr>
        <w:pStyle w:val="Heading5"/>
        <w:spacing w:before="180"/>
        <w:rPr>
          <w:snapToGrid w:val="0"/>
        </w:rPr>
      </w:pPr>
      <w:bookmarkStart w:id="23" w:name="_Toc473124393"/>
      <w:r>
        <w:rPr>
          <w:rStyle w:val="CharSectno"/>
        </w:rPr>
        <w:t>20</w:t>
      </w:r>
      <w:r>
        <w:rPr>
          <w:snapToGrid w:val="0"/>
        </w:rPr>
        <w:t>.</w:t>
      </w:r>
      <w:r>
        <w:rPr>
          <w:snapToGrid w:val="0"/>
        </w:rPr>
        <w:tab/>
        <w:t>Fidelity bond</w:t>
      </w:r>
      <w:bookmarkEnd w:id="23"/>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24" w:name="_Toc473124394"/>
      <w:r>
        <w:rPr>
          <w:rStyle w:val="CharSectno"/>
        </w:rPr>
        <w:t>21</w:t>
      </w:r>
      <w:r>
        <w:rPr>
          <w:snapToGrid w:val="0"/>
        </w:rPr>
        <w:t>.</w:t>
      </w:r>
      <w:r>
        <w:rPr>
          <w:snapToGrid w:val="0"/>
        </w:rPr>
        <w:tab/>
        <w:t>Termination of fidelity bond</w:t>
      </w:r>
      <w:bookmarkEnd w:id="24"/>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 No. 19 of 2010 s. 51.]</w:t>
      </w:r>
    </w:p>
    <w:p>
      <w:pPr>
        <w:pStyle w:val="Heading5"/>
        <w:rPr>
          <w:snapToGrid w:val="0"/>
        </w:rPr>
      </w:pPr>
      <w:bookmarkStart w:id="25" w:name="_Toc473124395"/>
      <w:r>
        <w:rPr>
          <w:rStyle w:val="CharSectno"/>
        </w:rPr>
        <w:t>22</w:t>
      </w:r>
      <w:r>
        <w:rPr>
          <w:snapToGrid w:val="0"/>
        </w:rPr>
        <w:t>.</w:t>
      </w:r>
      <w:r>
        <w:rPr>
          <w:snapToGrid w:val="0"/>
        </w:rPr>
        <w:tab/>
        <w:t>Penalty for offences generally</w:t>
      </w:r>
      <w:bookmarkEnd w:id="2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26" w:name="_Toc473124396"/>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473124397"/>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473124398"/>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473124399"/>
      <w:r>
        <w:rPr>
          <w:rStyle w:val="CharSectno"/>
        </w:rPr>
        <w:t>26</w:t>
      </w:r>
      <w:r>
        <w:rPr>
          <w:snapToGrid w:val="0"/>
        </w:rPr>
        <w:t>.</w:t>
      </w:r>
      <w:r>
        <w:rPr>
          <w:snapToGrid w:val="0"/>
        </w:rPr>
        <w:tab/>
        <w:t>Regulations</w:t>
      </w:r>
      <w:bookmarkEnd w:id="2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0" w:name="_Toc473124400"/>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 w:name="_Toc473124401"/>
      <w:r>
        <w:rPr>
          <w:snapToGrid w:val="0"/>
        </w:rPr>
        <w:t>Compilation table</w:t>
      </w:r>
      <w:bookmarkEnd w:id="3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Borders>
              <w:bottom w:val="single" w:sz="4" w:space="0" w:color="auto"/>
            </w:tcBorders>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2" w:name="_Toc473124402"/>
      <w:r>
        <w:rPr>
          <w:snapToGrid w:val="0"/>
        </w:rPr>
        <w:t>Provisions that have not come into operation</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5</w:t>
            </w:r>
          </w:p>
        </w:tc>
        <w:tc>
          <w:tcPr>
            <w:tcW w:w="1134" w:type="dxa"/>
            <w:tcBorders>
              <w:top w:val="single" w:sz="8" w:space="0" w:color="auto"/>
            </w:tcBorders>
          </w:tcPr>
          <w:p>
            <w:pPr>
              <w:pStyle w:val="nTable"/>
              <w:keepNext/>
              <w:spacing w:after="40"/>
            </w:pPr>
            <w:r>
              <w:t>56 of 1995</w:t>
            </w:r>
          </w:p>
        </w:tc>
        <w:tc>
          <w:tcPr>
            <w:tcW w:w="1134"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trPr>
        <w:tc>
          <w:tcPr>
            <w:tcW w:w="2268" w:type="dxa"/>
            <w:tcBorders>
              <w:bottom w:val="single" w:sz="4" w:space="0" w:color="auto"/>
            </w:tcBorders>
          </w:tcPr>
          <w:p>
            <w:pPr>
              <w:pStyle w:val="nTable"/>
              <w:spacing w:after="40"/>
              <w:ind w:right="113"/>
              <w:rPr>
                <w:i/>
                <w:snapToGrid w:val="0"/>
              </w:rPr>
            </w:pPr>
            <w:r>
              <w:rPr>
                <w:i/>
              </w:rPr>
              <w:t>Licensing Provisions Amendment Act 2016</w:t>
            </w:r>
            <w:r>
              <w:t xml:space="preserve"> Pt. 3</w:t>
            </w:r>
            <w:r>
              <w:rPr>
                <w:vertAlign w:val="superscript"/>
              </w:rPr>
              <w:t> 7</w:t>
            </w:r>
          </w:p>
        </w:tc>
        <w:tc>
          <w:tcPr>
            <w:tcW w:w="1134" w:type="dxa"/>
            <w:tcBorders>
              <w:bottom w:val="single" w:sz="4" w:space="0" w:color="auto"/>
            </w:tcBorders>
          </w:tcPr>
          <w:p>
            <w:pPr>
              <w:pStyle w:val="nTable"/>
              <w:keepNext/>
              <w:spacing w:after="40"/>
            </w:pPr>
            <w:r>
              <w:t>44 of 2016</w:t>
            </w:r>
          </w:p>
        </w:tc>
        <w:tc>
          <w:tcPr>
            <w:tcW w:w="1134" w:type="dxa"/>
            <w:tcBorders>
              <w:bottom w:val="single" w:sz="4" w:space="0" w:color="auto"/>
            </w:tcBorders>
          </w:tcPr>
          <w:p>
            <w:pPr>
              <w:pStyle w:val="nTable"/>
              <w:keepNext/>
              <w:spacing w:after="40"/>
            </w:pPr>
            <w:r>
              <w:t>1 Dec 2016</w:t>
            </w:r>
          </w:p>
        </w:tc>
        <w:tc>
          <w:tcPr>
            <w:tcW w:w="2552" w:type="dxa"/>
            <w:tcBorders>
              <w:bottom w:val="single" w:sz="4" w:space="0" w:color="auto"/>
            </w:tcBorders>
          </w:tcPr>
          <w:p>
            <w:pPr>
              <w:pStyle w:val="nTable"/>
              <w:keepNext/>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r>
        <w:rPr>
          <w:iCs/>
          <w:vertAlign w:val="superscript"/>
        </w:rPr>
        <w:t>4</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r>
        <w:rPr>
          <w:b/>
          <w:i/>
        </w:rPr>
        <w:t>prescribed period</w:t>
      </w:r>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6</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rPr>
          <w:snapToGrid w:val="0"/>
        </w:rPr>
      </w:pPr>
      <w:r>
        <w:rPr>
          <w:snapToGrid w:val="0"/>
          <w:vertAlign w:val="superscript"/>
        </w:rPr>
        <w:t>6</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keepNext/>
        <w:keepLines/>
      </w:pPr>
      <w:r>
        <w:rPr>
          <w:snapToGrid w:val="0"/>
          <w:vertAlign w:val="superscript"/>
        </w:rPr>
        <w:t>7</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3 </w:t>
      </w:r>
      <w:r>
        <w:rPr>
          <w:snapToGrid w:val="0"/>
        </w:rPr>
        <w:t>had not come into operation. It reads as follows:</w:t>
      </w:r>
    </w:p>
    <w:p>
      <w:pPr>
        <w:pStyle w:val="BlankOpen"/>
      </w:pPr>
    </w:p>
    <w:p>
      <w:pPr>
        <w:pStyle w:val="nzHeading2"/>
        <w:rPr>
          <w:rStyle w:val="CharPartText"/>
        </w:rPr>
      </w:pPr>
      <w:r>
        <w:rPr>
          <w:rStyle w:val="CharPartNo"/>
        </w:rPr>
        <w:t>Part 3</w:t>
      </w:r>
      <w:r>
        <w:rPr>
          <w:rStyle w:val="CharDivNo"/>
        </w:rPr>
        <w:t> </w:t>
      </w:r>
      <w:r>
        <w:t>—</w:t>
      </w:r>
      <w:r>
        <w:rPr>
          <w:rStyle w:val="CharDivText"/>
        </w:rPr>
        <w:t> </w:t>
      </w:r>
      <w:r>
        <w:rPr>
          <w:rStyle w:val="CharPartText"/>
          <w:i/>
        </w:rPr>
        <w:t>Debt Collectors Licensing Act 1964</w:t>
      </w:r>
      <w:r>
        <w:rPr>
          <w:rStyle w:val="CharPartText"/>
        </w:rPr>
        <w:t xml:space="preserve"> amended</w:t>
      </w:r>
    </w:p>
    <w:p>
      <w:pPr>
        <w:pStyle w:val="nzHeading5"/>
        <w:rPr>
          <w:snapToGrid w:val="0"/>
        </w:rPr>
      </w:pPr>
      <w:r>
        <w:rPr>
          <w:rStyle w:val="CharSectno"/>
        </w:rPr>
        <w:t>10</w:t>
      </w:r>
      <w:r>
        <w:rPr>
          <w:snapToGrid w:val="0"/>
        </w:rPr>
        <w:t>.</w:t>
      </w:r>
      <w:r>
        <w:rPr>
          <w:snapToGrid w:val="0"/>
        </w:rPr>
        <w:tab/>
        <w:t>Act amended</w:t>
      </w:r>
    </w:p>
    <w:p>
      <w:pPr>
        <w:pStyle w:val="nzSubsection"/>
      </w:pPr>
      <w:r>
        <w:tab/>
      </w:r>
      <w:r>
        <w:tab/>
        <w:t>This Part amends the</w:t>
      </w:r>
      <w:r>
        <w:rPr>
          <w:i/>
        </w:rPr>
        <w:t xml:space="preserve"> Debt Collectors Licensing Act 1964</w:t>
      </w:r>
      <w:r>
        <w:t>.</w:t>
      </w:r>
    </w:p>
    <w:p>
      <w:pPr>
        <w:pStyle w:val="nzHeading5"/>
      </w:pPr>
      <w:r>
        <w:rPr>
          <w:rStyle w:val="CharSectno"/>
        </w:rPr>
        <w:t>11</w:t>
      </w:r>
      <w:r>
        <w:t>.</w:t>
      </w:r>
      <w:r>
        <w:tab/>
        <w:t>Section 7 amended</w:t>
      </w:r>
    </w:p>
    <w:p>
      <w:pPr>
        <w:pStyle w:val="nzSubsection"/>
      </w:pPr>
      <w:r>
        <w:tab/>
        <w:t>(1)</w:t>
      </w:r>
      <w:r>
        <w:tab/>
        <w:t>In section 7(1) delete “prescribed.” and insert:</w:t>
      </w:r>
    </w:p>
    <w:p>
      <w:pPr>
        <w:pStyle w:val="BlankOpen"/>
      </w:pPr>
    </w:p>
    <w:p>
      <w:pPr>
        <w:pStyle w:val="nzSubsection"/>
      </w:pPr>
      <w:r>
        <w:tab/>
      </w:r>
      <w:r>
        <w:tab/>
        <w:t>approved in writing by the Commissioner.</w:t>
      </w:r>
    </w:p>
    <w:p>
      <w:pPr>
        <w:pStyle w:val="BlankClose"/>
      </w:pPr>
    </w:p>
    <w:p>
      <w:pPr>
        <w:pStyle w:val="nzSubsection"/>
      </w:pPr>
      <w:r>
        <w:tab/>
        <w:t>(2)</w:t>
      </w:r>
      <w:r>
        <w:tab/>
        <w:t>Delete section 7(4) and (5).</w:t>
      </w:r>
    </w:p>
    <w:p>
      <w:pPr>
        <w:pStyle w:val="nzHeading5"/>
      </w:pPr>
      <w:r>
        <w:rPr>
          <w:rStyle w:val="CharSectno"/>
        </w:rPr>
        <w:t>12</w:t>
      </w:r>
      <w:r>
        <w:t>.</w:t>
      </w:r>
      <w:r>
        <w:tab/>
        <w:t>Section 8 amended</w:t>
      </w:r>
    </w:p>
    <w:p>
      <w:pPr>
        <w:pStyle w:val="nzSubsection"/>
        <w:keepNext/>
      </w:pPr>
      <w:r>
        <w:tab/>
      </w:r>
      <w:r>
        <w:tab/>
        <w:t>In section 8(1) delete “prescribed.” and insert:</w:t>
      </w:r>
    </w:p>
    <w:p>
      <w:pPr>
        <w:pStyle w:val="BlankOpen"/>
      </w:pPr>
    </w:p>
    <w:p>
      <w:pPr>
        <w:pStyle w:val="nzSubsection"/>
        <w:keepNext/>
      </w:pPr>
      <w:r>
        <w:tab/>
      </w:r>
      <w:r>
        <w:tab/>
        <w:t>approved in writing by the Commissioner.</w:t>
      </w:r>
    </w:p>
    <w:p>
      <w:pPr>
        <w:pStyle w:val="BlankClose"/>
      </w:pPr>
    </w:p>
    <w:p>
      <w:pPr>
        <w:pStyle w:val="nzHeading5"/>
      </w:pPr>
      <w:r>
        <w:rPr>
          <w:rStyle w:val="CharSectno"/>
        </w:rPr>
        <w:t>13</w:t>
      </w:r>
      <w:r>
        <w:t>.</w:t>
      </w:r>
      <w:r>
        <w:tab/>
        <w:t>Section 10A inserted</w:t>
      </w:r>
    </w:p>
    <w:p>
      <w:pPr>
        <w:pStyle w:val="nzSubsection"/>
      </w:pPr>
      <w:r>
        <w:tab/>
      </w:r>
      <w:r>
        <w:tab/>
        <w:t>After section 9 insert:</w:t>
      </w:r>
    </w:p>
    <w:p>
      <w:pPr>
        <w:pStyle w:val="BlankOpen"/>
      </w:pPr>
    </w:p>
    <w:p>
      <w:pPr>
        <w:pStyle w:val="nzHeading5"/>
      </w:pPr>
      <w:r>
        <w:t>10A.</w:t>
      </w:r>
      <w:r>
        <w:tab/>
        <w:t>Duration of licences</w:t>
      </w:r>
    </w:p>
    <w:p>
      <w:pPr>
        <w:pStyle w:val="nzSubsection"/>
      </w:pPr>
      <w:r>
        <w:tab/>
        <w:t>(1)</w:t>
      </w:r>
      <w:r>
        <w:tab/>
        <w:t>A licence is to be issued or renewed for a period prescribed.</w:t>
      </w:r>
    </w:p>
    <w:p>
      <w:pPr>
        <w:pStyle w:val="nzSubsection"/>
      </w:pPr>
      <w:r>
        <w:tab/>
        <w:t>(2)</w:t>
      </w:r>
      <w:r>
        <w:tab/>
        <w:t>A period prescribed for the purposes of subsection (1) cannot be less than 12 months.</w:t>
      </w:r>
    </w:p>
    <w:p>
      <w:pPr>
        <w:pStyle w:val="nzSubsection"/>
      </w:pPr>
      <w:r>
        <w:tab/>
        <w:t>(3)</w:t>
      </w:r>
      <w:r>
        <w:tab/>
        <w:t>Different periods may be prescribed for the purposes of subsection (1) in relation to the renewal of licences of different prescribed descriptions.</w:t>
      </w:r>
    </w:p>
    <w:p>
      <w:pPr>
        <w:pStyle w:val="nzSubsection"/>
      </w:pPr>
      <w:r>
        <w:tab/>
        <w:t>(4)</w:t>
      </w:r>
      <w:r>
        <w:tab/>
        <w:t>A licence may be renewed even if an application for its renewal has not been made under section 8 before the licence expired if —</w:t>
      </w:r>
    </w:p>
    <w:p>
      <w:pPr>
        <w:pStyle w:val="nzIndenta"/>
      </w:pPr>
      <w:r>
        <w:tab/>
        <w:t>(a)</w:t>
      </w:r>
      <w:r>
        <w:tab/>
        <w:t>such an application is made within 28 days after the licence has expired; and</w:t>
      </w:r>
    </w:p>
    <w:p>
      <w:pPr>
        <w:pStyle w:val="nzIndenta"/>
      </w:pPr>
      <w:r>
        <w:tab/>
        <w:t>(b)</w:t>
      </w:r>
      <w:r>
        <w:tab/>
        <w:t>any amount prescribed by way of penalty for a late application is paid.</w:t>
      </w:r>
    </w:p>
    <w:p>
      <w:pPr>
        <w:pStyle w:val="nzSubsection"/>
      </w:pPr>
      <w:r>
        <w:tab/>
        <w:t>(5)</w:t>
      </w:r>
      <w:r>
        <w:tab/>
        <w:t>A licence renewed as described in subsection (4) is to be taken for all purposes to have taken effect on the day immediately succeeding the day on which the previous licence expired.</w:t>
      </w:r>
    </w:p>
    <w:p>
      <w:pPr>
        <w:pStyle w:val="BlankClose"/>
      </w:pPr>
    </w:p>
    <w:p>
      <w:pPr>
        <w:pStyle w:val="nzHeading5"/>
      </w:pPr>
      <w:r>
        <w:rPr>
          <w:rStyle w:val="CharSectno"/>
        </w:rPr>
        <w:t>14</w:t>
      </w:r>
      <w:r>
        <w:t>.</w:t>
      </w:r>
      <w:r>
        <w:tab/>
        <w:t>Section 26 amended</w:t>
      </w:r>
    </w:p>
    <w:p>
      <w:pPr>
        <w:pStyle w:val="nzSubsection"/>
      </w:pPr>
      <w:r>
        <w:tab/>
        <w:t>(1)</w:t>
      </w:r>
      <w:r>
        <w:tab/>
        <w:t>In section 26:</w:t>
      </w:r>
    </w:p>
    <w:p>
      <w:pPr>
        <w:pStyle w:val="nzIndenta"/>
      </w:pPr>
      <w:r>
        <w:tab/>
        <w:t>(a)</w:t>
      </w:r>
      <w:r>
        <w:tab/>
        <w:t>delete “The” and insert:</w:t>
      </w:r>
    </w:p>
    <w:p>
      <w:pPr>
        <w:pStyle w:val="BlankOpen"/>
      </w:pPr>
    </w:p>
    <w:p>
      <w:pPr>
        <w:pStyle w:val="nzSubsection"/>
      </w:pPr>
      <w:r>
        <w:tab/>
        <w:t>(1)</w:t>
      </w:r>
      <w:r>
        <w:tab/>
        <w:t>The</w:t>
      </w:r>
    </w:p>
    <w:p>
      <w:pPr>
        <w:pStyle w:val="BlankClose"/>
      </w:pPr>
    </w:p>
    <w:p>
      <w:pPr>
        <w:pStyle w:val="nzIndenta"/>
      </w:pPr>
      <w:r>
        <w:tab/>
        <w:t>(b)</w:t>
      </w:r>
      <w:r>
        <w:tab/>
        <w:t>after paragraph (c) insert:</w:t>
      </w:r>
    </w:p>
    <w:p>
      <w:pPr>
        <w:pStyle w:val="BlankOpen"/>
      </w:pPr>
    </w:p>
    <w:p>
      <w:pPr>
        <w:pStyle w:val="nzIndenta"/>
      </w:pPr>
      <w:r>
        <w:tab/>
        <w:t>(da)</w:t>
      </w:r>
      <w:r>
        <w:tab/>
        <w:t>maintaining the accuracy of the register, including the provision of information to the Commissioner to assist in maintaining the accuracy of the register; and</w:t>
      </w:r>
    </w:p>
    <w:p>
      <w:pPr>
        <w:pStyle w:val="BlankClose"/>
      </w:pPr>
    </w:p>
    <w:p>
      <w:pPr>
        <w:pStyle w:val="nzSubsection"/>
        <w:keepNext/>
      </w:pPr>
      <w:r>
        <w:tab/>
        <w:t>(2)</w:t>
      </w:r>
      <w:r>
        <w:tab/>
        <w:t>At the end of section 26 insert:</w:t>
      </w:r>
    </w:p>
    <w:p>
      <w:pPr>
        <w:pStyle w:val="BlankOpen"/>
      </w:pPr>
    </w:p>
    <w:p>
      <w:pPr>
        <w:pStyle w:val="nzSubsection"/>
        <w:keepNext/>
      </w:pPr>
      <w:r>
        <w:tab/>
        <w:t>(2)</w:t>
      </w:r>
      <w:r>
        <w:tab/>
        <w:t xml:space="preserve">The </w:t>
      </w:r>
      <w:r>
        <w:rPr>
          <w:i/>
        </w:rPr>
        <w:t>Interpretation Act 1984</w:t>
      </w:r>
      <w:r>
        <w:t xml:space="preserve"> section 45(1) and (2) applies in respect of fees prescribed under this Act despite sections 3(3) and 45(3) of that Act.</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34" w:name="_Toc473124403"/>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922"/>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7490</Words>
  <Characters>34454</Characters>
  <Application>Microsoft Office Word</Application>
  <DocSecurity>0</DocSecurity>
  <Lines>1013</Lines>
  <Paragraphs>537</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1964 - 04-b0-01</dc:title>
  <dc:subject/>
  <dc:creator/>
  <cp:keywords/>
  <dc:description/>
  <cp:lastModifiedBy>svcMRProcess</cp:lastModifiedBy>
  <cp:revision>4</cp:revision>
  <cp:lastPrinted>2011-10-04T01:08:00Z</cp:lastPrinted>
  <dcterms:created xsi:type="dcterms:W3CDTF">2017-01-25T08:17:00Z</dcterms:created>
  <dcterms:modified xsi:type="dcterms:W3CDTF">2017-01-25T08:17:00Z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01 Dec 2016</vt:lpwstr>
  </property>
  <property fmtid="{D5CDD505-2E9C-101B-9397-08002B2CF9AE}" pid="8" name="Suffix">
    <vt:lpwstr>04-b0-01</vt:lpwstr>
  </property>
  <property fmtid="{D5CDD505-2E9C-101B-9397-08002B2CF9AE}" pid="9" name="CommencementDate">
    <vt:lpwstr>20161201</vt:lpwstr>
  </property>
</Properties>
</file>