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Residential Tenancies Act 1987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_Toc468698187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_Toc468698188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_Toc468698189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Position of Crown</w:t>
      </w:r>
      <w:r>
        <w:tab/>
      </w:r>
      <w:r>
        <w:fldChar w:fldCharType="begin"/>
      </w:r>
      <w:r>
        <w:instrText xml:space="preserve"> PAGEREF _Toc468698190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of Act</w:t>
      </w:r>
      <w:r>
        <w:tab/>
      </w:r>
      <w:r>
        <w:fldChar w:fldCharType="begin"/>
      </w:r>
      <w:r>
        <w:instrText xml:space="preserve"> PAGEREF _Toc468698191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application of Act by regulation</w:t>
      </w:r>
      <w:r>
        <w:tab/>
      </w:r>
      <w:r>
        <w:fldChar w:fldCharType="begin"/>
      </w:r>
      <w:r>
        <w:instrText xml:space="preserve"> PAGEREF _Toc468698192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r>
      <w:r>
        <w:rPr>
          <w:bCs/>
        </w:rPr>
        <w:t>Transitional provisions relating to commencement of this Act</w:t>
      </w:r>
      <w:r>
        <w:tab/>
      </w:r>
      <w:r>
        <w:fldChar w:fldCharType="begin"/>
      </w:r>
      <w:r>
        <w:instrText xml:space="preserve"> PAGEREF _Toc468698193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7A.</w:t>
      </w:r>
      <w:r>
        <w:tab/>
        <w:t>Commissioner</w:t>
      </w:r>
      <w:r>
        <w:tab/>
      </w:r>
      <w:r>
        <w:fldChar w:fldCharType="begin"/>
      </w:r>
      <w:r>
        <w:instrText xml:space="preserve"> PAGEREF _Toc468698195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Commissioner</w:t>
      </w:r>
      <w:r>
        <w:tab/>
      </w:r>
      <w:r>
        <w:fldChar w:fldCharType="begin"/>
      </w:r>
      <w:r>
        <w:instrText xml:space="preserve"> PAGEREF _Toc468698196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institute or defend proceedings for party</w:t>
      </w:r>
      <w:r>
        <w:tab/>
      </w:r>
      <w:r>
        <w:fldChar w:fldCharType="begin"/>
      </w:r>
      <w:r>
        <w:instrText xml:space="preserve"> PAGEREF _Toc468698197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 by Commissioner</w:t>
      </w:r>
      <w:r>
        <w:tab/>
      </w:r>
      <w:r>
        <w:fldChar w:fldCharType="begin"/>
      </w:r>
      <w:r>
        <w:instrText xml:space="preserve"> PAGEREF _Toc468698198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Protection of officers</w:t>
      </w:r>
      <w:r>
        <w:tab/>
      </w:r>
      <w:r>
        <w:fldChar w:fldCharType="begin"/>
      </w:r>
      <w:r>
        <w:instrText xml:space="preserve"> PAGEREF _Toc468698199 \h </w:instrText>
      </w:r>
      <w:r>
        <w:fldChar w:fldCharType="separate"/>
      </w:r>
      <w:r>
        <w:t>14</w:t>
      </w:r>
      <w:r>
        <w:fldChar w:fldCharType="end"/>
      </w:r>
    </w:p>
    <w:p>
      <w:pPr>
        <w:pStyle w:val="TOC8"/>
        <w:rPr>
          <w:rFonts w:asciiTheme="minorHAnsi" w:eastAsiaTheme="minorEastAsia" w:hAnsiTheme="minorHAnsi" w:cstheme="minorBidi"/>
          <w:szCs w:val="22"/>
        </w:rPr>
      </w:pPr>
      <w:r>
        <w:t>11A.</w:t>
      </w:r>
      <w:r>
        <w:tab/>
        <w:t>Information officially obtained to be confidential</w:t>
      </w:r>
      <w:r>
        <w:tab/>
      </w:r>
      <w:r>
        <w:fldChar w:fldCharType="begin"/>
      </w:r>
      <w:r>
        <w:instrText xml:space="preserve"> PAGEREF _Toc468698200 \h </w:instrText>
      </w:r>
      <w:r>
        <w:fldChar w:fldCharType="separate"/>
      </w:r>
      <w:r>
        <w:t>15</w:t>
      </w:r>
      <w:r>
        <w:fldChar w:fldCharType="end"/>
      </w:r>
    </w:p>
    <w:p>
      <w:pPr>
        <w:pStyle w:val="TOC8"/>
        <w:rPr>
          <w:rFonts w:asciiTheme="minorHAnsi" w:eastAsiaTheme="minorEastAsia" w:hAnsiTheme="minorHAnsi" w:cstheme="minorBidi"/>
          <w:szCs w:val="22"/>
        </w:rPr>
      </w:pPr>
      <w:r>
        <w:t>11B.</w:t>
      </w:r>
      <w:r>
        <w:tab/>
        <w:t>Powers of investigation</w:t>
      </w:r>
      <w:r>
        <w:tab/>
      </w:r>
      <w:r>
        <w:fldChar w:fldCharType="begin"/>
      </w:r>
      <w:r>
        <w:instrText xml:space="preserve"> PAGEREF _Toc468698201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Determination of disputes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_Toc468698203 \h </w:instrText>
      </w:r>
      <w:r>
        <w:fldChar w:fldCharType="separate"/>
      </w:r>
      <w:r>
        <w:t>16</w:t>
      </w:r>
      <w:r>
        <w:fldChar w:fldCharType="end"/>
      </w:r>
    </w:p>
    <w:p>
      <w:pPr>
        <w:pStyle w:val="TOC8"/>
        <w:rPr>
          <w:rFonts w:asciiTheme="minorHAnsi" w:eastAsiaTheme="minorEastAsia" w:hAnsiTheme="minorHAnsi" w:cstheme="minorBidi"/>
          <w:szCs w:val="22"/>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_Toc468698204 \h </w:instrText>
      </w:r>
      <w:r>
        <w:fldChar w:fldCharType="separate"/>
      </w:r>
      <w:r>
        <w:t>16</w:t>
      </w:r>
      <w:r>
        <w:fldChar w:fldCharType="end"/>
      </w:r>
    </w:p>
    <w:p>
      <w:pPr>
        <w:pStyle w:val="TOC8"/>
        <w:rPr>
          <w:rFonts w:asciiTheme="minorHAnsi" w:eastAsiaTheme="minorEastAsia" w:hAnsiTheme="minorHAnsi" w:cstheme="minorBidi"/>
          <w:szCs w:val="22"/>
        </w:rPr>
      </w:pPr>
      <w:r>
        <w:t>13.</w:t>
      </w:r>
      <w:r>
        <w:tab/>
        <w:t>Jurisdiction over other disputes</w:t>
      </w:r>
      <w:r>
        <w:tab/>
      </w:r>
      <w:r>
        <w:fldChar w:fldCharType="begin"/>
      </w:r>
      <w:r>
        <w:instrText xml:space="preserve"> PAGEREF _Toc468698205 \h </w:instrText>
      </w:r>
      <w:r>
        <w:fldChar w:fldCharType="separate"/>
      </w:r>
      <w:r>
        <w:t>16</w:t>
      </w:r>
      <w:r>
        <w:fldChar w:fldCharType="end"/>
      </w:r>
    </w:p>
    <w:p>
      <w:pPr>
        <w:pStyle w:val="TOC8"/>
        <w:rPr>
          <w:rFonts w:asciiTheme="minorHAnsi" w:eastAsiaTheme="minorEastAsia" w:hAnsiTheme="minorHAnsi" w:cstheme="minorBidi"/>
          <w:szCs w:val="22"/>
        </w:rPr>
      </w:pPr>
      <w:r>
        <w:t>13A.</w:t>
      </w:r>
      <w:r>
        <w:tab/>
      </w:r>
      <w:r>
        <w:rPr>
          <w:snapToGrid w:val="0"/>
        </w:rPr>
        <w:t>Magistrates</w:t>
      </w:r>
      <w:r>
        <w:t xml:space="preserve"> Court’s jurisdiction</w:t>
      </w:r>
      <w:r>
        <w:tab/>
      </w:r>
      <w:r>
        <w:fldChar w:fldCharType="begin"/>
      </w:r>
      <w:r>
        <w:instrText xml:space="preserve"> PAGEREF _Toc468698206 \h </w:instrText>
      </w:r>
      <w:r>
        <w:fldChar w:fldCharType="separate"/>
      </w:r>
      <w:r>
        <w:t>17</w:t>
      </w:r>
      <w:r>
        <w:fldChar w:fldCharType="end"/>
      </w:r>
    </w:p>
    <w:p>
      <w:pPr>
        <w:pStyle w:val="TOC8"/>
        <w:rPr>
          <w:rFonts w:asciiTheme="minorHAnsi" w:eastAsiaTheme="minorEastAsia" w:hAnsiTheme="minorHAnsi" w:cstheme="minorBidi"/>
          <w:szCs w:val="22"/>
        </w:rPr>
      </w:pPr>
      <w:r>
        <w:t>13B.</w:t>
      </w:r>
      <w:r>
        <w:tab/>
        <w:t>Appeals from decisions of registrar</w:t>
      </w:r>
      <w:r>
        <w:tab/>
      </w:r>
      <w:r>
        <w:fldChar w:fldCharType="begin"/>
      </w:r>
      <w:r>
        <w:instrText xml:space="preserve"> PAGEREF _Toc468698207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Time for determination of proceedings</w:t>
      </w:r>
      <w:r>
        <w:tab/>
      </w:r>
      <w:r>
        <w:fldChar w:fldCharType="begin"/>
      </w:r>
      <w:r>
        <w:instrText xml:space="preserve"> PAGEREF _Toc468698208 \h </w:instrText>
      </w:r>
      <w:r>
        <w:fldChar w:fldCharType="separate"/>
      </w:r>
      <w:r>
        <w:t>18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Applications for relief and orders that may be made</w:t>
      </w:r>
      <w:r>
        <w:tab/>
      </w:r>
      <w:r>
        <w:fldChar w:fldCharType="begin"/>
      </w:r>
      <w:r>
        <w:instrText xml:space="preserve"> PAGEREF _Toc468698209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Enforcement</w:t>
      </w:r>
      <w:r>
        <w:tab/>
      </w:r>
      <w:r>
        <w:fldChar w:fldCharType="begin"/>
      </w:r>
      <w:r>
        <w:instrText xml:space="preserve"> PAGEREF _Toc468698210 \h </w:instrText>
      </w:r>
      <w:r>
        <w:fldChar w:fldCharType="separate"/>
      </w:r>
      <w:r>
        <w:t>20</w:t>
      </w:r>
      <w:r>
        <w:fldChar w:fldCharType="end"/>
      </w:r>
    </w:p>
    <w:p>
      <w:pPr>
        <w:pStyle w:val="TOC8"/>
        <w:rPr>
          <w:rFonts w:asciiTheme="minorHAnsi" w:eastAsiaTheme="minorEastAsia" w:hAnsiTheme="minorHAnsi" w:cstheme="minorBidi"/>
          <w:szCs w:val="22"/>
        </w:rPr>
      </w:pPr>
      <w:r>
        <w:t>17A.</w:t>
      </w:r>
      <w:r>
        <w:tab/>
        <w:t>Disputes between tenants</w:t>
      </w:r>
      <w:r>
        <w:tab/>
      </w:r>
      <w:r>
        <w:fldChar w:fldCharType="begin"/>
      </w:r>
      <w:r>
        <w:instrText xml:space="preserve"> PAGEREF _Toc468698211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to vary or set aside order</w:t>
      </w:r>
      <w:r>
        <w:tab/>
      </w:r>
      <w:r>
        <w:fldChar w:fldCharType="begin"/>
      </w:r>
      <w:r>
        <w:instrText xml:space="preserve"> PAGEREF _Toc468698212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Form of applications and notice of hearing</w:t>
      </w:r>
      <w:r>
        <w:tab/>
      </w:r>
      <w:r>
        <w:fldChar w:fldCharType="begin"/>
      </w:r>
      <w:r>
        <w:instrText xml:space="preserve"> PAGEREF _Toc468698213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Witnesses and inspection of documents</w:t>
      </w:r>
      <w:r>
        <w:tab/>
      </w:r>
      <w:r>
        <w:fldChar w:fldCharType="begin"/>
      </w:r>
      <w:r>
        <w:instrText xml:space="preserve"> PAGEREF _Toc468698214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General powers in proceedings</w:t>
      </w:r>
      <w:r>
        <w:tab/>
      </w:r>
      <w:r>
        <w:fldChar w:fldCharType="begin"/>
      </w:r>
      <w:r>
        <w:instrText xml:space="preserve"> PAGEREF _Toc468698215 \h </w:instrText>
      </w:r>
      <w:r>
        <w:fldChar w:fldCharType="separate"/>
      </w:r>
      <w:r>
        <w:t>23</w:t>
      </w:r>
      <w:r>
        <w:fldChar w:fldCharType="end"/>
      </w:r>
    </w:p>
    <w:p>
      <w:pPr>
        <w:pStyle w:val="TOC8"/>
        <w:rPr>
          <w:rFonts w:asciiTheme="minorHAnsi" w:eastAsiaTheme="minorEastAsia" w:hAnsiTheme="minorHAnsi" w:cstheme="minorBidi"/>
          <w:szCs w:val="22"/>
        </w:rPr>
      </w:pPr>
      <w:r>
        <w:t>21.</w:t>
      </w:r>
      <w:r>
        <w:tab/>
        <w:t>Evidence</w:t>
      </w:r>
      <w:r>
        <w:tab/>
      </w:r>
      <w:r>
        <w:fldChar w:fldCharType="begin"/>
      </w:r>
      <w:r>
        <w:instrText xml:space="preserve"> PAGEREF _Toc468698216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Presentation of cases</w:t>
      </w:r>
      <w:r>
        <w:tab/>
      </w:r>
      <w:r>
        <w:fldChar w:fldCharType="begin"/>
      </w:r>
      <w:r>
        <w:instrText xml:space="preserve"> PAGEREF _Toc468698217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Settlement by conciliation</w:t>
      </w:r>
      <w:r>
        <w:tab/>
      </w:r>
      <w:r>
        <w:fldChar w:fldCharType="begin"/>
      </w:r>
      <w:r>
        <w:instrText xml:space="preserve"> PAGEREF _Toc468698218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_Toc468698219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Reservation of question of law</w:t>
      </w:r>
      <w:r>
        <w:tab/>
      </w:r>
      <w:r>
        <w:fldChar w:fldCharType="begin"/>
      </w:r>
      <w:r>
        <w:instrText xml:space="preserve"> PAGEREF _Toc468698220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Finality of proceedings</w:t>
      </w:r>
      <w:r>
        <w:tab/>
      </w:r>
      <w:r>
        <w:fldChar w:fldCharType="begin"/>
      </w:r>
      <w:r>
        <w:instrText xml:space="preserve"> PAGEREF _Toc468698221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Residential tenancy agreements</w:t>
      </w:r>
    </w:p>
    <w:p>
      <w:pPr>
        <w:pStyle w:val="TOC4"/>
        <w:tabs>
          <w:tab w:val="right" w:leader="dot" w:pos="7077"/>
        </w:tabs>
        <w:rPr>
          <w:rFonts w:asciiTheme="minorHAnsi" w:eastAsiaTheme="minorEastAsia" w:hAnsiTheme="minorHAnsi" w:cstheme="minorBidi"/>
          <w:b w:val="0"/>
          <w:szCs w:val="22"/>
        </w:rPr>
      </w:pPr>
      <w:r>
        <w:t>Division 1A — Form of residential tenancy agreement and associated documents</w:t>
      </w:r>
    </w:p>
    <w:p>
      <w:pPr>
        <w:pStyle w:val="TOC8"/>
        <w:rPr>
          <w:rFonts w:asciiTheme="minorHAnsi" w:eastAsiaTheme="minorEastAsia" w:hAnsiTheme="minorHAnsi" w:cstheme="minorBidi"/>
          <w:szCs w:val="22"/>
        </w:rPr>
      </w:pPr>
      <w:r>
        <w:t>27A.</w:t>
      </w:r>
      <w:r>
        <w:tab/>
        <w:t>Written residential tenancy agreement to be in prescribed form</w:t>
      </w:r>
      <w:r>
        <w:tab/>
      </w:r>
      <w:r>
        <w:fldChar w:fldCharType="begin"/>
      </w:r>
      <w:r>
        <w:instrText xml:space="preserve"> PAGEREF _Toc468698224 \h </w:instrText>
      </w:r>
      <w:r>
        <w:fldChar w:fldCharType="separate"/>
      </w:r>
      <w:r>
        <w:t>29</w:t>
      </w:r>
      <w:r>
        <w:fldChar w:fldCharType="end"/>
      </w:r>
    </w:p>
    <w:p>
      <w:pPr>
        <w:pStyle w:val="TOC8"/>
        <w:rPr>
          <w:rFonts w:asciiTheme="minorHAnsi" w:eastAsiaTheme="minorEastAsia" w:hAnsiTheme="minorHAnsi" w:cstheme="minorBidi"/>
          <w:szCs w:val="22"/>
        </w:rPr>
      </w:pPr>
      <w:r>
        <w:t>27B.</w:t>
      </w:r>
      <w:r>
        <w:tab/>
        <w:t>Information to be given to tenant by lessor</w:t>
      </w:r>
      <w:r>
        <w:tab/>
      </w:r>
      <w:r>
        <w:fldChar w:fldCharType="begin"/>
      </w:r>
      <w:r>
        <w:instrText xml:space="preserve"> PAGEREF _Toc468698225 \h </w:instrText>
      </w:r>
      <w:r>
        <w:fldChar w:fldCharType="separate"/>
      </w:r>
      <w:r>
        <w:t>29</w:t>
      </w:r>
      <w:r>
        <w:fldChar w:fldCharType="end"/>
      </w:r>
    </w:p>
    <w:p>
      <w:pPr>
        <w:pStyle w:val="TOC8"/>
        <w:rPr>
          <w:rFonts w:asciiTheme="minorHAnsi" w:eastAsiaTheme="minorEastAsia" w:hAnsiTheme="minorHAnsi" w:cstheme="minorBidi"/>
          <w:szCs w:val="22"/>
        </w:rPr>
      </w:pPr>
      <w:r>
        <w:t>27C.</w:t>
      </w:r>
      <w:r>
        <w:tab/>
      </w:r>
      <w:r>
        <w:rPr>
          <w:snapToGrid w:val="0"/>
        </w:rPr>
        <w:t>Property condition report at start and end of tenancy</w:t>
      </w:r>
      <w:r>
        <w:tab/>
      </w:r>
      <w:r>
        <w:fldChar w:fldCharType="begin"/>
      </w:r>
      <w:r>
        <w:instrText xml:space="preserve"> PAGEREF _Toc468698226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Rent and security bonds</w:t>
      </w:r>
    </w:p>
    <w:p>
      <w:pPr>
        <w:pStyle w:val="TOC8"/>
        <w:rPr>
          <w:rFonts w:asciiTheme="minorHAnsi" w:eastAsiaTheme="minorEastAsia" w:hAnsiTheme="minorHAnsi" w:cstheme="minorBidi"/>
          <w:szCs w:val="22"/>
        </w:rPr>
      </w:pPr>
      <w:r>
        <w:t>27</w:t>
      </w:r>
      <w:r>
        <w:rPr>
          <w:snapToGrid w:val="0"/>
        </w:rPr>
        <w:t>.</w:t>
      </w:r>
      <w:r>
        <w:rPr>
          <w:snapToGrid w:val="0"/>
        </w:rPr>
        <w:tab/>
        <w:t>Restriction on consideration for tenancy agreement</w:t>
      </w:r>
      <w:r>
        <w:tab/>
      </w:r>
      <w:r>
        <w:fldChar w:fldCharType="begin"/>
      </w:r>
      <w:r>
        <w:instrText xml:space="preserve"> PAGEREF _Toc468698228 \h </w:instrText>
      </w:r>
      <w:r>
        <w:fldChar w:fldCharType="separate"/>
      </w:r>
      <w:r>
        <w:t>30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Rent in advance</w:t>
      </w:r>
      <w:r>
        <w:tab/>
      </w:r>
      <w:r>
        <w:fldChar w:fldCharType="begin"/>
      </w:r>
      <w:r>
        <w:instrText xml:space="preserve"> PAGEREF _Toc468698229 \h </w:instrText>
      </w:r>
      <w:r>
        <w:fldChar w:fldCharType="separate"/>
      </w:r>
      <w:r>
        <w:t>31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Security bonds</w:t>
      </w:r>
      <w:r>
        <w:tab/>
      </w:r>
      <w:r>
        <w:fldChar w:fldCharType="begin"/>
      </w:r>
      <w:r>
        <w:instrText xml:space="preserve"> PAGEREF _Toc468698230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Variation of rent (except where calculated by reference to tenant’s income)</w:t>
      </w:r>
      <w:r>
        <w:tab/>
      </w:r>
      <w:r>
        <w:fldChar w:fldCharType="begin"/>
      </w:r>
      <w:r>
        <w:instrText xml:space="preserve"> PAGEREF _Toc468698231 \h </w:instrText>
      </w:r>
      <w:r>
        <w:fldChar w:fldCharType="separate"/>
      </w:r>
      <w:r>
        <w:t>34</w:t>
      </w:r>
      <w:r>
        <w:fldChar w:fldCharType="end"/>
      </w:r>
    </w:p>
    <w:p>
      <w:pPr>
        <w:pStyle w:val="TOC8"/>
        <w:rPr>
          <w:rFonts w:asciiTheme="minorHAnsi" w:eastAsiaTheme="minorEastAsia" w:hAnsiTheme="minorHAnsi" w:cstheme="minorBidi"/>
          <w:szCs w:val="22"/>
        </w:rPr>
      </w:pPr>
      <w:r>
        <w:t>31A.</w:t>
      </w:r>
      <w:r>
        <w:tab/>
        <w:t>Variation of rent where calculated by reference to tenant’s income</w:t>
      </w:r>
      <w:r>
        <w:tab/>
      </w:r>
      <w:r>
        <w:fldChar w:fldCharType="begin"/>
      </w:r>
      <w:r>
        <w:instrText xml:space="preserve"> PAGEREF _Toc468698232 \h </w:instrText>
      </w:r>
      <w:r>
        <w:fldChar w:fldCharType="separate"/>
      </w:r>
      <w:r>
        <w:t>35</w:t>
      </w:r>
      <w:r>
        <w:fldChar w:fldCharType="end"/>
      </w:r>
    </w:p>
    <w:p>
      <w:pPr>
        <w:pStyle w:val="TOC8"/>
        <w:rPr>
          <w:rFonts w:asciiTheme="minorHAnsi" w:eastAsiaTheme="minorEastAsia" w:hAnsiTheme="minorHAnsi" w:cstheme="minorBidi"/>
          <w:szCs w:val="22"/>
        </w:rPr>
      </w:pPr>
      <w:r>
        <w:t>31B.</w:t>
      </w:r>
      <w:r>
        <w:tab/>
        <w:t>Increase in rent after renegotiating lease</w:t>
      </w:r>
      <w:r>
        <w:tab/>
      </w:r>
      <w:r>
        <w:fldChar w:fldCharType="begin"/>
      </w:r>
      <w:r>
        <w:instrText xml:space="preserve"> PAGEREF _Toc468698233 \h </w:instrText>
      </w:r>
      <w:r>
        <w:fldChar w:fldCharType="separate"/>
      </w:r>
      <w:r>
        <w:t>35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Increase in security bond</w:t>
      </w:r>
      <w:r>
        <w:tab/>
      </w:r>
      <w:r>
        <w:fldChar w:fldCharType="begin"/>
      </w:r>
      <w:r>
        <w:instrText xml:space="preserve"> PAGEREF _Toc468698234 \h </w:instrText>
      </w:r>
      <w:r>
        <w:fldChar w:fldCharType="separate"/>
      </w:r>
      <w:r>
        <w:t>36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Limitation of excessive rents in certain circumstances</w:t>
      </w:r>
      <w:r>
        <w:tab/>
      </w:r>
      <w:r>
        <w:fldChar w:fldCharType="begin"/>
      </w:r>
      <w:r>
        <w:instrText xml:space="preserve"> PAGEREF _Toc468698235 \h </w:instrText>
      </w:r>
      <w:r>
        <w:fldChar w:fldCharType="separate"/>
      </w:r>
      <w:r>
        <w:t>37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Duty to give receipt for rent</w:t>
      </w:r>
      <w:r>
        <w:tab/>
      </w:r>
      <w:r>
        <w:fldChar w:fldCharType="begin"/>
      </w:r>
      <w:r>
        <w:instrText xml:space="preserve"> PAGEREF _Toc468698236 \h </w:instrText>
      </w:r>
      <w:r>
        <w:fldChar w:fldCharType="separate"/>
      </w:r>
      <w:r>
        <w:t>39</w:t>
      </w:r>
      <w:r>
        <w:fldChar w:fldCharType="end"/>
      </w:r>
    </w:p>
    <w:p>
      <w:pPr>
        <w:pStyle w:val="TOC8"/>
        <w:rPr>
          <w:rFonts w:asciiTheme="minorHAnsi" w:eastAsiaTheme="minorEastAsia" w:hAnsiTheme="minorHAnsi" w:cstheme="minorBidi"/>
          <w:szCs w:val="22"/>
        </w:rPr>
      </w:pPr>
      <w:r>
        <w:t>34A.</w:t>
      </w:r>
      <w:r>
        <w:tab/>
        <w:t>Manner of payment of rent</w:t>
      </w:r>
      <w:r>
        <w:tab/>
      </w:r>
      <w:r>
        <w:fldChar w:fldCharType="begin"/>
      </w:r>
      <w:r>
        <w:instrText xml:space="preserve"> PAGEREF _Toc468698237 \h </w:instrText>
      </w:r>
      <w:r>
        <w:fldChar w:fldCharType="separate"/>
      </w:r>
      <w:r>
        <w:t>39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Proper records of rent to be kept</w:t>
      </w:r>
      <w:r>
        <w:tab/>
      </w:r>
      <w:r>
        <w:fldChar w:fldCharType="begin"/>
      </w:r>
      <w:r>
        <w:instrText xml:space="preserve"> PAGEREF _Toc468698238 \h </w:instrText>
      </w:r>
      <w:r>
        <w:fldChar w:fldCharType="separate"/>
      </w:r>
      <w:r>
        <w:t>39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_Toc468698239 \h </w:instrText>
      </w:r>
      <w:r>
        <w:fldChar w:fldCharType="separate"/>
      </w:r>
      <w:r>
        <w:t>40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Apportionment of rent</w:t>
      </w:r>
      <w:r>
        <w:tab/>
      </w:r>
      <w:r>
        <w:fldChar w:fldCharType="begin"/>
      </w:r>
      <w:r>
        <w:instrText xml:space="preserve"> PAGEREF _Toc468698240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Standard terms</w:t>
      </w:r>
    </w:p>
    <w:p>
      <w:pPr>
        <w:pStyle w:val="TOC8"/>
        <w:rPr>
          <w:rFonts w:asciiTheme="minorHAnsi" w:eastAsiaTheme="minorEastAsia" w:hAnsiTheme="minorHAnsi" w:cstheme="minorBidi"/>
          <w:szCs w:val="22"/>
        </w:rPr>
      </w:pPr>
      <w:r>
        <w:t>38</w:t>
      </w:r>
      <w:r>
        <w:rPr>
          <w:snapToGrid w:val="0"/>
        </w:rPr>
        <w:t>.</w:t>
      </w:r>
      <w:r>
        <w:rPr>
          <w:snapToGrid w:val="0"/>
        </w:rPr>
        <w:tab/>
        <w:t>Tenant’s responsibility for cleanliness and damage</w:t>
      </w:r>
      <w:r>
        <w:tab/>
      </w:r>
      <w:r>
        <w:fldChar w:fldCharType="begin"/>
      </w:r>
      <w:r>
        <w:instrText xml:space="preserve"> PAGEREF _Toc468698242 \h </w:instrText>
      </w:r>
      <w:r>
        <w:fldChar w:fldCharType="separate"/>
      </w:r>
      <w:r>
        <w:t>41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Tenant’s conduct on premises</w:t>
      </w:r>
      <w:r>
        <w:tab/>
      </w:r>
      <w:r>
        <w:fldChar w:fldCharType="begin"/>
      </w:r>
      <w:r>
        <w:instrText xml:space="preserve"> PAGEREF _Toc468698243 \h </w:instrText>
      </w:r>
      <w:r>
        <w:fldChar w:fldCharType="separate"/>
      </w:r>
      <w:r>
        <w:t>41</w:t>
      </w:r>
      <w:r>
        <w:fldChar w:fldCharType="end"/>
      </w:r>
    </w:p>
    <w:p>
      <w:pPr>
        <w:pStyle w:val="TOC8"/>
        <w:rPr>
          <w:rFonts w:asciiTheme="minorHAnsi" w:eastAsiaTheme="minorEastAsia" w:hAnsiTheme="minorHAnsi" w:cstheme="minorBidi"/>
          <w:szCs w:val="22"/>
        </w:rPr>
      </w:pPr>
      <w:r>
        <w:t>40.</w:t>
      </w:r>
      <w:r>
        <w:tab/>
        <w:t>Vacant possession</w:t>
      </w:r>
      <w:r>
        <w:tab/>
      </w:r>
      <w:r>
        <w:fldChar w:fldCharType="begin"/>
      </w:r>
      <w:r>
        <w:instrText xml:space="preserve"> PAGEREF _Toc468698244 \h </w:instrText>
      </w:r>
      <w:r>
        <w:fldChar w:fldCharType="separate"/>
      </w:r>
      <w:r>
        <w:t>41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Legal impediments to occupation as residence</w:t>
      </w:r>
      <w:r>
        <w:tab/>
      </w:r>
      <w:r>
        <w:fldChar w:fldCharType="begin"/>
      </w:r>
      <w:r>
        <w:instrText xml:space="preserve"> PAGEREF _Toc468698245 \h </w:instrText>
      </w:r>
      <w:r>
        <w:fldChar w:fldCharType="separate"/>
      </w:r>
      <w:r>
        <w:t>42</w:t>
      </w:r>
      <w:r>
        <w:fldChar w:fldCharType="end"/>
      </w:r>
    </w:p>
    <w:p>
      <w:pPr>
        <w:pStyle w:val="TOC8"/>
        <w:rPr>
          <w:rFonts w:asciiTheme="minorHAnsi" w:eastAsiaTheme="minorEastAsia" w:hAnsiTheme="minorHAnsi" w:cstheme="minorBidi"/>
          <w:szCs w:val="22"/>
        </w:rPr>
      </w:pPr>
      <w:r>
        <w:t>42.</w:t>
      </w:r>
      <w:r>
        <w:tab/>
        <w:t>Lessor’s responsibility for cleanliness and repairs</w:t>
      </w:r>
      <w:r>
        <w:tab/>
      </w:r>
      <w:r>
        <w:fldChar w:fldCharType="begin"/>
      </w:r>
      <w:r>
        <w:instrText xml:space="preserve"> PAGEREF _Toc468698246 \h </w:instrText>
      </w:r>
      <w:r>
        <w:fldChar w:fldCharType="separate"/>
      </w:r>
      <w:r>
        <w:t>42</w:t>
      </w:r>
      <w:r>
        <w:fldChar w:fldCharType="end"/>
      </w:r>
    </w:p>
    <w:p>
      <w:pPr>
        <w:pStyle w:val="TOC8"/>
        <w:rPr>
          <w:rFonts w:asciiTheme="minorHAnsi" w:eastAsiaTheme="minorEastAsia" w:hAnsiTheme="minorHAnsi" w:cstheme="minorBidi"/>
          <w:szCs w:val="22"/>
        </w:rPr>
      </w:pPr>
      <w:r>
        <w:t>43.</w:t>
      </w:r>
      <w:r>
        <w:tab/>
        <w:t>Urgent repairs</w:t>
      </w:r>
      <w:r>
        <w:tab/>
      </w:r>
      <w:r>
        <w:fldChar w:fldCharType="begin"/>
      </w:r>
      <w:r>
        <w:instrText xml:space="preserve"> PAGEREF _Toc468698247 \h </w:instrText>
      </w:r>
      <w:r>
        <w:fldChar w:fldCharType="separate"/>
      </w:r>
      <w:r>
        <w:t>43</w:t>
      </w:r>
      <w:r>
        <w:fldChar w:fldCharType="end"/>
      </w:r>
    </w:p>
    <w:p>
      <w:pPr>
        <w:pStyle w:val="TOC8"/>
        <w:rPr>
          <w:rFonts w:asciiTheme="minorHAnsi" w:eastAsiaTheme="minorEastAsia" w:hAnsiTheme="minorHAnsi" w:cstheme="minorBidi"/>
          <w:szCs w:val="22"/>
        </w:rPr>
      </w:pPr>
      <w:r>
        <w:t>44.</w:t>
      </w:r>
      <w:r>
        <w:tab/>
        <w:t>Quiet enjoyment</w:t>
      </w:r>
      <w:r>
        <w:tab/>
      </w:r>
      <w:r>
        <w:fldChar w:fldCharType="begin"/>
      </w:r>
      <w:r>
        <w:instrText xml:space="preserve"> PAGEREF _Toc468698248 \h </w:instrText>
      </w:r>
      <w:r>
        <w:fldChar w:fldCharType="separate"/>
      </w:r>
      <w:r>
        <w:t>44</w:t>
      </w:r>
      <w:r>
        <w:fldChar w:fldCharType="end"/>
      </w:r>
    </w:p>
    <w:p>
      <w:pPr>
        <w:pStyle w:val="TOC8"/>
        <w:rPr>
          <w:rFonts w:asciiTheme="minorHAnsi" w:eastAsiaTheme="minorEastAsia" w:hAnsiTheme="minorHAnsi" w:cstheme="minorBidi"/>
          <w:szCs w:val="22"/>
        </w:rPr>
      </w:pPr>
      <w:r>
        <w:t>45.</w:t>
      </w:r>
      <w:r>
        <w:tab/>
        <w:t>Securing premises</w:t>
      </w:r>
      <w:r>
        <w:tab/>
      </w:r>
      <w:r>
        <w:fldChar w:fldCharType="begin"/>
      </w:r>
      <w:r>
        <w:instrText xml:space="preserve"> PAGEREF _Toc468698249 \h </w:instrText>
      </w:r>
      <w:r>
        <w:fldChar w:fldCharType="separate"/>
      </w:r>
      <w:r>
        <w:t>45</w:t>
      </w:r>
      <w:r>
        <w:fldChar w:fldCharType="end"/>
      </w:r>
    </w:p>
    <w:p>
      <w:pPr>
        <w:pStyle w:val="TOC8"/>
        <w:rPr>
          <w:rFonts w:asciiTheme="minorHAnsi" w:eastAsiaTheme="minorEastAsia" w:hAnsiTheme="minorHAnsi" w:cstheme="minorBidi"/>
          <w:szCs w:val="22"/>
        </w:rPr>
      </w:pPr>
      <w:r>
        <w:t>46.</w:t>
      </w:r>
      <w:r>
        <w:tab/>
        <w:t>Lessor’s right of entry</w:t>
      </w:r>
      <w:r>
        <w:tab/>
      </w:r>
      <w:r>
        <w:fldChar w:fldCharType="begin"/>
      </w:r>
      <w:r>
        <w:instrText xml:space="preserve"> PAGEREF _Toc468698250 \h </w:instrText>
      </w:r>
      <w:r>
        <w:fldChar w:fldCharType="separate"/>
      </w:r>
      <w:r>
        <w:t>45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Right of tenant to affix and remove fixtures etc.</w:t>
      </w:r>
      <w:r>
        <w:tab/>
      </w:r>
      <w:r>
        <w:fldChar w:fldCharType="begin"/>
      </w:r>
      <w:r>
        <w:instrText xml:space="preserve"> PAGEREF _Toc468698251 \h </w:instrText>
      </w:r>
      <w:r>
        <w:fldChar w:fldCharType="separate"/>
      </w:r>
      <w:r>
        <w:t>48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Lessor to bear outgoings in respect of premises</w:t>
      </w:r>
      <w:r>
        <w:tab/>
      </w:r>
      <w:r>
        <w:fldChar w:fldCharType="begin"/>
      </w:r>
      <w:r>
        <w:instrText xml:space="preserve"> PAGEREF _Toc468698252 \h </w:instrText>
      </w:r>
      <w:r>
        <w:fldChar w:fldCharType="separate"/>
      </w:r>
      <w:r>
        <w:t>49</w:t>
      </w:r>
      <w:r>
        <w:fldChar w:fldCharType="end"/>
      </w:r>
    </w:p>
    <w:p>
      <w:pPr>
        <w:pStyle w:val="TOC8"/>
        <w:rPr>
          <w:rFonts w:asciiTheme="minorHAnsi" w:eastAsiaTheme="minorEastAsia" w:hAnsiTheme="minorHAnsi" w:cstheme="minorBidi"/>
          <w:szCs w:val="22"/>
        </w:rPr>
      </w:pPr>
      <w:r>
        <w:t>49A.</w:t>
      </w:r>
      <w:r>
        <w:tab/>
        <w:t>Lessor’s and tenant’s responsibilities in respect of public utility services</w:t>
      </w:r>
      <w:r>
        <w:tab/>
      </w:r>
      <w:r>
        <w:fldChar w:fldCharType="begin"/>
      </w:r>
      <w:r>
        <w:instrText xml:space="preserve"> PAGEREF _Toc468698253 \h </w:instrText>
      </w:r>
      <w:r>
        <w:fldChar w:fldCharType="separate"/>
      </w:r>
      <w:r>
        <w:t>49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_Toc468698254 \h </w:instrText>
      </w:r>
      <w:r>
        <w:fldChar w:fldCharType="separate"/>
      </w:r>
      <w:r>
        <w:t>50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Vicarious responsibility of tenant for breach by other person lawfully on premises</w:t>
      </w:r>
      <w:r>
        <w:tab/>
      </w:r>
      <w:r>
        <w:fldChar w:fldCharType="begin"/>
      </w:r>
      <w:r>
        <w:instrText xml:space="preserve"> PAGEREF _Toc468698255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51.</w:t>
      </w:r>
      <w:r>
        <w:tab/>
        <w:t>Tenant to be notified of lessor’s name and address</w:t>
      </w:r>
      <w:r>
        <w:tab/>
      </w:r>
      <w:r>
        <w:fldChar w:fldCharType="begin"/>
      </w:r>
      <w:r>
        <w:instrText xml:space="preserve"> PAGEREF _Toc468698257 \h </w:instrText>
      </w:r>
      <w:r>
        <w:fldChar w:fldCharType="separate"/>
      </w:r>
      <w:r>
        <w:t>51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Failure to pay rent with intention it be recovered from security bond</w:t>
      </w:r>
      <w:r>
        <w:tab/>
      </w:r>
      <w:r>
        <w:fldChar w:fldCharType="begin"/>
      </w:r>
      <w:r>
        <w:instrText xml:space="preserve"> PAGEREF _Toc468698258 \h </w:instrText>
      </w:r>
      <w:r>
        <w:fldChar w:fldCharType="separate"/>
      </w:r>
      <w:r>
        <w:t>52</w:t>
      </w:r>
      <w:r>
        <w:fldChar w:fldCharType="end"/>
      </w:r>
    </w:p>
    <w:p>
      <w:pPr>
        <w:pStyle w:val="TOC8"/>
        <w:rPr>
          <w:rFonts w:asciiTheme="minorHAnsi" w:eastAsiaTheme="minorEastAsia" w:hAnsiTheme="minorHAnsi" w:cstheme="minorBidi"/>
          <w:szCs w:val="22"/>
        </w:rPr>
      </w:pPr>
      <w:r>
        <w:t>53.</w:t>
      </w:r>
      <w:r>
        <w:tab/>
        <w:t>Tenant’s name, place of employment and forwarding address</w:t>
      </w:r>
      <w:r>
        <w:tab/>
      </w:r>
      <w:r>
        <w:fldChar w:fldCharType="begin"/>
      </w:r>
      <w:r>
        <w:instrText xml:space="preserve"> PAGEREF _Toc468698259 \h </w:instrText>
      </w:r>
      <w:r>
        <w:fldChar w:fldCharType="separate"/>
      </w:r>
      <w:r>
        <w:t>53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Lessor to deliver copy of agreement to tenant</w:t>
      </w:r>
      <w:r>
        <w:tab/>
      </w:r>
      <w:r>
        <w:fldChar w:fldCharType="begin"/>
      </w:r>
      <w:r>
        <w:instrText xml:space="preserve"> PAGEREF _Toc468698260 \h </w:instrText>
      </w:r>
      <w:r>
        <w:fldChar w:fldCharType="separate"/>
      </w:r>
      <w:r>
        <w:t>53</w:t>
      </w:r>
      <w:r>
        <w:fldChar w:fldCharType="end"/>
      </w:r>
    </w:p>
    <w:p>
      <w:pPr>
        <w:pStyle w:val="TOC8"/>
        <w:rPr>
          <w:rFonts w:asciiTheme="minorHAnsi" w:eastAsiaTheme="minorEastAsia" w:hAnsiTheme="minorHAnsi" w:cstheme="minorBidi"/>
          <w:szCs w:val="22"/>
        </w:rPr>
      </w:pPr>
      <w:r>
        <w:t>55.</w:t>
      </w:r>
      <w:r>
        <w:tab/>
        <w:t>Cost of written agreement to be borne by lessor</w:t>
      </w:r>
      <w:r>
        <w:tab/>
      </w:r>
      <w:r>
        <w:fldChar w:fldCharType="begin"/>
      </w:r>
      <w:r>
        <w:instrText xml:space="preserve"> PAGEREF _Toc468698261 \h </w:instrText>
      </w:r>
      <w:r>
        <w:fldChar w:fldCharType="separate"/>
      </w:r>
      <w:r>
        <w:t>54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tenants with children</w:t>
      </w:r>
      <w:r>
        <w:tab/>
      </w:r>
      <w:r>
        <w:fldChar w:fldCharType="begin"/>
      </w:r>
      <w:r>
        <w:instrText xml:space="preserve"> PAGEREF _Toc468698262 \h </w:instrText>
      </w:r>
      <w:r>
        <w:fldChar w:fldCharType="separate"/>
      </w:r>
      <w:r>
        <w:t>54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Accelerated rent and liquidated damages prohibited</w:t>
      </w:r>
      <w:r>
        <w:tab/>
      </w:r>
      <w:r>
        <w:fldChar w:fldCharType="begin"/>
      </w:r>
      <w:r>
        <w:instrText xml:space="preserve"> PAGEREF _Toc468698263 \h </w:instrText>
      </w:r>
      <w:r>
        <w:fldChar w:fldCharType="separate"/>
      </w:r>
      <w:r>
        <w:t>55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Duty of mitigation</w:t>
      </w:r>
      <w:r>
        <w:tab/>
      </w:r>
      <w:r>
        <w:fldChar w:fldCharType="begin"/>
      </w:r>
      <w:r>
        <w:instrText xml:space="preserve"> PAGEREF _Toc468698264 \h </w:instrText>
      </w:r>
      <w:r>
        <w:fldChar w:fldCharType="separate"/>
      </w:r>
      <w:r>
        <w:t>55</w:t>
      </w:r>
      <w:r>
        <w:fldChar w:fldCharType="end"/>
      </w:r>
    </w:p>
    <w:p>
      <w:pPr>
        <w:pStyle w:val="TOC8"/>
        <w:rPr>
          <w:rFonts w:asciiTheme="minorHAnsi" w:eastAsiaTheme="minorEastAsia" w:hAnsiTheme="minorHAnsi" w:cstheme="minorBidi"/>
          <w:szCs w:val="22"/>
        </w:rPr>
      </w:pPr>
      <w:r>
        <w:t>59A.</w:t>
      </w:r>
      <w:r>
        <w:tab/>
        <w:t>Minors</w:t>
      </w:r>
      <w:r>
        <w:tab/>
      </w:r>
      <w:r>
        <w:fldChar w:fldCharType="begin"/>
      </w:r>
      <w:r>
        <w:instrText xml:space="preserve"> PAGEREF _Toc468698265 \h </w:instrText>
      </w:r>
      <w:r>
        <w:fldChar w:fldCharType="separate"/>
      </w:r>
      <w:r>
        <w:t>56</w:t>
      </w:r>
      <w:r>
        <w:fldChar w:fldCharType="end"/>
      </w:r>
    </w:p>
    <w:p>
      <w:pPr>
        <w:pStyle w:val="TOC8"/>
        <w:rPr>
          <w:rFonts w:asciiTheme="minorHAnsi" w:eastAsiaTheme="minorEastAsia" w:hAnsiTheme="minorHAnsi" w:cstheme="minorBidi"/>
          <w:szCs w:val="22"/>
        </w:rPr>
      </w:pPr>
      <w:r>
        <w:t>59B.</w:t>
      </w:r>
      <w:r>
        <w:tab/>
        <w:t>Death of one of 2 or more tenants</w:t>
      </w:r>
      <w:r>
        <w:tab/>
      </w:r>
      <w:r>
        <w:fldChar w:fldCharType="begin"/>
      </w:r>
      <w:r>
        <w:instrText xml:space="preserve"> PAGEREF _Toc468698266 \h </w:instrText>
      </w:r>
      <w:r>
        <w:fldChar w:fldCharType="separate"/>
      </w:r>
      <w:r>
        <w:t>56</w:t>
      </w:r>
      <w:r>
        <w:fldChar w:fldCharType="end"/>
      </w:r>
    </w:p>
    <w:p>
      <w:pPr>
        <w:pStyle w:val="TOC8"/>
        <w:rPr>
          <w:rFonts w:asciiTheme="minorHAnsi" w:eastAsiaTheme="minorEastAsia" w:hAnsiTheme="minorHAnsi" w:cstheme="minorBidi"/>
          <w:szCs w:val="22"/>
        </w:rPr>
      </w:pPr>
      <w:r>
        <w:t>59C.</w:t>
      </w:r>
      <w:r>
        <w:tab/>
        <w:t>Recognition of certain persons as tenants</w:t>
      </w:r>
      <w:r>
        <w:tab/>
      </w:r>
      <w:r>
        <w:fldChar w:fldCharType="begin"/>
      </w:r>
      <w:r>
        <w:instrText xml:space="preserve"> PAGEREF _Toc468698267 \h </w:instrText>
      </w:r>
      <w:r>
        <w:fldChar w:fldCharType="separate"/>
      </w:r>
      <w:r>
        <w:t>57</w:t>
      </w:r>
      <w:r>
        <w:fldChar w:fldCharType="end"/>
      </w:r>
    </w:p>
    <w:p>
      <w:pPr>
        <w:pStyle w:val="TOC8"/>
        <w:rPr>
          <w:rFonts w:asciiTheme="minorHAnsi" w:eastAsiaTheme="minorEastAsia" w:hAnsiTheme="minorHAnsi" w:cstheme="minorBidi"/>
          <w:szCs w:val="22"/>
        </w:rPr>
      </w:pPr>
      <w:r>
        <w:t>59D.</w:t>
      </w:r>
      <w:r>
        <w:tab/>
        <w:t>Tenant compensation bonds</w:t>
      </w:r>
      <w:r>
        <w:tab/>
      </w:r>
      <w:r>
        <w:fldChar w:fldCharType="begin"/>
      </w:r>
      <w:r>
        <w:instrText xml:space="preserve"> PAGEREF _Toc468698268 \h </w:instrText>
      </w:r>
      <w:r>
        <w:fldChar w:fldCharType="separate"/>
      </w:r>
      <w:r>
        <w:t>57</w:t>
      </w:r>
      <w:r>
        <w:fldChar w:fldCharType="end"/>
      </w:r>
    </w:p>
    <w:p>
      <w:pPr>
        <w:pStyle w:val="TOC8"/>
        <w:rPr>
          <w:rFonts w:asciiTheme="minorHAnsi" w:eastAsiaTheme="minorEastAsia" w:hAnsiTheme="minorHAnsi" w:cstheme="minorBidi"/>
          <w:szCs w:val="22"/>
        </w:rPr>
      </w:pPr>
      <w:r>
        <w:t>59E.</w:t>
      </w:r>
      <w:r>
        <w:tab/>
      </w:r>
      <w:r>
        <w:rPr>
          <w:snapToGrid w:val="0"/>
        </w:rPr>
        <w:t>Interference with quiet enjoyment</w:t>
      </w:r>
      <w:r>
        <w:tab/>
      </w:r>
      <w:r>
        <w:fldChar w:fldCharType="begin"/>
      </w:r>
      <w:r>
        <w:instrText xml:space="preserve"> PAGEREF _Toc468698269 \h </w:instrText>
      </w:r>
      <w:r>
        <w:fldChar w:fldCharType="separate"/>
      </w:r>
      <w:r>
        <w:t>58</w:t>
      </w:r>
      <w:r>
        <w:fldChar w:fldCharType="end"/>
      </w:r>
    </w:p>
    <w:p>
      <w:pPr>
        <w:pStyle w:val="TOC8"/>
        <w:rPr>
          <w:rFonts w:asciiTheme="minorHAnsi" w:eastAsiaTheme="minorEastAsia" w:hAnsiTheme="minorHAnsi" w:cstheme="minorBidi"/>
          <w:szCs w:val="22"/>
        </w:rPr>
      </w:pPr>
      <w:r>
        <w:t>59F.</w:t>
      </w:r>
      <w:r>
        <w:tab/>
      </w:r>
      <w:r>
        <w:rPr>
          <w:snapToGrid w:val="0"/>
        </w:rPr>
        <w:t>Offences relating to security of residential premises</w:t>
      </w:r>
      <w:r>
        <w:tab/>
      </w:r>
      <w:r>
        <w:fldChar w:fldCharType="begin"/>
      </w:r>
      <w:r>
        <w:instrText xml:space="preserve"> PAGEREF _Toc468698270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of residential tenancy agreements</w:t>
      </w:r>
    </w:p>
    <w:p>
      <w:pPr>
        <w:pStyle w:val="TOC4"/>
        <w:tabs>
          <w:tab w:val="right" w:leader="dot" w:pos="7077"/>
        </w:tabs>
        <w:rPr>
          <w:rFonts w:asciiTheme="minorHAnsi" w:eastAsiaTheme="minorEastAsia" w:hAnsiTheme="minorHAnsi" w:cstheme="minorBidi"/>
          <w:b w:val="0"/>
          <w:szCs w:val="22"/>
        </w:rPr>
      </w:pPr>
      <w:r>
        <w:t>Division 1 — How residential tenancy agreements are terminated</w:t>
      </w:r>
    </w:p>
    <w:p>
      <w:pPr>
        <w:pStyle w:val="TOC8"/>
        <w:rPr>
          <w:rFonts w:asciiTheme="minorHAnsi" w:eastAsiaTheme="minorEastAsia" w:hAnsiTheme="minorHAnsi" w:cstheme="minorBidi"/>
          <w:szCs w:val="22"/>
        </w:rPr>
      </w:pPr>
      <w:r>
        <w:t>60</w:t>
      </w:r>
      <w:r>
        <w:rPr>
          <w:snapToGrid w:val="0"/>
        </w:rPr>
        <w:t>.</w:t>
      </w:r>
      <w:r>
        <w:rPr>
          <w:snapToGrid w:val="0"/>
        </w:rPr>
        <w:tab/>
        <w:t>How residential tenancy agreements are terminated</w:t>
      </w:r>
      <w:r>
        <w:tab/>
      </w:r>
      <w:r>
        <w:fldChar w:fldCharType="begin"/>
      </w:r>
      <w:r>
        <w:instrText xml:space="preserve"> PAGEREF _Toc468698273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Notices of termination</w:t>
      </w:r>
    </w:p>
    <w:p>
      <w:pPr>
        <w:pStyle w:val="TOC8"/>
        <w:rPr>
          <w:rFonts w:asciiTheme="minorHAnsi" w:eastAsiaTheme="minorEastAsia" w:hAnsiTheme="minorHAnsi" w:cstheme="minorBidi"/>
          <w:szCs w:val="22"/>
        </w:rPr>
      </w:pPr>
      <w:r>
        <w:t>61.</w:t>
      </w:r>
      <w:r>
        <w:tab/>
        <w:t>Form of notice of termination by lessor</w:t>
      </w:r>
      <w:r>
        <w:tab/>
      </w:r>
      <w:r>
        <w:fldChar w:fldCharType="begin"/>
      </w:r>
      <w:r>
        <w:instrText xml:space="preserve"> PAGEREF _Toc468698275 \h </w:instrText>
      </w:r>
      <w:r>
        <w:fldChar w:fldCharType="separate"/>
      </w:r>
      <w:r>
        <w:t>61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Notice of termination by lessor upon ground of breach of term of agreement</w:t>
      </w:r>
      <w:r>
        <w:tab/>
      </w:r>
      <w:r>
        <w:fldChar w:fldCharType="begin"/>
      </w:r>
      <w:r>
        <w:instrText xml:space="preserve"> PAGEREF _Toc468698276 \h </w:instrText>
      </w:r>
      <w:r>
        <w:fldChar w:fldCharType="separate"/>
      </w:r>
      <w:r>
        <w:t>62</w:t>
      </w:r>
      <w:r>
        <w:fldChar w:fldCharType="end"/>
      </w:r>
    </w:p>
    <w:p>
      <w:pPr>
        <w:pStyle w:val="TOC8"/>
        <w:rPr>
          <w:rFonts w:asciiTheme="minorHAnsi" w:eastAsiaTheme="minorEastAsia" w:hAnsiTheme="minorHAnsi" w:cstheme="minorBidi"/>
          <w:szCs w:val="22"/>
        </w:rPr>
      </w:pPr>
      <w:r>
        <w:t>63.</w:t>
      </w:r>
      <w:r>
        <w:tab/>
        <w:t>Notice of termination by lessor who has entered into contract of sale</w:t>
      </w:r>
      <w:r>
        <w:tab/>
      </w:r>
      <w:r>
        <w:fldChar w:fldCharType="begin"/>
      </w:r>
      <w:r>
        <w:instrText xml:space="preserve"> PAGEREF _Toc468698277 \h </w:instrText>
      </w:r>
      <w:r>
        <w:fldChar w:fldCharType="separate"/>
      </w:r>
      <w:r>
        <w:t>63</w:t>
      </w:r>
      <w:r>
        <w:fldChar w:fldCharType="end"/>
      </w:r>
    </w:p>
    <w:p>
      <w:pPr>
        <w:pStyle w:val="TOC8"/>
        <w:rPr>
          <w:rFonts w:asciiTheme="minorHAnsi" w:eastAsiaTheme="minorEastAsia" w:hAnsiTheme="minorHAnsi" w:cstheme="minorBidi"/>
          <w:szCs w:val="22"/>
        </w:rPr>
      </w:pPr>
      <w:r>
        <w:t>64.</w:t>
      </w:r>
      <w:r>
        <w:tab/>
        <w:t>Notice of termination by lessor without any ground</w:t>
      </w:r>
      <w:r>
        <w:tab/>
      </w:r>
      <w:r>
        <w:fldChar w:fldCharType="begin"/>
      </w:r>
      <w:r>
        <w:instrText xml:space="preserve"> PAGEREF _Toc468698278 \h </w:instrText>
      </w:r>
      <w:r>
        <w:fldChar w:fldCharType="separate"/>
      </w:r>
      <w:r>
        <w:t>64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Termination by lessor where s. 32 invoked</w:t>
      </w:r>
      <w:r>
        <w:tab/>
      </w:r>
      <w:r>
        <w:fldChar w:fldCharType="begin"/>
      </w:r>
      <w:r>
        <w:instrText xml:space="preserve"> PAGEREF _Toc468698279 \h </w:instrText>
      </w:r>
      <w:r>
        <w:fldChar w:fldCharType="separate"/>
      </w:r>
      <w:r>
        <w:t>65</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Notice by lessor not waived by acceptance of rent</w:t>
      </w:r>
      <w:r>
        <w:tab/>
      </w:r>
      <w:r>
        <w:fldChar w:fldCharType="begin"/>
      </w:r>
      <w:r>
        <w:instrText xml:space="preserve"> PAGEREF _Toc468698280 \h </w:instrText>
      </w:r>
      <w:r>
        <w:fldChar w:fldCharType="separate"/>
      </w:r>
      <w:r>
        <w:t>66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Form of notice of termination by tenant</w:t>
      </w:r>
      <w:r>
        <w:tab/>
      </w:r>
      <w:r>
        <w:fldChar w:fldCharType="begin"/>
      </w:r>
      <w:r>
        <w:instrText xml:space="preserve"> PAGEREF _Toc468698281 \h </w:instrText>
      </w:r>
      <w:r>
        <w:fldChar w:fldCharType="separate"/>
      </w:r>
      <w:r>
        <w:t>66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Notice of termination by tenant</w:t>
      </w:r>
      <w:r>
        <w:tab/>
      </w:r>
      <w:r>
        <w:fldChar w:fldCharType="begin"/>
      </w:r>
      <w:r>
        <w:instrText xml:space="preserve"> PAGEREF _Toc468698282 \h </w:instrText>
      </w:r>
      <w:r>
        <w:fldChar w:fldCharType="separate"/>
      </w:r>
      <w:r>
        <w:t>66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Notice of termination by lessor or tenant where agreement frustrated</w:t>
      </w:r>
      <w:r>
        <w:tab/>
      </w:r>
      <w:r>
        <w:fldChar w:fldCharType="begin"/>
      </w:r>
      <w:r>
        <w:instrText xml:space="preserve"> PAGEREF _Toc468698283 \h </w:instrText>
      </w:r>
      <w:r>
        <w:fldChar w:fldCharType="separate"/>
      </w:r>
      <w:r>
        <w:t>67</w:t>
      </w:r>
      <w:r>
        <w:fldChar w:fldCharType="end"/>
      </w:r>
    </w:p>
    <w:p>
      <w:pPr>
        <w:pStyle w:val="TOC8"/>
        <w:rPr>
          <w:rFonts w:asciiTheme="minorHAnsi" w:eastAsiaTheme="minorEastAsia" w:hAnsiTheme="minorHAnsi" w:cstheme="minorBidi"/>
          <w:szCs w:val="22"/>
        </w:rPr>
      </w:pPr>
      <w:r>
        <w:t>70A.</w:t>
      </w:r>
      <w:r>
        <w:tab/>
        <w:t>Notice of termination by lessor or tenant at end of fixed term tenancy</w:t>
      </w:r>
      <w:r>
        <w:tab/>
      </w:r>
      <w:r>
        <w:fldChar w:fldCharType="begin"/>
      </w:r>
      <w:r>
        <w:instrText xml:space="preserve"> PAGEREF _Toc468698284 \h </w:instrText>
      </w:r>
      <w:r>
        <w:fldChar w:fldCharType="separate"/>
      </w:r>
      <w:r>
        <w:t>67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Effect of notice of termination of periodic tenancy</w:t>
      </w:r>
      <w:r>
        <w:tab/>
      </w:r>
      <w:r>
        <w:fldChar w:fldCharType="begin"/>
      </w:r>
      <w:r>
        <w:instrText xml:space="preserve"> PAGEREF _Toc468698285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Special provisions about terminating social housing tenancy agreements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_Toc468698288 \h </w:instrText>
      </w:r>
      <w:r>
        <w:fldChar w:fldCharType="separate"/>
      </w:r>
      <w:r>
        <w:t>69</w:t>
      </w:r>
      <w:r>
        <w:fldChar w:fldCharType="end"/>
      </w:r>
    </w:p>
    <w:p>
      <w:pPr>
        <w:pStyle w:val="TOC8"/>
        <w:rPr>
          <w:rFonts w:asciiTheme="minorHAnsi" w:eastAsiaTheme="minorEastAsia" w:hAnsiTheme="minorHAnsi" w:cstheme="minorBidi"/>
          <w:szCs w:val="22"/>
        </w:rPr>
      </w:pPr>
      <w:r>
        <w:t>71B.</w:t>
      </w:r>
      <w:r>
        <w:tab/>
        <w:t>Application of Division</w:t>
      </w:r>
      <w:r>
        <w:tab/>
      </w:r>
      <w:r>
        <w:fldChar w:fldCharType="begin"/>
      </w:r>
      <w:r>
        <w:instrText xml:space="preserve"> PAGEREF _Toc468698289 \h </w:instrText>
      </w:r>
      <w:r>
        <w:fldChar w:fldCharType="separate"/>
      </w:r>
      <w:r>
        <w:t>70</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Notice of termination where tenant not eligible for social housing premises</w:t>
      </w:r>
    </w:p>
    <w:p>
      <w:pPr>
        <w:pStyle w:val="TOC8"/>
        <w:rPr>
          <w:rFonts w:asciiTheme="minorHAnsi" w:eastAsiaTheme="minorEastAsia" w:hAnsiTheme="minorHAnsi" w:cstheme="minorBidi"/>
          <w:szCs w:val="22"/>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_Toc468698291 \h </w:instrText>
      </w:r>
      <w:r>
        <w:fldChar w:fldCharType="separate"/>
      </w:r>
      <w:r>
        <w:t>70</w:t>
      </w:r>
      <w:r>
        <w:fldChar w:fldCharType="end"/>
      </w:r>
    </w:p>
    <w:p>
      <w:pPr>
        <w:pStyle w:val="TOC8"/>
        <w:rPr>
          <w:rFonts w:asciiTheme="minorHAnsi" w:eastAsiaTheme="minorEastAsia" w:hAnsiTheme="minorHAnsi" w:cstheme="minorBidi"/>
          <w:szCs w:val="22"/>
        </w:rPr>
      </w:pPr>
      <w:r>
        <w:t>71D.</w:t>
      </w:r>
      <w:r>
        <w:tab/>
        <w:t>Assessment of tenants eligibility for social housing premises</w:t>
      </w:r>
      <w:r>
        <w:tab/>
      </w:r>
      <w:r>
        <w:fldChar w:fldCharType="begin"/>
      </w:r>
      <w:r>
        <w:instrText xml:space="preserve"> PAGEREF _Toc468698292 \h </w:instrText>
      </w:r>
      <w:r>
        <w:fldChar w:fldCharType="separate"/>
      </w:r>
      <w:r>
        <w:t>70</w:t>
      </w:r>
      <w:r>
        <w:fldChar w:fldCharType="end"/>
      </w:r>
    </w:p>
    <w:p>
      <w:pPr>
        <w:pStyle w:val="TOC8"/>
        <w:rPr>
          <w:rFonts w:asciiTheme="minorHAnsi" w:eastAsiaTheme="minorEastAsia" w:hAnsiTheme="minorHAnsi" w:cstheme="minorBidi"/>
          <w:szCs w:val="22"/>
        </w:rPr>
      </w:pPr>
      <w:r>
        <w:t>71E.</w:t>
      </w:r>
      <w:r>
        <w:tab/>
        <w:t>Criteria for assessing eligibility of tenants for social housing premises under s. 71D</w:t>
      </w:r>
      <w:r>
        <w:tab/>
      </w:r>
      <w:r>
        <w:fldChar w:fldCharType="begin"/>
      </w:r>
      <w:r>
        <w:instrText xml:space="preserve"> PAGEREF _Toc468698293 \h </w:instrText>
      </w:r>
      <w:r>
        <w:fldChar w:fldCharType="separate"/>
      </w:r>
      <w:r>
        <w:t>71</w:t>
      </w:r>
      <w:r>
        <w:fldChar w:fldCharType="end"/>
      </w:r>
    </w:p>
    <w:p>
      <w:pPr>
        <w:pStyle w:val="TOC8"/>
        <w:rPr>
          <w:rFonts w:asciiTheme="minorHAnsi" w:eastAsiaTheme="minorEastAsia" w:hAnsiTheme="minorHAnsi" w:cstheme="minorBidi"/>
          <w:szCs w:val="22"/>
        </w:rPr>
      </w:pPr>
      <w:r>
        <w:t>71F.</w:t>
      </w:r>
      <w:r>
        <w:tab/>
        <w:t>Review of decision to give notice on ground that tenant not eligible for social housing premises</w:t>
      </w:r>
      <w:r>
        <w:tab/>
      </w:r>
      <w:r>
        <w:fldChar w:fldCharType="begin"/>
      </w:r>
      <w:r>
        <w:instrText xml:space="preserve"> PAGEREF _Toc468698294 \h </w:instrText>
      </w:r>
      <w:r>
        <w:fldChar w:fldCharType="separate"/>
      </w:r>
      <w:r>
        <w:t>72</w:t>
      </w:r>
      <w:r>
        <w:fldChar w:fldCharType="end"/>
      </w:r>
    </w:p>
    <w:p>
      <w:pPr>
        <w:pStyle w:val="TOC8"/>
        <w:rPr>
          <w:rFonts w:asciiTheme="minorHAnsi" w:eastAsiaTheme="minorEastAsia" w:hAnsiTheme="minorHAnsi" w:cstheme="minorBidi"/>
          <w:szCs w:val="22"/>
        </w:rPr>
      </w:pPr>
      <w:r>
        <w:t>71G.</w:t>
      </w:r>
      <w:r>
        <w:tab/>
        <w:t xml:space="preserve">Time </w:t>
      </w:r>
      <w:r>
        <w:rPr>
          <w:snapToGrid w:val="0"/>
        </w:rPr>
        <w:t>periods to be observed where notice of termination given under this Subdivision</w:t>
      </w:r>
      <w:r>
        <w:tab/>
      </w:r>
      <w:r>
        <w:fldChar w:fldCharType="begin"/>
      </w:r>
      <w:r>
        <w:instrText xml:space="preserve"> PAGEREF _Toc468698295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 of termination where tenant offered alternative social housing premises</w:t>
      </w:r>
    </w:p>
    <w:p>
      <w:pPr>
        <w:pStyle w:val="TOC8"/>
        <w:rPr>
          <w:rFonts w:asciiTheme="minorHAnsi" w:eastAsiaTheme="minorEastAsia" w:hAnsiTheme="minorHAnsi" w:cstheme="minorBidi"/>
          <w:szCs w:val="22"/>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_Toc468698297 \h </w:instrText>
      </w:r>
      <w:r>
        <w:fldChar w:fldCharType="separate"/>
      </w:r>
      <w:r>
        <w:t>73</w:t>
      </w:r>
      <w:r>
        <w:fldChar w:fldCharType="end"/>
      </w:r>
    </w:p>
    <w:p>
      <w:pPr>
        <w:pStyle w:val="TOC8"/>
        <w:rPr>
          <w:rFonts w:asciiTheme="minorHAnsi" w:eastAsiaTheme="minorEastAsia" w:hAnsiTheme="minorHAnsi" w:cstheme="minorBidi"/>
          <w:szCs w:val="22"/>
        </w:rPr>
      </w:pPr>
      <w:r>
        <w:t>71I.</w:t>
      </w:r>
      <w:r>
        <w:tab/>
        <w:t>Review of decision to give notice on ground that tenant offered alternative social housing premises</w:t>
      </w:r>
      <w:r>
        <w:tab/>
      </w:r>
      <w:r>
        <w:fldChar w:fldCharType="begin"/>
      </w:r>
      <w:r>
        <w:instrText xml:space="preserve"> PAGEREF _Toc468698298 \h </w:instrText>
      </w:r>
      <w:r>
        <w:fldChar w:fldCharType="separate"/>
      </w:r>
      <w:r>
        <w:t>74</w:t>
      </w:r>
      <w:r>
        <w:fldChar w:fldCharType="end"/>
      </w:r>
    </w:p>
    <w:p>
      <w:pPr>
        <w:pStyle w:val="TOC8"/>
        <w:rPr>
          <w:rFonts w:asciiTheme="minorHAnsi" w:eastAsiaTheme="minorEastAsia" w:hAnsiTheme="minorHAnsi" w:cstheme="minorBidi"/>
          <w:szCs w:val="22"/>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_Toc468698299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Orders for termination of residential tenancy agreement</w:t>
      </w:r>
    </w:p>
    <w:p>
      <w:pPr>
        <w:pStyle w:val="TOC8"/>
        <w:rPr>
          <w:rFonts w:asciiTheme="minorHAnsi" w:eastAsiaTheme="minorEastAsia" w:hAnsiTheme="minorHAnsi" w:cstheme="minorBidi"/>
          <w:szCs w:val="22"/>
        </w:rPr>
      </w:pPr>
      <w:r>
        <w:t>71</w:t>
      </w:r>
      <w:r>
        <w:rPr>
          <w:snapToGrid w:val="0"/>
        </w:rPr>
        <w:t>.</w:t>
      </w:r>
      <w:r>
        <w:rPr>
          <w:snapToGrid w:val="0"/>
        </w:rPr>
        <w:tab/>
        <w:t>Application by lessor for termination and order for possession</w:t>
      </w:r>
      <w:r>
        <w:tab/>
      </w:r>
      <w:r>
        <w:fldChar w:fldCharType="begin"/>
      </w:r>
      <w:r>
        <w:instrText xml:space="preserve"> PAGEREF _Toc468698301 \h </w:instrText>
      </w:r>
      <w:r>
        <w:fldChar w:fldCharType="separate"/>
      </w:r>
      <w:r>
        <w:t>76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_Toc468698302 \h </w:instrText>
      </w:r>
      <w:r>
        <w:fldChar w:fldCharType="separate"/>
      </w:r>
      <w:r>
        <w:t>80</w:t>
      </w:r>
      <w:r>
        <w:fldChar w:fldCharType="end"/>
      </w:r>
    </w:p>
    <w:p>
      <w:pPr>
        <w:pStyle w:val="TOC8"/>
        <w:rPr>
          <w:rFonts w:asciiTheme="minorHAnsi" w:eastAsiaTheme="minorEastAsia" w:hAnsiTheme="minorHAnsi" w:cstheme="minorBidi"/>
          <w:szCs w:val="22"/>
        </w:rPr>
      </w:pPr>
      <w:r>
        <w:t>73A.</w:t>
      </w:r>
      <w:r>
        <w:tab/>
        <w:t>Notice of termination not required in certain cases</w:t>
      </w:r>
      <w:r>
        <w:tab/>
      </w:r>
      <w:r>
        <w:fldChar w:fldCharType="begin"/>
      </w:r>
      <w:r>
        <w:instrText xml:space="preserve"> PAGEREF _Toc468698303 \h </w:instrText>
      </w:r>
      <w:r>
        <w:fldChar w:fldCharType="separate"/>
      </w:r>
      <w:r>
        <w:t>81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Termination of agreement where tenant causing serious damage or injury</w:t>
      </w:r>
      <w:r>
        <w:tab/>
      </w:r>
      <w:r>
        <w:fldChar w:fldCharType="begin"/>
      </w:r>
      <w:r>
        <w:instrText xml:space="preserve"> PAGEREF _Toc468698304 \h </w:instrText>
      </w:r>
      <w:r>
        <w:fldChar w:fldCharType="separate"/>
      </w:r>
      <w:r>
        <w:t>81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Termination of agreement where lessor or tenant would otherwise suffer undue hardship</w:t>
      </w:r>
      <w:r>
        <w:tab/>
      </w:r>
      <w:r>
        <w:fldChar w:fldCharType="begin"/>
      </w:r>
      <w:r>
        <w:instrText xml:space="preserve"> PAGEREF _Toc468698305 \h </w:instrText>
      </w:r>
      <w:r>
        <w:fldChar w:fldCharType="separate"/>
      </w:r>
      <w:r>
        <w:t>82</w:t>
      </w:r>
      <w:r>
        <w:fldChar w:fldCharType="end"/>
      </w:r>
    </w:p>
    <w:p>
      <w:pPr>
        <w:pStyle w:val="TOC8"/>
        <w:rPr>
          <w:rFonts w:asciiTheme="minorHAnsi" w:eastAsiaTheme="minorEastAsia" w:hAnsiTheme="minorHAnsi" w:cstheme="minorBidi"/>
          <w:szCs w:val="22"/>
        </w:rPr>
      </w:pPr>
      <w:r>
        <w:t>75A.</w:t>
      </w:r>
      <w:r>
        <w:tab/>
        <w:t>Termination of social housing tenancy agreement due to objectionable behaviour</w:t>
      </w:r>
      <w:r>
        <w:tab/>
      </w:r>
      <w:r>
        <w:fldChar w:fldCharType="begin"/>
      </w:r>
      <w:r>
        <w:instrText xml:space="preserve"> PAGEREF _Toc468698306 \h </w:instrText>
      </w:r>
      <w:r>
        <w:fldChar w:fldCharType="separate"/>
      </w:r>
      <w:r>
        <w:t>82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Termination of agreement for breach by lessor</w:t>
      </w:r>
      <w:r>
        <w:tab/>
      </w:r>
      <w:r>
        <w:fldChar w:fldCharType="begin"/>
      </w:r>
      <w:r>
        <w:instrText xml:space="preserve"> PAGEREF _Toc468698307 \h </w:instrText>
      </w:r>
      <w:r>
        <w:fldChar w:fldCharType="separate"/>
      </w:r>
      <w:r>
        <w:t>84</w:t>
      </w:r>
      <w:r>
        <w:fldChar w:fldCharType="end"/>
      </w:r>
    </w:p>
    <w:p>
      <w:pPr>
        <w:pStyle w:val="TOC8"/>
        <w:rPr>
          <w:rFonts w:asciiTheme="minorHAnsi" w:eastAsiaTheme="minorEastAsia" w:hAnsiTheme="minorHAnsi" w:cstheme="minorBidi"/>
          <w:szCs w:val="22"/>
        </w:rPr>
      </w:pPr>
      <w:r>
        <w:t>76A.</w:t>
      </w:r>
      <w:r>
        <w:tab/>
        <w:t>Termination of agreement by lessor if premises abandoned</w:t>
      </w:r>
      <w:r>
        <w:tab/>
      </w:r>
      <w:r>
        <w:fldChar w:fldCharType="begin"/>
      </w:r>
      <w:r>
        <w:instrText xml:space="preserve"> PAGEREF _Toc468698308 \h </w:instrText>
      </w:r>
      <w:r>
        <w:fldChar w:fldCharType="separate"/>
      </w:r>
      <w:r>
        <w:t>84</w:t>
      </w:r>
      <w:r>
        <w:fldChar w:fldCharType="end"/>
      </w:r>
    </w:p>
    <w:p>
      <w:pPr>
        <w:pStyle w:val="TOC8"/>
        <w:rPr>
          <w:rFonts w:asciiTheme="minorHAnsi" w:eastAsiaTheme="minorEastAsia" w:hAnsiTheme="minorHAnsi" w:cstheme="minorBidi"/>
          <w:szCs w:val="22"/>
        </w:rPr>
      </w:pPr>
      <w:r>
        <w:t>76B.</w:t>
      </w:r>
      <w:r>
        <w:tab/>
        <w:t>Dispute about s. 76A notice</w:t>
      </w:r>
      <w:r>
        <w:tab/>
      </w:r>
      <w:r>
        <w:fldChar w:fldCharType="begin"/>
      </w:r>
      <w:r>
        <w:instrText xml:space="preserve"> PAGEREF _Toc468698309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76C.</w:t>
      </w:r>
      <w:r>
        <w:tab/>
        <w:t>Fixed term tenancies continued as periodic tenancies</w:t>
      </w:r>
      <w:r>
        <w:tab/>
      </w:r>
      <w:r>
        <w:fldChar w:fldCharType="begin"/>
      </w:r>
      <w:r>
        <w:instrText xml:space="preserve"> PAGEREF _Toc468698311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Compensation to lessor for holding over</w:t>
      </w:r>
      <w:r>
        <w:tab/>
      </w:r>
      <w:r>
        <w:fldChar w:fldCharType="begin"/>
      </w:r>
      <w:r>
        <w:instrText xml:space="preserve"> PAGEREF _Toc468698312 \h </w:instrText>
      </w:r>
      <w:r>
        <w:fldChar w:fldCharType="separate"/>
      </w:r>
      <w:r>
        <w:t>86</w:t>
      </w:r>
      <w:r>
        <w:fldChar w:fldCharType="end"/>
      </w:r>
    </w:p>
    <w:p>
      <w:pPr>
        <w:pStyle w:val="TOC8"/>
        <w:rPr>
          <w:rFonts w:asciiTheme="minorHAnsi" w:eastAsiaTheme="minorEastAsia" w:hAnsiTheme="minorHAnsi" w:cstheme="minorBidi"/>
          <w:szCs w:val="22"/>
        </w:rPr>
      </w:pPr>
      <w:r>
        <w:t>77.</w:t>
      </w:r>
      <w:r>
        <w:tab/>
        <w:t>Abandonment of premises</w:t>
      </w:r>
      <w:r>
        <w:tab/>
      </w:r>
      <w:r>
        <w:fldChar w:fldCharType="begin"/>
      </w:r>
      <w:r>
        <w:instrText xml:space="preserve"> PAGEREF _Toc468698313 \h </w:instrText>
      </w:r>
      <w:r>
        <w:fldChar w:fldCharType="separate"/>
      </w:r>
      <w:r>
        <w:t>86</w:t>
      </w:r>
      <w:r>
        <w:fldChar w:fldCharType="end"/>
      </w:r>
    </w:p>
    <w:p>
      <w:pPr>
        <w:pStyle w:val="TOC8"/>
        <w:rPr>
          <w:rFonts w:asciiTheme="minorHAnsi" w:eastAsiaTheme="minorEastAsia" w:hAnsiTheme="minorHAnsi" w:cstheme="minorBidi"/>
          <w:szCs w:val="22"/>
        </w:rPr>
      </w:pPr>
      <w:r>
        <w:t>78A.</w:t>
      </w:r>
      <w:r>
        <w:tab/>
        <w:t>Order about abandonment</w:t>
      </w:r>
      <w:r>
        <w:tab/>
      </w:r>
      <w:r>
        <w:fldChar w:fldCharType="begin"/>
      </w:r>
      <w:r>
        <w:instrText xml:space="preserve"> PAGEREF _Toc468698314 \h </w:instrText>
      </w:r>
      <w:r>
        <w:fldChar w:fldCharType="separate"/>
      </w:r>
      <w:r>
        <w:t>87</w:t>
      </w:r>
      <w:r>
        <w:fldChar w:fldCharType="end"/>
      </w:r>
    </w:p>
    <w:p>
      <w:pPr>
        <w:pStyle w:val="TOC8"/>
        <w:rPr>
          <w:rFonts w:asciiTheme="minorHAnsi" w:eastAsiaTheme="minorEastAsia" w:hAnsiTheme="minorHAnsi" w:cstheme="minorBidi"/>
          <w:szCs w:val="22"/>
        </w:rPr>
      </w:pPr>
      <w:r>
        <w:t>78B.</w:t>
      </w:r>
      <w:r>
        <w:tab/>
        <w:t>Review of abandonment order</w:t>
      </w:r>
      <w:r>
        <w:tab/>
      </w:r>
      <w:r>
        <w:fldChar w:fldCharType="begin"/>
      </w:r>
      <w:r>
        <w:instrText xml:space="preserve"> PAGEREF _Toc468698315 \h </w:instrText>
      </w:r>
      <w:r>
        <w:fldChar w:fldCharType="separate"/>
      </w:r>
      <w:r>
        <w:t>87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r>
      <w:r>
        <w:rPr>
          <w:bCs/>
        </w:rPr>
        <w:t>Right of lessor to compensation where tenant abandons premises</w:t>
      </w:r>
      <w:r>
        <w:tab/>
      </w:r>
      <w:r>
        <w:fldChar w:fldCharType="begin"/>
      </w:r>
      <w:r>
        <w:instrText xml:space="preserve"> PAGEREF _Toc468698316 \h </w:instrText>
      </w:r>
      <w:r>
        <w:fldChar w:fldCharType="separate"/>
      </w:r>
      <w:r>
        <w:t>88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Abandoned goods</w:t>
      </w:r>
      <w:r>
        <w:tab/>
      </w:r>
      <w:r>
        <w:fldChar w:fldCharType="begin"/>
      </w:r>
      <w:r>
        <w:instrText xml:space="preserve"> PAGEREF _Toc468698317 \h </w:instrText>
      </w:r>
      <w:r>
        <w:fldChar w:fldCharType="separate"/>
      </w:r>
      <w:r>
        <w:t>88</w:t>
      </w:r>
      <w:r>
        <w:fldChar w:fldCharType="end"/>
      </w:r>
    </w:p>
    <w:p>
      <w:pPr>
        <w:pStyle w:val="TOC8"/>
        <w:rPr>
          <w:rFonts w:asciiTheme="minorHAnsi" w:eastAsiaTheme="minorEastAsia" w:hAnsiTheme="minorHAnsi" w:cstheme="minorBidi"/>
          <w:szCs w:val="22"/>
        </w:rPr>
      </w:pPr>
      <w:r>
        <w:t>80A.</w:t>
      </w:r>
      <w:r>
        <w:tab/>
        <w:t>Abandoned documents</w:t>
      </w:r>
      <w:r>
        <w:tab/>
      </w:r>
      <w:r>
        <w:fldChar w:fldCharType="begin"/>
      </w:r>
      <w:r>
        <w:instrText xml:space="preserve"> PAGEREF _Toc468698318 \h </w:instrText>
      </w:r>
      <w:r>
        <w:fldChar w:fldCharType="separate"/>
      </w:r>
      <w:r>
        <w:t>92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Recovery of possession of premises prohibited except by court order</w:t>
      </w:r>
      <w:r>
        <w:tab/>
      </w:r>
      <w:r>
        <w:fldChar w:fldCharType="begin"/>
      </w:r>
      <w:r>
        <w:instrText xml:space="preserve"> PAGEREF _Toc468698319 \h </w:instrText>
      </w:r>
      <w:r>
        <w:fldChar w:fldCharType="separate"/>
      </w:r>
      <w:r>
        <w:t>93</w:t>
      </w:r>
      <w:r>
        <w:fldChar w:fldCharType="end"/>
      </w:r>
    </w:p>
    <w:p>
      <w:pPr>
        <w:pStyle w:val="TOC8"/>
        <w:rPr>
          <w:rFonts w:asciiTheme="minorHAnsi" w:eastAsiaTheme="minorEastAsia" w:hAnsiTheme="minorHAnsi" w:cstheme="minorBidi"/>
          <w:szCs w:val="22"/>
        </w:rPr>
      </w:pPr>
      <w:r>
        <w:t>81A.</w:t>
      </w:r>
      <w:r>
        <w:tab/>
        <w:t>Mortgagee repossessions of rented properties</w:t>
      </w:r>
      <w:r>
        <w:tab/>
      </w:r>
      <w:r>
        <w:fldChar w:fldCharType="begin"/>
      </w:r>
      <w:r>
        <w:instrText xml:space="preserve"> PAGEREF _Toc468698320 \h </w:instrText>
      </w:r>
      <w:r>
        <w:fldChar w:fldCharType="separate"/>
      </w:r>
      <w:r>
        <w:t>94</w:t>
      </w:r>
      <w:r>
        <w:fldChar w:fldCharType="end"/>
      </w:r>
    </w:p>
    <w:p>
      <w:pPr>
        <w:pStyle w:val="TOC8"/>
        <w:rPr>
          <w:rFonts w:asciiTheme="minorHAnsi" w:eastAsiaTheme="minorEastAsia" w:hAnsiTheme="minorHAnsi" w:cstheme="minorBidi"/>
          <w:szCs w:val="22"/>
        </w:rPr>
      </w:pPr>
      <w:r>
        <w:t>81B.</w:t>
      </w:r>
      <w:r>
        <w:tab/>
        <w:t>Notice of proposed recovery of premises by person with superior title</w:t>
      </w:r>
      <w:r>
        <w:tab/>
      </w:r>
      <w:r>
        <w:fldChar w:fldCharType="begin"/>
      </w:r>
      <w:r>
        <w:instrText xml:space="preserve"> PAGEREF _Toc468698321 \h </w:instrText>
      </w:r>
      <w:r>
        <w:fldChar w:fldCharType="separate"/>
      </w:r>
      <w:r>
        <w:t>95</w:t>
      </w:r>
      <w:r>
        <w:fldChar w:fldCharType="end"/>
      </w:r>
    </w:p>
    <w:p>
      <w:pPr>
        <w:pStyle w:val="TOC8"/>
        <w:rPr>
          <w:rFonts w:asciiTheme="minorHAnsi" w:eastAsiaTheme="minorEastAsia" w:hAnsiTheme="minorHAnsi" w:cstheme="minorBidi"/>
          <w:szCs w:val="22"/>
        </w:rPr>
      </w:pPr>
      <w:r>
        <w:t>81.</w:t>
      </w:r>
      <w:r>
        <w:tab/>
        <w:t>Order for tenancy against person with superior title</w:t>
      </w:r>
      <w:r>
        <w:tab/>
      </w:r>
      <w:r>
        <w:fldChar w:fldCharType="begin"/>
      </w:r>
      <w:r>
        <w:instrText xml:space="preserve"> PAGEREF _Toc468698322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Part VIA — Residential tenancy databases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82A.</w:t>
      </w:r>
      <w:r>
        <w:tab/>
        <w:t>Terms used</w:t>
      </w:r>
      <w:r>
        <w:tab/>
      </w:r>
      <w:r>
        <w:fldChar w:fldCharType="begin"/>
      </w:r>
      <w:r>
        <w:instrText xml:space="preserve"> PAGEREF _Toc468698325 \h </w:instrText>
      </w:r>
      <w:r>
        <w:fldChar w:fldCharType="separate"/>
      </w:r>
      <w:r>
        <w:t>98</w:t>
      </w:r>
      <w:r>
        <w:fldChar w:fldCharType="end"/>
      </w:r>
    </w:p>
    <w:p>
      <w:pPr>
        <w:pStyle w:val="TOC8"/>
        <w:rPr>
          <w:rFonts w:asciiTheme="minorHAnsi" w:eastAsiaTheme="minorEastAsia" w:hAnsiTheme="minorHAnsi" w:cstheme="minorBidi"/>
          <w:szCs w:val="22"/>
        </w:rPr>
      </w:pPr>
      <w:r>
        <w:t>82B.</w:t>
      </w:r>
      <w:r>
        <w:tab/>
        <w:t>Application of Part</w:t>
      </w:r>
      <w:r>
        <w:tab/>
      </w:r>
      <w:r>
        <w:fldChar w:fldCharType="begin"/>
      </w:r>
      <w:r>
        <w:instrText xml:space="preserve"> PAGEREF _Toc468698326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Tenancy database information</w:t>
      </w:r>
    </w:p>
    <w:p>
      <w:pPr>
        <w:pStyle w:val="TOC8"/>
        <w:rPr>
          <w:rFonts w:asciiTheme="minorHAnsi" w:eastAsiaTheme="minorEastAsia" w:hAnsiTheme="minorHAnsi" w:cstheme="minorBidi"/>
          <w:szCs w:val="22"/>
        </w:rPr>
      </w:pPr>
      <w:r>
        <w:t>82C.</w:t>
      </w:r>
      <w:r>
        <w:tab/>
        <w:t>Notice of usual use of database</w:t>
      </w:r>
      <w:r>
        <w:tab/>
      </w:r>
      <w:r>
        <w:fldChar w:fldCharType="begin"/>
      </w:r>
      <w:r>
        <w:instrText xml:space="preserve"> PAGEREF _Toc468698328 \h </w:instrText>
      </w:r>
      <w:r>
        <w:fldChar w:fldCharType="separate"/>
      </w:r>
      <w:r>
        <w:t>100</w:t>
      </w:r>
      <w:r>
        <w:fldChar w:fldCharType="end"/>
      </w:r>
    </w:p>
    <w:p>
      <w:pPr>
        <w:pStyle w:val="TOC8"/>
        <w:rPr>
          <w:rFonts w:asciiTheme="minorHAnsi" w:eastAsiaTheme="minorEastAsia" w:hAnsiTheme="minorHAnsi" w:cstheme="minorBidi"/>
          <w:szCs w:val="22"/>
        </w:rPr>
      </w:pPr>
      <w:r>
        <w:t>82D.</w:t>
      </w:r>
      <w:r>
        <w:tab/>
        <w:t>Notice of listing if database used</w:t>
      </w:r>
      <w:r>
        <w:tab/>
      </w:r>
      <w:r>
        <w:fldChar w:fldCharType="begin"/>
      </w:r>
      <w:r>
        <w:instrText xml:space="preserve"> PAGEREF _Toc468698329 \h </w:instrText>
      </w:r>
      <w:r>
        <w:fldChar w:fldCharType="separate"/>
      </w:r>
      <w:r>
        <w:t>101</w:t>
      </w:r>
      <w:r>
        <w:fldChar w:fldCharType="end"/>
      </w:r>
    </w:p>
    <w:p>
      <w:pPr>
        <w:pStyle w:val="TOC8"/>
        <w:rPr>
          <w:rFonts w:asciiTheme="minorHAnsi" w:eastAsiaTheme="minorEastAsia" w:hAnsiTheme="minorHAnsi" w:cstheme="minorBidi"/>
          <w:szCs w:val="22"/>
        </w:rPr>
      </w:pPr>
      <w:r>
        <w:t>82E.</w:t>
      </w:r>
      <w:r>
        <w:tab/>
        <w:t>Listing can be made only for particular breaches by particular persons</w:t>
      </w:r>
      <w:r>
        <w:tab/>
      </w:r>
      <w:r>
        <w:fldChar w:fldCharType="begin"/>
      </w:r>
      <w:r>
        <w:instrText xml:space="preserve"> PAGEREF _Toc468698330 \h </w:instrText>
      </w:r>
      <w:r>
        <w:fldChar w:fldCharType="separate"/>
      </w:r>
      <w:r>
        <w:t>102</w:t>
      </w:r>
      <w:r>
        <w:fldChar w:fldCharType="end"/>
      </w:r>
    </w:p>
    <w:p>
      <w:pPr>
        <w:pStyle w:val="TOC8"/>
        <w:rPr>
          <w:rFonts w:asciiTheme="minorHAnsi" w:eastAsiaTheme="minorEastAsia" w:hAnsiTheme="minorHAnsi" w:cstheme="minorBidi"/>
          <w:szCs w:val="22"/>
        </w:rPr>
      </w:pPr>
      <w:r>
        <w:t>82F.</w:t>
      </w:r>
      <w:r>
        <w:tab/>
        <w:t>Further restriction on listing</w:t>
      </w:r>
      <w:r>
        <w:tab/>
      </w:r>
      <w:r>
        <w:fldChar w:fldCharType="begin"/>
      </w:r>
      <w:r>
        <w:instrText xml:space="preserve"> PAGEREF _Toc468698331 \h </w:instrText>
      </w:r>
      <w:r>
        <w:fldChar w:fldCharType="separate"/>
      </w:r>
      <w:r>
        <w:t>103</w:t>
      </w:r>
      <w:r>
        <w:fldChar w:fldCharType="end"/>
      </w:r>
    </w:p>
    <w:p>
      <w:pPr>
        <w:pStyle w:val="TOC8"/>
        <w:rPr>
          <w:rFonts w:asciiTheme="minorHAnsi" w:eastAsiaTheme="minorEastAsia" w:hAnsiTheme="minorHAnsi" w:cstheme="minorBidi"/>
          <w:szCs w:val="22"/>
        </w:rPr>
      </w:pPr>
      <w:r>
        <w:t>82G.</w:t>
      </w:r>
      <w:r>
        <w:tab/>
        <w:t>Ensuring quality of listing — lessor’s or agent’s obligation</w:t>
      </w:r>
      <w:r>
        <w:tab/>
      </w:r>
      <w:r>
        <w:fldChar w:fldCharType="begin"/>
      </w:r>
      <w:r>
        <w:instrText xml:space="preserve"> PAGEREF _Toc468698332 \h </w:instrText>
      </w:r>
      <w:r>
        <w:fldChar w:fldCharType="separate"/>
      </w:r>
      <w:r>
        <w:t>104</w:t>
      </w:r>
      <w:r>
        <w:fldChar w:fldCharType="end"/>
      </w:r>
    </w:p>
    <w:p>
      <w:pPr>
        <w:pStyle w:val="TOC8"/>
        <w:rPr>
          <w:rFonts w:asciiTheme="minorHAnsi" w:eastAsiaTheme="minorEastAsia" w:hAnsiTheme="minorHAnsi" w:cstheme="minorBidi"/>
          <w:szCs w:val="22"/>
        </w:rPr>
      </w:pPr>
      <w:r>
        <w:t>82H.</w:t>
      </w:r>
      <w:r>
        <w:tab/>
        <w:t>Ensuring quality of listing — database operator’s obligation</w:t>
      </w:r>
      <w:r>
        <w:tab/>
      </w:r>
      <w:r>
        <w:fldChar w:fldCharType="begin"/>
      </w:r>
      <w:r>
        <w:instrText xml:space="preserve"> PAGEREF _Toc468698333 \h </w:instrText>
      </w:r>
      <w:r>
        <w:fldChar w:fldCharType="separate"/>
      </w:r>
      <w:r>
        <w:t>104</w:t>
      </w:r>
      <w:r>
        <w:fldChar w:fldCharType="end"/>
      </w:r>
    </w:p>
    <w:p>
      <w:pPr>
        <w:pStyle w:val="TOC8"/>
        <w:rPr>
          <w:rFonts w:asciiTheme="minorHAnsi" w:eastAsiaTheme="minorEastAsia" w:hAnsiTheme="minorHAnsi" w:cstheme="minorBidi"/>
          <w:szCs w:val="22"/>
        </w:rPr>
      </w:pPr>
      <w:r>
        <w:t>82I.</w:t>
      </w:r>
      <w:r>
        <w:tab/>
        <w:t>Providing copy of personal information listed</w:t>
      </w:r>
      <w:r>
        <w:tab/>
      </w:r>
      <w:r>
        <w:fldChar w:fldCharType="begin"/>
      </w:r>
      <w:r>
        <w:instrText xml:space="preserve"> PAGEREF _Toc468698334 \h </w:instrText>
      </w:r>
      <w:r>
        <w:fldChar w:fldCharType="separate"/>
      </w:r>
      <w:r>
        <w:t>105</w:t>
      </w:r>
      <w:r>
        <w:fldChar w:fldCharType="end"/>
      </w:r>
    </w:p>
    <w:p>
      <w:pPr>
        <w:pStyle w:val="TOC8"/>
        <w:rPr>
          <w:rFonts w:asciiTheme="minorHAnsi" w:eastAsiaTheme="minorEastAsia" w:hAnsiTheme="minorHAnsi" w:cstheme="minorBidi"/>
          <w:szCs w:val="22"/>
        </w:rPr>
      </w:pPr>
      <w:r>
        <w:t>82J.</w:t>
      </w:r>
      <w:r>
        <w:tab/>
        <w:t>Disputes about listings</w:t>
      </w:r>
      <w:r>
        <w:tab/>
      </w:r>
      <w:r>
        <w:fldChar w:fldCharType="begin"/>
      </w:r>
      <w:r>
        <w:instrText xml:space="preserve"> PAGEREF _Toc468698335 \h </w:instrText>
      </w:r>
      <w:r>
        <w:fldChar w:fldCharType="separate"/>
      </w:r>
      <w:r>
        <w:t>105</w:t>
      </w:r>
      <w:r>
        <w:fldChar w:fldCharType="end"/>
      </w:r>
    </w:p>
    <w:p>
      <w:pPr>
        <w:pStyle w:val="TOC8"/>
        <w:rPr>
          <w:rFonts w:asciiTheme="minorHAnsi" w:eastAsiaTheme="minorEastAsia" w:hAnsiTheme="minorHAnsi" w:cstheme="minorBidi"/>
          <w:szCs w:val="22"/>
        </w:rPr>
      </w:pPr>
      <w:r>
        <w:t>82K.</w:t>
      </w:r>
      <w:r>
        <w:tab/>
        <w:t>Keeping personal information listed</w:t>
      </w:r>
      <w:r>
        <w:tab/>
      </w:r>
      <w:r>
        <w:fldChar w:fldCharType="begin"/>
      </w:r>
      <w:r>
        <w:instrText xml:space="preserve"> PAGEREF _Toc468698336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Contracting out</w:t>
      </w:r>
      <w:r>
        <w:tab/>
      </w:r>
      <w:r>
        <w:fldChar w:fldCharType="begin"/>
      </w:r>
      <w:r>
        <w:instrText xml:space="preserve"> PAGEREF _Toc468698338 \h </w:instrText>
      </w:r>
      <w:r>
        <w:fldChar w:fldCharType="separate"/>
      </w:r>
      <w:r>
        <w:t>108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Recovery of amounts paid under mistake of law or fact</w:t>
      </w:r>
      <w:r>
        <w:tab/>
      </w:r>
      <w:r>
        <w:fldChar w:fldCharType="begin"/>
      </w:r>
      <w:r>
        <w:instrText xml:space="preserve"> PAGEREF _Toc468698339 \h </w:instrText>
      </w:r>
      <w:r>
        <w:fldChar w:fldCharType="separate"/>
      </w:r>
      <w:r>
        <w:t>108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Exemption of tenancy agreement or premises from provision of Act</w:t>
      </w:r>
      <w:r>
        <w:tab/>
      </w:r>
      <w:r>
        <w:fldChar w:fldCharType="begin"/>
      </w:r>
      <w:r>
        <w:instrText xml:space="preserve"> PAGEREF _Toc468698340 \h </w:instrText>
      </w:r>
      <w:r>
        <w:fldChar w:fldCharType="separate"/>
      </w:r>
      <w:r>
        <w:t>108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Service</w:t>
      </w:r>
      <w:r>
        <w:tab/>
      </w:r>
      <w:r>
        <w:fldChar w:fldCharType="begin"/>
      </w:r>
      <w:r>
        <w:instrText xml:space="preserve"> PAGEREF _Toc468698341 \h </w:instrText>
      </w:r>
      <w:r>
        <w:fldChar w:fldCharType="separate"/>
      </w:r>
      <w:r>
        <w:t>109</w:t>
      </w:r>
      <w:r>
        <w:fldChar w:fldCharType="end"/>
      </w:r>
    </w:p>
    <w:p>
      <w:pPr>
        <w:pStyle w:val="TOC8"/>
        <w:rPr>
          <w:rFonts w:asciiTheme="minorHAnsi" w:eastAsiaTheme="minorEastAsia" w:hAnsiTheme="minorHAnsi" w:cstheme="minorBidi"/>
          <w:szCs w:val="22"/>
        </w:rPr>
      </w:pPr>
      <w:r>
        <w:t>86.</w:t>
      </w:r>
      <w:r>
        <w:tab/>
        <w:t>Court may refer matter to Commissioner for investigation</w:t>
      </w:r>
      <w:r>
        <w:tab/>
      </w:r>
      <w:r>
        <w:fldChar w:fldCharType="begin"/>
      </w:r>
      <w:r>
        <w:instrText xml:space="preserve"> PAGEREF _Toc468698342 \h </w:instrText>
      </w:r>
      <w:r>
        <w:fldChar w:fldCharType="separate"/>
      </w:r>
      <w:r>
        <w:t>110</w:t>
      </w:r>
      <w:r>
        <w:fldChar w:fldCharType="end"/>
      </w:r>
    </w:p>
    <w:p>
      <w:pPr>
        <w:pStyle w:val="TOC8"/>
        <w:rPr>
          <w:rFonts w:asciiTheme="minorHAnsi" w:eastAsiaTheme="minorEastAsia" w:hAnsiTheme="minorHAnsi" w:cstheme="minorBidi"/>
          <w:szCs w:val="22"/>
        </w:rPr>
      </w:pPr>
      <w:r>
        <w:t>87A.</w:t>
      </w:r>
      <w:r>
        <w:tab/>
        <w:t>Defence where lessor and property manager are both charged with the same offence</w:t>
      </w:r>
      <w:r>
        <w:tab/>
      </w:r>
      <w:r>
        <w:fldChar w:fldCharType="begin"/>
      </w:r>
      <w:r>
        <w:instrText xml:space="preserve"> PAGEREF _Toc468698343 \h </w:instrText>
      </w:r>
      <w:r>
        <w:fldChar w:fldCharType="separate"/>
      </w:r>
      <w:r>
        <w:t>111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for bringing proceedings</w:t>
      </w:r>
      <w:r>
        <w:tab/>
      </w:r>
      <w:r>
        <w:fldChar w:fldCharType="begin"/>
      </w:r>
      <w:r>
        <w:instrText xml:space="preserve"> PAGEREF _Toc468698344 \h </w:instrText>
      </w:r>
      <w:r>
        <w:fldChar w:fldCharType="separate"/>
      </w:r>
      <w:r>
        <w:t>111</w:t>
      </w:r>
      <w:r>
        <w:fldChar w:fldCharType="end"/>
      </w:r>
    </w:p>
    <w:p>
      <w:pPr>
        <w:pStyle w:val="TOC8"/>
        <w:rPr>
          <w:rFonts w:asciiTheme="minorHAnsi" w:eastAsiaTheme="minorEastAsia" w:hAnsiTheme="minorHAnsi" w:cstheme="minorBidi"/>
          <w:szCs w:val="22"/>
        </w:rPr>
      </w:pPr>
      <w:r>
        <w:t>88A.</w:t>
      </w:r>
      <w:r>
        <w:tab/>
        <w:t>Infringement notices</w:t>
      </w:r>
      <w:r>
        <w:tab/>
      </w:r>
      <w:r>
        <w:fldChar w:fldCharType="begin"/>
      </w:r>
      <w:r>
        <w:instrText xml:space="preserve"> PAGEREF _Toc468698345 \h </w:instrText>
      </w:r>
      <w:r>
        <w:fldChar w:fldCharType="separate"/>
      </w:r>
      <w:r>
        <w:t>111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Regulations</w:t>
      </w:r>
      <w:r>
        <w:tab/>
      </w:r>
      <w:r>
        <w:fldChar w:fldCharType="begin"/>
      </w:r>
      <w:r>
        <w:instrText xml:space="preserve"> PAGEREF _Toc468698346 \h </w:instrText>
      </w:r>
      <w:r>
        <w:fldChar w:fldCharType="separate"/>
      </w:r>
      <w:r>
        <w:t>113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Review of Act</w:t>
      </w:r>
      <w:r>
        <w:tab/>
      </w:r>
      <w:r>
        <w:fldChar w:fldCharType="begin"/>
      </w:r>
      <w:r>
        <w:instrText xml:space="preserve"> PAGEREF _Toc468698347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VII — Savings and transitional provisions relating to the </w:t>
      </w:r>
      <w:r>
        <w:rPr>
          <w:i/>
        </w:rPr>
        <w:t>Residential Tenancies Amendment Act 2011</w:t>
      </w:r>
    </w:p>
    <w:p>
      <w:pPr>
        <w:pStyle w:val="TOC4"/>
        <w:tabs>
          <w:tab w:val="right" w:leader="dot" w:pos="7077"/>
        </w:tabs>
        <w:rPr>
          <w:rFonts w:asciiTheme="minorHAnsi" w:eastAsiaTheme="minorEastAsia" w:hAnsiTheme="minorHAnsi" w:cstheme="minorBidi"/>
          <w:b w:val="0"/>
          <w:szCs w:val="22"/>
        </w:rPr>
      </w:pPr>
      <w:r>
        <w:t>Division 1 — Contracting out</w:t>
      </w:r>
    </w:p>
    <w:p>
      <w:pPr>
        <w:pStyle w:val="TOC8"/>
        <w:rPr>
          <w:rFonts w:asciiTheme="minorHAnsi" w:eastAsiaTheme="minorEastAsia" w:hAnsiTheme="minorHAnsi" w:cstheme="minorBidi"/>
          <w:szCs w:val="22"/>
        </w:rPr>
      </w:pPr>
      <w:r>
        <w:t>91.</w:t>
      </w:r>
      <w:r>
        <w:tab/>
        <w:t>Savings in relation to contracting out of standard terms</w:t>
      </w:r>
      <w:r>
        <w:tab/>
      </w:r>
      <w:r>
        <w:fldChar w:fldCharType="begin"/>
      </w:r>
      <w:r>
        <w:instrText xml:space="preserve"> PAGEREF _Toc468698350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Security bonds held in AFI</w:t>
      </w:r>
    </w:p>
    <w:p>
      <w:pPr>
        <w:pStyle w:val="TOC8"/>
        <w:rPr>
          <w:rFonts w:asciiTheme="minorHAnsi" w:eastAsiaTheme="minorEastAsia" w:hAnsiTheme="minorHAnsi" w:cstheme="minorBidi"/>
          <w:szCs w:val="22"/>
        </w:rPr>
      </w:pPr>
      <w:r>
        <w:t>92.</w:t>
      </w:r>
      <w:r>
        <w:tab/>
        <w:t>Terms used</w:t>
      </w:r>
      <w:r>
        <w:tab/>
      </w:r>
      <w:r>
        <w:fldChar w:fldCharType="begin"/>
      </w:r>
      <w:r>
        <w:instrText xml:space="preserve"> PAGEREF _Toc468698352 \h </w:instrText>
      </w:r>
      <w:r>
        <w:fldChar w:fldCharType="separate"/>
      </w:r>
      <w:r>
        <w:t>115</w:t>
      </w:r>
      <w:r>
        <w:fldChar w:fldCharType="end"/>
      </w:r>
    </w:p>
    <w:p>
      <w:pPr>
        <w:pStyle w:val="TOC8"/>
        <w:rPr>
          <w:rFonts w:asciiTheme="minorHAnsi" w:eastAsiaTheme="minorEastAsia" w:hAnsiTheme="minorHAnsi" w:cstheme="minorBidi"/>
          <w:szCs w:val="22"/>
        </w:rPr>
      </w:pPr>
      <w:r>
        <w:t>93.</w:t>
      </w:r>
      <w:r>
        <w:tab/>
        <w:t>All security bonds to be transferred to bond administrator after renewal of agreement or within 18 months</w:t>
      </w:r>
      <w:r>
        <w:tab/>
      </w:r>
      <w:r>
        <w:fldChar w:fldCharType="begin"/>
      </w:r>
      <w:r>
        <w:instrText xml:space="preserve"> PAGEREF _Toc468698353 \h </w:instrText>
      </w:r>
      <w:r>
        <w:fldChar w:fldCharType="separate"/>
      </w:r>
      <w:r>
        <w:t>116</w:t>
      </w:r>
      <w:r>
        <w:fldChar w:fldCharType="end"/>
      </w:r>
    </w:p>
    <w:p>
      <w:pPr>
        <w:pStyle w:val="TOC8"/>
        <w:rPr>
          <w:rFonts w:asciiTheme="minorHAnsi" w:eastAsiaTheme="minorEastAsia" w:hAnsiTheme="minorHAnsi" w:cstheme="minorBidi"/>
          <w:szCs w:val="22"/>
        </w:rPr>
      </w:pPr>
      <w:r>
        <w:t>94.</w:t>
      </w:r>
      <w:r>
        <w:tab/>
        <w:t>Requirements for AFI holding security bonds</w:t>
      </w:r>
      <w:r>
        <w:tab/>
      </w:r>
      <w:r>
        <w:fldChar w:fldCharType="begin"/>
      </w:r>
      <w:r>
        <w:instrText xml:space="preserve"> PAGEREF _Toc468698354 \h </w:instrText>
      </w:r>
      <w:r>
        <w:fldChar w:fldCharType="separate"/>
      </w:r>
      <w:r>
        <w:t>117</w:t>
      </w:r>
      <w:r>
        <w:fldChar w:fldCharType="end"/>
      </w:r>
    </w:p>
    <w:p>
      <w:pPr>
        <w:pStyle w:val="TOC8"/>
        <w:rPr>
          <w:rFonts w:asciiTheme="minorHAnsi" w:eastAsiaTheme="minorEastAsia" w:hAnsiTheme="minorHAnsi" w:cstheme="minorBidi"/>
          <w:szCs w:val="22"/>
        </w:rPr>
      </w:pPr>
      <w:r>
        <w:t>95.</w:t>
      </w:r>
      <w:r>
        <w:tab/>
        <w:t>Power of Commissioner to obtain information relating to AFI security bond accounts</w:t>
      </w:r>
      <w:r>
        <w:tab/>
      </w:r>
      <w:r>
        <w:fldChar w:fldCharType="begin"/>
      </w:r>
      <w:r>
        <w:instrText xml:space="preserve"> PAGEREF _Toc468698355 \h </w:instrText>
      </w:r>
      <w:r>
        <w:fldChar w:fldCharType="separate"/>
      </w:r>
      <w:r>
        <w:t>118</w:t>
      </w:r>
      <w:r>
        <w:fldChar w:fldCharType="end"/>
      </w:r>
    </w:p>
    <w:p>
      <w:pPr>
        <w:pStyle w:val="TOC8"/>
        <w:rPr>
          <w:rFonts w:asciiTheme="minorHAnsi" w:eastAsiaTheme="minorEastAsia" w:hAnsiTheme="minorHAnsi" w:cstheme="minorBidi"/>
          <w:szCs w:val="22"/>
        </w:rPr>
      </w:pPr>
      <w:r>
        <w:t>96.</w:t>
      </w:r>
      <w:r>
        <w:tab/>
        <w:t>Disposal of security bond held in AFIs</w:t>
      </w:r>
      <w:r>
        <w:tab/>
      </w:r>
      <w:r>
        <w:fldChar w:fldCharType="begin"/>
      </w:r>
      <w:r>
        <w:instrText xml:space="preserve"> PAGEREF _Toc468698356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Residential tenancy databases</w:t>
      </w:r>
    </w:p>
    <w:p>
      <w:pPr>
        <w:pStyle w:val="TOC8"/>
        <w:rPr>
          <w:rFonts w:asciiTheme="minorHAnsi" w:eastAsiaTheme="minorEastAsia" w:hAnsiTheme="minorHAnsi" w:cstheme="minorBidi"/>
          <w:szCs w:val="22"/>
        </w:rPr>
      </w:pPr>
      <w:r>
        <w:t>97.</w:t>
      </w:r>
      <w:r>
        <w:tab/>
        <w:t>Application of Part VIA to listings existing before commencement day</w:t>
      </w:r>
      <w:r>
        <w:tab/>
      </w:r>
      <w:r>
        <w:fldChar w:fldCharType="begin"/>
      </w:r>
      <w:r>
        <w:instrText xml:space="preserve"> PAGEREF _Toc468698358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Schedule 1 — Provisions relating to holding and disposal of bonds and income from bonds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r>
      <w:r>
        <w:t>Term</w:t>
      </w:r>
      <w:r>
        <w:rPr>
          <w:snapToGrid w:val="0"/>
        </w:rPr>
        <w:t xml:space="preserve"> used: authorised agent</w:t>
      </w:r>
      <w:r>
        <w:tab/>
      </w:r>
      <w:r>
        <w:fldChar w:fldCharType="begin"/>
      </w:r>
      <w:r>
        <w:instrText xml:space="preserve"> PAGEREF _Toc468698361 \h </w:instrText>
      </w:r>
      <w:r>
        <w:fldChar w:fldCharType="separate"/>
      </w:r>
      <w:r>
        <w:t>122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Rental Accommodation Account</w:t>
      </w:r>
      <w:r>
        <w:tab/>
      </w:r>
      <w:r>
        <w:fldChar w:fldCharType="begin"/>
      </w:r>
      <w:r>
        <w:instrText xml:space="preserve"> PAGEREF _Toc468698362 \h </w:instrText>
      </w:r>
      <w:r>
        <w:fldChar w:fldCharType="separate"/>
      </w:r>
      <w:r>
        <w:t>122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Duties of bond administrator</w:t>
      </w:r>
      <w:r>
        <w:tab/>
      </w:r>
      <w:r>
        <w:fldChar w:fldCharType="begin"/>
      </w:r>
      <w:r>
        <w:instrText xml:space="preserve"> PAGEREF _Toc468698363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5A.</w:t>
      </w:r>
      <w:r>
        <w:tab/>
        <w:t>Security bond moneys to be paid to bond administrator</w:t>
      </w:r>
      <w:r>
        <w:tab/>
      </w:r>
      <w:r>
        <w:fldChar w:fldCharType="begin"/>
      </w:r>
      <w:r>
        <w:instrText xml:space="preserve"> PAGEREF _Toc468698365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Disposal of </w:t>
      </w:r>
      <w:r>
        <w:t>security</w:t>
      </w:r>
      <w:r>
        <w:rPr>
          <w:snapToGrid w:val="0"/>
        </w:rPr>
        <w:t xml:space="preserve"> bond by bond administrator</w:t>
      </w:r>
      <w:r>
        <w:tab/>
      </w:r>
      <w:r>
        <w:fldChar w:fldCharType="begin"/>
      </w:r>
      <w:r>
        <w:instrText xml:space="preserve"> PAGEREF _Toc468698366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r>
      <w:r>
        <w:t>Court</w:t>
      </w:r>
      <w:r>
        <w:rPr>
          <w:snapToGrid w:val="0"/>
        </w:rPr>
        <w:t xml:space="preserve"> may determine disposal of security bond</w:t>
      </w:r>
      <w:r>
        <w:tab/>
      </w:r>
      <w:r>
        <w:fldChar w:fldCharType="begin"/>
      </w:r>
      <w:r>
        <w:instrText xml:space="preserve"> PAGEREF _Toc468698367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3 — Tenant compensation bonds</w:t>
      </w:r>
    </w:p>
    <w:p>
      <w:pPr>
        <w:pStyle w:val="TOC8"/>
        <w:rPr>
          <w:rFonts w:asciiTheme="minorHAnsi" w:eastAsiaTheme="minorEastAsia" w:hAnsiTheme="minorHAnsi" w:cstheme="minorBidi"/>
          <w:szCs w:val="22"/>
        </w:rPr>
      </w:pPr>
      <w:r>
        <w:t>9.</w:t>
      </w:r>
      <w:r>
        <w:tab/>
        <w:t>Application of Division</w:t>
      </w:r>
      <w:r>
        <w:tab/>
      </w:r>
      <w:r>
        <w:fldChar w:fldCharType="begin"/>
      </w:r>
      <w:r>
        <w:instrText xml:space="preserve"> PAGEREF _Toc468698369 \h </w:instrText>
      </w:r>
      <w:r>
        <w:fldChar w:fldCharType="separate"/>
      </w:r>
      <w:r>
        <w:t>128</w:t>
      </w:r>
      <w:r>
        <w:fldChar w:fldCharType="end"/>
      </w:r>
    </w:p>
    <w:p>
      <w:pPr>
        <w:pStyle w:val="TOC8"/>
        <w:rPr>
          <w:rFonts w:asciiTheme="minorHAnsi" w:eastAsiaTheme="minorEastAsia" w:hAnsiTheme="minorHAnsi" w:cstheme="minorBidi"/>
          <w:szCs w:val="22"/>
        </w:rPr>
      </w:pPr>
      <w:r>
        <w:t>10.</w:t>
      </w:r>
      <w:r>
        <w:tab/>
        <w:t>Disposal of tenant compensation bond to tenant by bond administrator</w:t>
      </w:r>
      <w:r>
        <w:tab/>
      </w:r>
      <w:r>
        <w:fldChar w:fldCharType="begin"/>
      </w:r>
      <w:r>
        <w:instrText xml:space="preserve"> PAGEREF _Toc468698370 \h </w:instrText>
      </w:r>
      <w:r>
        <w:fldChar w:fldCharType="separate"/>
      </w:r>
      <w:r>
        <w:t>128</w:t>
      </w:r>
      <w:r>
        <w:fldChar w:fldCharType="end"/>
      </w:r>
    </w:p>
    <w:p>
      <w:pPr>
        <w:pStyle w:val="TOC8"/>
        <w:rPr>
          <w:rFonts w:asciiTheme="minorHAnsi" w:eastAsiaTheme="minorEastAsia" w:hAnsiTheme="minorHAnsi" w:cstheme="minorBidi"/>
          <w:szCs w:val="22"/>
        </w:rPr>
      </w:pPr>
      <w:r>
        <w:t>11.</w:t>
      </w:r>
      <w:r>
        <w:tab/>
        <w:t>Disposal of tenant compensation bond to lessor by bond administrator</w:t>
      </w:r>
      <w:r>
        <w:tab/>
      </w:r>
      <w:r>
        <w:fldChar w:fldCharType="begin"/>
      </w:r>
      <w:r>
        <w:instrText xml:space="preserve"> PAGEREF _Toc468698371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_Toc468698373 \h </w:instrText>
      </w:r>
      <w:r>
        <w:fldChar w:fldCharType="separate"/>
      </w:r>
      <w:r>
        <w:t>130</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_Toc468698374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3" w:name="_Toc411611561"/>
      <w:bookmarkStart w:id="4" w:name="_Toc425252852"/>
      <w:bookmarkStart w:id="5" w:name="_Toc435028941"/>
      <w:bookmarkStart w:id="6" w:name="_Toc46869818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11611562"/>
      <w:bookmarkStart w:id="8" w:name="_Toc468698187"/>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9" w:name="_Toc411611563"/>
      <w:bookmarkStart w:id="10" w:name="_Toc46869818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11" w:name="_Toc411611564"/>
      <w:bookmarkStart w:id="12" w:name="_Toc468698189"/>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chief executive officer of the Department;</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No. 23 of 2014 s. 87.] </w:t>
      </w:r>
    </w:p>
    <w:p>
      <w:pPr>
        <w:pStyle w:val="Heading5"/>
        <w:rPr>
          <w:snapToGrid w:val="0"/>
        </w:rPr>
      </w:pPr>
      <w:bookmarkStart w:id="13" w:name="_Toc411611565"/>
      <w:bookmarkStart w:id="14" w:name="_Toc468698190"/>
      <w:r>
        <w:rPr>
          <w:rStyle w:val="CharSectno"/>
        </w:rPr>
        <w:t>4</w:t>
      </w:r>
      <w:r>
        <w:rPr>
          <w:snapToGrid w:val="0"/>
        </w:rPr>
        <w:t>.</w:t>
      </w:r>
      <w:r>
        <w:rPr>
          <w:snapToGrid w:val="0"/>
        </w:rPr>
        <w:tab/>
        <w:t>Position of Crown</w:t>
      </w:r>
      <w:bookmarkEnd w:id="13"/>
      <w:bookmarkEnd w:id="14"/>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15" w:name="_Toc411611566"/>
      <w:bookmarkStart w:id="16" w:name="_Toc468698191"/>
      <w:r>
        <w:rPr>
          <w:rStyle w:val="CharSectno"/>
        </w:rPr>
        <w:t>5</w:t>
      </w:r>
      <w:r>
        <w:rPr>
          <w:snapToGrid w:val="0"/>
        </w:rPr>
        <w:t>.</w:t>
      </w:r>
      <w:r>
        <w:rPr>
          <w:snapToGrid w:val="0"/>
        </w:rPr>
        <w:tab/>
        <w:t>Application of Act</w:t>
      </w:r>
      <w:bookmarkEnd w:id="15"/>
      <w:bookmarkEnd w:id="1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17" w:name="_Toc411611567"/>
      <w:bookmarkStart w:id="18" w:name="_Toc468698192"/>
      <w:r>
        <w:rPr>
          <w:rStyle w:val="CharSectno"/>
        </w:rPr>
        <w:t>6</w:t>
      </w:r>
      <w:r>
        <w:rPr>
          <w:snapToGrid w:val="0"/>
        </w:rPr>
        <w:t>.</w:t>
      </w:r>
      <w:r>
        <w:rPr>
          <w:snapToGrid w:val="0"/>
        </w:rPr>
        <w:tab/>
        <w:t>Modification of application of Act by regulation</w:t>
      </w:r>
      <w:bookmarkEnd w:id="17"/>
      <w:bookmarkEnd w:id="18"/>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19" w:name="_Toc411611568"/>
      <w:bookmarkStart w:id="20" w:name="_Toc468698193"/>
      <w:r>
        <w:rPr>
          <w:rStyle w:val="CharSectno"/>
        </w:rPr>
        <w:t>7</w:t>
      </w:r>
      <w:r>
        <w:rPr>
          <w:snapToGrid w:val="0"/>
        </w:rPr>
        <w:t>.</w:t>
      </w:r>
      <w:r>
        <w:rPr>
          <w:snapToGrid w:val="0"/>
        </w:rPr>
        <w:tab/>
      </w:r>
      <w:r>
        <w:rPr>
          <w:bCs/>
        </w:rPr>
        <w:t>Transitional provisions relating to commencement of this Act</w:t>
      </w:r>
      <w:bookmarkEnd w:id="19"/>
      <w:bookmarkEnd w:id="20"/>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rPr>
          <w:snapToGrid w:val="0"/>
        </w:rPr>
      </w:pPr>
      <w:r>
        <w:rPr>
          <w:snapToGrid w:val="0"/>
        </w:rPr>
        <w:tab/>
      </w:r>
      <w:r>
        <w:rPr>
          <w:snapToGrid w:val="0"/>
        </w:rPr>
        <w:tab/>
        <w:t xml:space="preserve">this Act shall, subject to any other provision of this Act, apply to the </w:t>
      </w:r>
      <w:r>
        <w:t>agreement</w:t>
      </w:r>
      <w:r>
        <w:rPr>
          <w:snapToGrid w:val="0"/>
        </w:rPr>
        <w:t xml:space="preserve"> on and from the first day after such commencement on which rent is payable under the agreement.</w:t>
      </w:r>
    </w:p>
    <w:p>
      <w:pPr>
        <w:pStyle w:val="Subsection"/>
        <w:rPr>
          <w:snapToGrid w:val="0"/>
        </w:rPr>
      </w:pPr>
      <w:r>
        <w:rPr>
          <w:snapToGrid w:val="0"/>
        </w:rPr>
        <w:tab/>
        <w:t>(2)</w:t>
      </w:r>
      <w:r>
        <w:rPr>
          <w:snapToGrid w:val="0"/>
        </w:rPr>
        <w:tab/>
        <w:t xml:space="preserve">Where this Act </w:t>
      </w:r>
      <w:r>
        <w:t>applies</w:t>
      </w:r>
      <w:r>
        <w:rPr>
          <w:snapToGrid w:val="0"/>
        </w:rPr>
        <w:t xml:space="preserve">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rPr>
      </w:pPr>
      <w:r>
        <w:rPr>
          <w:snapToGrid w:val="0"/>
        </w:rPr>
        <w:tab/>
        <w:t>(c)</w:t>
      </w:r>
      <w:r>
        <w:rPr>
          <w:snapToGrid w:val="0"/>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21" w:name="_Toc411611569"/>
      <w:bookmarkStart w:id="22" w:name="_Toc425252860"/>
      <w:bookmarkStart w:id="23" w:name="_Toc435028949"/>
      <w:bookmarkStart w:id="24" w:name="_Toc468698194"/>
      <w:r>
        <w:rPr>
          <w:rStyle w:val="CharPartNo"/>
        </w:rPr>
        <w:t>Part II</w:t>
      </w:r>
      <w:r>
        <w:rPr>
          <w:rStyle w:val="CharDivNo"/>
        </w:rPr>
        <w:t> </w:t>
      </w:r>
      <w:r>
        <w:t>—</w:t>
      </w:r>
      <w:r>
        <w:rPr>
          <w:rStyle w:val="CharDivText"/>
        </w:rPr>
        <w:t> </w:t>
      </w:r>
      <w:r>
        <w:rPr>
          <w:rStyle w:val="CharPartText"/>
        </w:rPr>
        <w:t>Administration</w:t>
      </w:r>
      <w:bookmarkEnd w:id="21"/>
      <w:bookmarkEnd w:id="22"/>
      <w:bookmarkEnd w:id="23"/>
      <w:bookmarkEnd w:id="24"/>
    </w:p>
    <w:p>
      <w:pPr>
        <w:pStyle w:val="Heading5"/>
      </w:pPr>
      <w:bookmarkStart w:id="25" w:name="_Toc411611570"/>
      <w:bookmarkStart w:id="26" w:name="_Toc468698195"/>
      <w:r>
        <w:rPr>
          <w:rStyle w:val="CharSectno"/>
        </w:rPr>
        <w:t>7A</w:t>
      </w:r>
      <w:r>
        <w:t>.</w:t>
      </w:r>
      <w:r>
        <w:tab/>
        <w:t>Commissioner</w:t>
      </w:r>
      <w:bookmarkEnd w:id="25"/>
      <w:bookmarkEnd w:id="2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27" w:name="_Toc411611571"/>
      <w:bookmarkStart w:id="28" w:name="_Toc468698196"/>
      <w:r>
        <w:rPr>
          <w:rStyle w:val="CharSectno"/>
        </w:rPr>
        <w:t>8</w:t>
      </w:r>
      <w:r>
        <w:rPr>
          <w:snapToGrid w:val="0"/>
        </w:rPr>
        <w:t>.</w:t>
      </w:r>
      <w:r>
        <w:rPr>
          <w:snapToGrid w:val="0"/>
        </w:rPr>
        <w:tab/>
        <w:t>Functions of Commissioner</w:t>
      </w:r>
      <w:bookmarkEnd w:id="27"/>
      <w:bookmarkEnd w:id="28"/>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29" w:name="_Toc411611572"/>
      <w:bookmarkStart w:id="30" w:name="_Toc468698197"/>
      <w:r>
        <w:rPr>
          <w:rStyle w:val="CharSectno"/>
        </w:rPr>
        <w:t>9</w:t>
      </w:r>
      <w:r>
        <w:rPr>
          <w:snapToGrid w:val="0"/>
        </w:rPr>
        <w:t>.</w:t>
      </w:r>
      <w:r>
        <w:rPr>
          <w:snapToGrid w:val="0"/>
        </w:rPr>
        <w:tab/>
        <w:t>Commissioner may institute or defend proceedings for party</w:t>
      </w:r>
      <w:bookmarkEnd w:id="29"/>
      <w:bookmarkEnd w:id="30"/>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relation to a residential tenancy agreement that has terminated unless a complaint is made to </w:t>
      </w:r>
      <w:r>
        <w:t>the Commissioner</w:t>
      </w:r>
      <w:r>
        <w:rPr>
          <w:snapToGrid w:val="0"/>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31" w:name="_Toc411611573"/>
      <w:bookmarkStart w:id="32" w:name="_Toc468698198"/>
      <w:r>
        <w:rPr>
          <w:rStyle w:val="CharSectno"/>
        </w:rPr>
        <w:t>10</w:t>
      </w:r>
      <w:r>
        <w:rPr>
          <w:snapToGrid w:val="0"/>
        </w:rPr>
        <w:t>.</w:t>
      </w:r>
      <w:r>
        <w:rPr>
          <w:snapToGrid w:val="0"/>
        </w:rPr>
        <w:tab/>
        <w:t>Delegation by Commissioner</w:t>
      </w:r>
      <w:bookmarkEnd w:id="31"/>
      <w:bookmarkEnd w:id="32"/>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r>
        <w:tab/>
        <w:t xml:space="preserve">[Section 10 amended by No. 60 of 2011 s. 9.] </w:t>
      </w:r>
    </w:p>
    <w:p>
      <w:pPr>
        <w:pStyle w:val="Heading5"/>
        <w:rPr>
          <w:snapToGrid w:val="0"/>
        </w:rPr>
      </w:pPr>
      <w:bookmarkStart w:id="33" w:name="_Toc411611574"/>
      <w:bookmarkStart w:id="34" w:name="_Toc468698199"/>
      <w:r>
        <w:rPr>
          <w:rStyle w:val="CharSectno"/>
        </w:rPr>
        <w:t>11</w:t>
      </w:r>
      <w:r>
        <w:rPr>
          <w:snapToGrid w:val="0"/>
        </w:rPr>
        <w:t>.</w:t>
      </w:r>
      <w:r>
        <w:rPr>
          <w:snapToGrid w:val="0"/>
        </w:rPr>
        <w:tab/>
        <w:t>Protection of officers</w:t>
      </w:r>
      <w:bookmarkEnd w:id="33"/>
      <w:bookmarkEnd w:id="34"/>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35" w:name="_Toc411611575"/>
      <w:bookmarkStart w:id="36" w:name="_Toc468698200"/>
      <w:r>
        <w:rPr>
          <w:rStyle w:val="CharSectno"/>
        </w:rPr>
        <w:t>11A</w:t>
      </w:r>
      <w:r>
        <w:t>.</w:t>
      </w:r>
      <w:r>
        <w:tab/>
        <w:t>Information officially obtained to be confidential</w:t>
      </w:r>
      <w:bookmarkEnd w:id="35"/>
      <w:bookmarkEnd w:id="36"/>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11A inserted by No. 28 of 2006 s. 136; amended by No. 60 of 2011 s. 10.]</w:t>
      </w:r>
    </w:p>
    <w:p>
      <w:pPr>
        <w:pStyle w:val="Heading5"/>
      </w:pPr>
      <w:bookmarkStart w:id="37" w:name="_Toc411611576"/>
      <w:bookmarkStart w:id="38" w:name="_Toc468698201"/>
      <w:r>
        <w:rPr>
          <w:rStyle w:val="CharSectno"/>
        </w:rPr>
        <w:t>11B</w:t>
      </w:r>
      <w:r>
        <w:t>.</w:t>
      </w:r>
      <w:r>
        <w:tab/>
        <w:t>Powers of investigation</w:t>
      </w:r>
      <w:bookmarkEnd w:id="37"/>
      <w:bookmarkEnd w:id="3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39" w:name="_Toc411611577"/>
      <w:bookmarkStart w:id="40" w:name="_Toc425252868"/>
      <w:bookmarkStart w:id="41" w:name="_Toc435028957"/>
      <w:bookmarkStart w:id="42" w:name="_Toc468698202"/>
      <w:r>
        <w:rPr>
          <w:rStyle w:val="CharPartNo"/>
        </w:rPr>
        <w:t>Part III</w:t>
      </w:r>
      <w:r>
        <w:rPr>
          <w:rStyle w:val="CharDivNo"/>
        </w:rPr>
        <w:t> </w:t>
      </w:r>
      <w:r>
        <w:t>—</w:t>
      </w:r>
      <w:r>
        <w:rPr>
          <w:rStyle w:val="CharDivText"/>
        </w:rPr>
        <w:t> </w:t>
      </w:r>
      <w:r>
        <w:rPr>
          <w:rStyle w:val="CharPartText"/>
        </w:rPr>
        <w:t>Determination of disputes</w:t>
      </w:r>
      <w:bookmarkEnd w:id="39"/>
      <w:bookmarkEnd w:id="40"/>
      <w:bookmarkEnd w:id="41"/>
      <w:bookmarkEnd w:id="42"/>
      <w:r>
        <w:rPr>
          <w:rStyle w:val="CharPartText"/>
        </w:rPr>
        <w:t xml:space="preserve"> </w:t>
      </w:r>
    </w:p>
    <w:p>
      <w:pPr>
        <w:pStyle w:val="Heading5"/>
      </w:pPr>
      <w:bookmarkStart w:id="43" w:name="_Toc411611578"/>
      <w:bookmarkStart w:id="44" w:name="_Toc468698203"/>
      <w:r>
        <w:rPr>
          <w:rStyle w:val="CharSectno"/>
        </w:rPr>
        <w:t>12</w:t>
      </w:r>
      <w:r>
        <w:t>.</w:t>
      </w:r>
      <w:r>
        <w:tab/>
        <w:t>Terms used</w:t>
      </w:r>
      <w:bookmarkEnd w:id="43"/>
      <w:bookmarkEnd w:id="44"/>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45" w:name="_Toc411611579"/>
      <w:bookmarkStart w:id="46" w:name="_Toc468698204"/>
      <w:r>
        <w:rPr>
          <w:rStyle w:val="CharSectno"/>
        </w:rPr>
        <w:t>12A</w:t>
      </w:r>
      <w:r>
        <w:t>.</w:t>
      </w:r>
      <w:r>
        <w:tab/>
      </w:r>
      <w:r>
        <w:rPr>
          <w:snapToGrid w:val="0"/>
        </w:rPr>
        <w:t>Jurisdiction</w:t>
      </w:r>
      <w:r>
        <w:t xml:space="preserve"> over </w:t>
      </w:r>
      <w:r>
        <w:rPr>
          <w:snapToGrid w:val="0"/>
        </w:rPr>
        <w:t>prescribed</w:t>
      </w:r>
      <w:r>
        <w:t xml:space="preserve"> disputes</w:t>
      </w:r>
      <w:bookmarkEnd w:id="45"/>
      <w:bookmarkEnd w:id="46"/>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47" w:name="_Toc411611580"/>
      <w:bookmarkStart w:id="48" w:name="_Toc468698205"/>
      <w:r>
        <w:rPr>
          <w:rStyle w:val="CharSectno"/>
        </w:rPr>
        <w:t>13</w:t>
      </w:r>
      <w:r>
        <w:t>.</w:t>
      </w:r>
      <w:r>
        <w:tab/>
        <w:t>Jurisdiction over other disputes</w:t>
      </w:r>
      <w:bookmarkEnd w:id="47"/>
      <w:bookmarkEnd w:id="48"/>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49" w:name="_Toc411611581"/>
      <w:bookmarkStart w:id="50" w:name="_Toc468698206"/>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49"/>
      <w:bookmarkEnd w:id="50"/>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51" w:name="_Toc411611582"/>
      <w:bookmarkStart w:id="52" w:name="_Toc468698207"/>
      <w:r>
        <w:rPr>
          <w:rStyle w:val="CharSectno"/>
        </w:rPr>
        <w:t>13B</w:t>
      </w:r>
      <w:r>
        <w:t>.</w:t>
      </w:r>
      <w:r>
        <w:tab/>
        <w:t>Appeals from decisions of registrar</w:t>
      </w:r>
      <w:bookmarkEnd w:id="51"/>
      <w:bookmarkEnd w:id="52"/>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53" w:name="_Toc411611583"/>
      <w:bookmarkStart w:id="54" w:name="_Toc468698208"/>
      <w:r>
        <w:rPr>
          <w:rStyle w:val="CharSectno"/>
        </w:rPr>
        <w:t>14</w:t>
      </w:r>
      <w:r>
        <w:rPr>
          <w:snapToGrid w:val="0"/>
        </w:rPr>
        <w:t>.</w:t>
      </w:r>
      <w:r>
        <w:rPr>
          <w:snapToGrid w:val="0"/>
        </w:rPr>
        <w:tab/>
        <w:t>Time for determination of proceedings</w:t>
      </w:r>
      <w:bookmarkEnd w:id="53"/>
      <w:bookmarkEnd w:id="54"/>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55" w:name="_Toc411611584"/>
      <w:bookmarkStart w:id="56" w:name="_Toc468698209"/>
      <w:r>
        <w:rPr>
          <w:rStyle w:val="CharSectno"/>
        </w:rPr>
        <w:t>15</w:t>
      </w:r>
      <w:r>
        <w:rPr>
          <w:snapToGrid w:val="0"/>
        </w:rPr>
        <w:t>.</w:t>
      </w:r>
      <w:r>
        <w:rPr>
          <w:snapToGrid w:val="0"/>
        </w:rPr>
        <w:tab/>
        <w:t>Applications for relief and orders that may be made</w:t>
      </w:r>
      <w:bookmarkEnd w:id="55"/>
      <w:bookmarkEnd w:id="56"/>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 xml:space="preserve">authorise payment of the rent under the agreement into </w:t>
      </w:r>
      <w:r>
        <w:t>the Magistrates Court</w:t>
      </w:r>
      <w:r>
        <w:rPr>
          <w:snapToGrid w:val="0"/>
        </w:rPr>
        <w:t xml:space="preserve">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No. 17 of 2014 s. 5.] </w:t>
      </w:r>
    </w:p>
    <w:p>
      <w:pPr>
        <w:pStyle w:val="Heading5"/>
        <w:rPr>
          <w:snapToGrid w:val="0"/>
        </w:rPr>
      </w:pPr>
      <w:bookmarkStart w:id="57" w:name="_Toc411611585"/>
      <w:bookmarkStart w:id="58" w:name="_Toc468698210"/>
      <w:r>
        <w:rPr>
          <w:rStyle w:val="CharSectno"/>
        </w:rPr>
        <w:t>16</w:t>
      </w:r>
      <w:r>
        <w:rPr>
          <w:snapToGrid w:val="0"/>
        </w:rPr>
        <w:t>.</w:t>
      </w:r>
      <w:r>
        <w:rPr>
          <w:snapToGrid w:val="0"/>
        </w:rPr>
        <w:tab/>
        <w:t>Enforcement</w:t>
      </w:r>
      <w:bookmarkEnd w:id="57"/>
      <w:bookmarkEnd w:id="58"/>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59" w:name="_Toc411611586"/>
      <w:bookmarkStart w:id="60" w:name="_Toc468698211"/>
      <w:r>
        <w:rPr>
          <w:rStyle w:val="CharSectno"/>
        </w:rPr>
        <w:t>17A</w:t>
      </w:r>
      <w:r>
        <w:t>.</w:t>
      </w:r>
      <w:r>
        <w:tab/>
        <w:t>Disputes between tenants</w:t>
      </w:r>
      <w:bookmarkEnd w:id="59"/>
      <w:bookmarkEnd w:id="60"/>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61" w:name="_Toc411611587"/>
      <w:bookmarkStart w:id="62" w:name="_Toc468698212"/>
      <w:r>
        <w:rPr>
          <w:rStyle w:val="CharSectno"/>
        </w:rPr>
        <w:t>17</w:t>
      </w:r>
      <w:r>
        <w:rPr>
          <w:snapToGrid w:val="0"/>
        </w:rPr>
        <w:t>.</w:t>
      </w:r>
      <w:r>
        <w:rPr>
          <w:snapToGrid w:val="0"/>
        </w:rPr>
        <w:tab/>
        <w:t>Application to vary or set aside order</w:t>
      </w:r>
      <w:bookmarkEnd w:id="61"/>
      <w:bookmarkEnd w:id="62"/>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63" w:name="_Toc411611588"/>
      <w:bookmarkStart w:id="64" w:name="_Toc468698213"/>
      <w:r>
        <w:rPr>
          <w:rStyle w:val="CharSectno"/>
        </w:rPr>
        <w:t>18</w:t>
      </w:r>
      <w:r>
        <w:rPr>
          <w:snapToGrid w:val="0"/>
        </w:rPr>
        <w:t>.</w:t>
      </w:r>
      <w:r>
        <w:rPr>
          <w:snapToGrid w:val="0"/>
        </w:rPr>
        <w:tab/>
        <w:t>Form of applications and notice of hearing</w:t>
      </w:r>
      <w:bookmarkEnd w:id="63"/>
      <w:bookmarkEnd w:id="64"/>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rPr>
      </w:pPr>
      <w:r>
        <w:rPr>
          <w:snapToGrid w:val="0"/>
        </w:rPr>
        <w:tab/>
        <w:t>(a)</w:t>
      </w:r>
      <w:r>
        <w:rPr>
          <w:snapToGrid w:val="0"/>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65" w:name="_Toc411611589"/>
      <w:bookmarkStart w:id="66" w:name="_Toc468698214"/>
      <w:r>
        <w:rPr>
          <w:rStyle w:val="CharSectno"/>
        </w:rPr>
        <w:t>19</w:t>
      </w:r>
      <w:r>
        <w:rPr>
          <w:snapToGrid w:val="0"/>
        </w:rPr>
        <w:t>.</w:t>
      </w:r>
      <w:r>
        <w:rPr>
          <w:snapToGrid w:val="0"/>
        </w:rPr>
        <w:tab/>
        <w:t>Witnesses and inspection of documents</w:t>
      </w:r>
      <w:bookmarkEnd w:id="65"/>
      <w:bookmarkEnd w:id="66"/>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67" w:name="_Toc411611590"/>
      <w:bookmarkStart w:id="68" w:name="_Toc468698215"/>
      <w:r>
        <w:rPr>
          <w:rStyle w:val="CharSectno"/>
        </w:rPr>
        <w:t>20</w:t>
      </w:r>
      <w:r>
        <w:rPr>
          <w:snapToGrid w:val="0"/>
        </w:rPr>
        <w:t>.</w:t>
      </w:r>
      <w:r>
        <w:rPr>
          <w:snapToGrid w:val="0"/>
        </w:rPr>
        <w:tab/>
        <w:t>General powers in proceedings</w:t>
      </w:r>
      <w:bookmarkEnd w:id="67"/>
      <w:bookmarkEnd w:id="68"/>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69" w:name="_Toc411611591"/>
      <w:bookmarkStart w:id="70" w:name="_Toc468698216"/>
      <w:r>
        <w:rPr>
          <w:rStyle w:val="CharSectno"/>
        </w:rPr>
        <w:t>21</w:t>
      </w:r>
      <w:r>
        <w:t>.</w:t>
      </w:r>
      <w:r>
        <w:tab/>
        <w:t>Evidence</w:t>
      </w:r>
      <w:bookmarkEnd w:id="69"/>
      <w:bookmarkEnd w:id="70"/>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71" w:name="_Toc411611592"/>
      <w:bookmarkStart w:id="72" w:name="_Toc468698217"/>
      <w:r>
        <w:rPr>
          <w:rStyle w:val="CharSectno"/>
        </w:rPr>
        <w:t>22</w:t>
      </w:r>
      <w:r>
        <w:rPr>
          <w:snapToGrid w:val="0"/>
        </w:rPr>
        <w:t>.</w:t>
      </w:r>
      <w:r>
        <w:rPr>
          <w:snapToGrid w:val="0"/>
        </w:rPr>
        <w:tab/>
        <w:t>Presentation of cases</w:t>
      </w:r>
      <w:bookmarkEnd w:id="71"/>
      <w:bookmarkEnd w:id="72"/>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73" w:name="_Toc411611593"/>
      <w:bookmarkStart w:id="74" w:name="_Toc468698218"/>
      <w:r>
        <w:rPr>
          <w:rStyle w:val="CharSectno"/>
        </w:rPr>
        <w:t>23</w:t>
      </w:r>
      <w:r>
        <w:rPr>
          <w:snapToGrid w:val="0"/>
        </w:rPr>
        <w:t>.</w:t>
      </w:r>
      <w:r>
        <w:rPr>
          <w:snapToGrid w:val="0"/>
        </w:rPr>
        <w:tab/>
        <w:t>Settlement by conciliation</w:t>
      </w:r>
      <w:bookmarkEnd w:id="73"/>
      <w:bookmarkEnd w:id="74"/>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rPr>
      </w:pPr>
      <w:r>
        <w:rPr>
          <w:snapToGrid w:val="0"/>
        </w:rPr>
        <w:tab/>
        <w:t>(a)</w:t>
      </w:r>
      <w:r>
        <w:rPr>
          <w:snapToGrid w:val="0"/>
        </w:rPr>
        <w:tab/>
        <w:t xml:space="preserve">interview the parties in private (either with or without any person who may be representing any of them or assisting any of them in the presentation of </w:t>
      </w:r>
      <w:r>
        <w:t>the party’s</w:t>
      </w:r>
      <w:r>
        <w:rPr>
          <w:snapToGrid w:val="0"/>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75" w:name="_Toc411611594"/>
      <w:bookmarkStart w:id="76" w:name="_Toc468698219"/>
      <w:r>
        <w:rPr>
          <w:rStyle w:val="CharSectno"/>
        </w:rPr>
        <w:t>24</w:t>
      </w:r>
      <w:r>
        <w:rPr>
          <w:snapToGrid w:val="0"/>
        </w:rPr>
        <w:t>.</w:t>
      </w:r>
      <w:r>
        <w:rPr>
          <w:snapToGrid w:val="0"/>
        </w:rPr>
        <w:tab/>
        <w:t>Costs</w:t>
      </w:r>
      <w:bookmarkEnd w:id="75"/>
      <w:bookmarkEnd w:id="7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77" w:name="_Toc411611595"/>
      <w:bookmarkStart w:id="78" w:name="_Toc468698220"/>
      <w:r>
        <w:rPr>
          <w:rStyle w:val="CharSectno"/>
        </w:rPr>
        <w:t>25</w:t>
      </w:r>
      <w:r>
        <w:rPr>
          <w:snapToGrid w:val="0"/>
        </w:rPr>
        <w:t>.</w:t>
      </w:r>
      <w:r>
        <w:rPr>
          <w:snapToGrid w:val="0"/>
        </w:rPr>
        <w:tab/>
        <w:t>Reservation of question of law</w:t>
      </w:r>
      <w:bookmarkEnd w:id="77"/>
      <w:bookmarkEnd w:id="7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79" w:name="_Toc411611596"/>
      <w:bookmarkStart w:id="80" w:name="_Toc468698221"/>
      <w:r>
        <w:rPr>
          <w:rStyle w:val="CharSectno"/>
        </w:rPr>
        <w:t>26</w:t>
      </w:r>
      <w:r>
        <w:rPr>
          <w:snapToGrid w:val="0"/>
        </w:rPr>
        <w:t>.</w:t>
      </w:r>
      <w:r>
        <w:rPr>
          <w:snapToGrid w:val="0"/>
        </w:rPr>
        <w:tab/>
        <w:t>Finality of proceedings</w:t>
      </w:r>
      <w:bookmarkEnd w:id="79"/>
      <w:bookmarkEnd w:id="80"/>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r>
        <w:tab/>
        <w:t xml:space="preserve">[Section 26 amended by No. 50 of 1988 s. 13; No. 59 of 2004 s. 120(3) and 121; No. 69 of 2006 s. 30.] </w:t>
      </w:r>
    </w:p>
    <w:p>
      <w:pPr>
        <w:pStyle w:val="Heading2"/>
      </w:pPr>
      <w:bookmarkStart w:id="81" w:name="_Toc411611597"/>
      <w:bookmarkStart w:id="82" w:name="_Toc425252888"/>
      <w:bookmarkStart w:id="83" w:name="_Toc435028977"/>
      <w:bookmarkStart w:id="84" w:name="_Toc468698222"/>
      <w:r>
        <w:rPr>
          <w:rStyle w:val="CharPartNo"/>
        </w:rPr>
        <w:t>Part IV</w:t>
      </w:r>
      <w:r>
        <w:t> — </w:t>
      </w:r>
      <w:r>
        <w:rPr>
          <w:rStyle w:val="CharPartText"/>
        </w:rPr>
        <w:t>Residential tenancy agreements</w:t>
      </w:r>
      <w:bookmarkEnd w:id="81"/>
      <w:bookmarkEnd w:id="82"/>
      <w:bookmarkEnd w:id="83"/>
      <w:bookmarkEnd w:id="84"/>
    </w:p>
    <w:p>
      <w:pPr>
        <w:pStyle w:val="Footnoteheading"/>
      </w:pPr>
      <w:r>
        <w:tab/>
        <w:t>[Heading inserted by No. 60 of 2011 s. 21.]</w:t>
      </w:r>
    </w:p>
    <w:p>
      <w:pPr>
        <w:pStyle w:val="Heading3"/>
      </w:pPr>
      <w:bookmarkStart w:id="85" w:name="_Toc411611598"/>
      <w:bookmarkStart w:id="86" w:name="_Toc425252889"/>
      <w:bookmarkStart w:id="87" w:name="_Toc435028978"/>
      <w:bookmarkStart w:id="88" w:name="_Toc468698223"/>
      <w:r>
        <w:rPr>
          <w:rStyle w:val="CharDivNo"/>
        </w:rPr>
        <w:t>Division 1A</w:t>
      </w:r>
      <w:r>
        <w:t> — </w:t>
      </w:r>
      <w:r>
        <w:rPr>
          <w:rStyle w:val="CharDivText"/>
        </w:rPr>
        <w:t>Form of residential tenancy agreement and associated documents</w:t>
      </w:r>
      <w:bookmarkEnd w:id="85"/>
      <w:bookmarkEnd w:id="86"/>
      <w:bookmarkEnd w:id="87"/>
      <w:bookmarkEnd w:id="88"/>
    </w:p>
    <w:p>
      <w:pPr>
        <w:pStyle w:val="Footnoteheading"/>
      </w:pPr>
      <w:r>
        <w:tab/>
        <w:t>[Heading inserted by No. 60 of 2011 s. 22.]</w:t>
      </w:r>
    </w:p>
    <w:p>
      <w:pPr>
        <w:pStyle w:val="Heading5"/>
      </w:pPr>
      <w:bookmarkStart w:id="89" w:name="_Toc411611599"/>
      <w:bookmarkStart w:id="90" w:name="_Toc468698224"/>
      <w:r>
        <w:rPr>
          <w:rStyle w:val="CharSectno"/>
        </w:rPr>
        <w:t>27A</w:t>
      </w:r>
      <w:r>
        <w:t>.</w:t>
      </w:r>
      <w:r>
        <w:tab/>
        <w:t>Written residential tenancy agreement to be in prescribed form</w:t>
      </w:r>
      <w:bookmarkEnd w:id="89"/>
      <w:bookmarkEnd w:id="90"/>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r>
        <w:tab/>
        <w:t xml:space="preserve">[Section 27A inserted by No. 60 of 2011 s. 22.] </w:t>
      </w:r>
    </w:p>
    <w:p>
      <w:pPr>
        <w:pStyle w:val="Heading5"/>
      </w:pPr>
      <w:bookmarkStart w:id="91" w:name="_Toc411611600"/>
      <w:bookmarkStart w:id="92" w:name="_Toc468698225"/>
      <w:r>
        <w:rPr>
          <w:rStyle w:val="CharSectno"/>
        </w:rPr>
        <w:t>27B</w:t>
      </w:r>
      <w:r>
        <w:t>.</w:t>
      </w:r>
      <w:r>
        <w:tab/>
        <w:t>Information to be given to tenant by lessor</w:t>
      </w:r>
      <w:bookmarkEnd w:id="91"/>
      <w:bookmarkEnd w:id="92"/>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r>
        <w:tab/>
        <w:t xml:space="preserve">[Section 27B inserted by No. 60 of 2011 s. 22.] </w:t>
      </w:r>
    </w:p>
    <w:p>
      <w:pPr>
        <w:pStyle w:val="Heading5"/>
      </w:pPr>
      <w:bookmarkStart w:id="93" w:name="_Toc411611601"/>
      <w:bookmarkStart w:id="94" w:name="_Toc468698226"/>
      <w:r>
        <w:rPr>
          <w:rStyle w:val="CharSectno"/>
        </w:rPr>
        <w:t>27C</w:t>
      </w:r>
      <w:r>
        <w:t>.</w:t>
      </w:r>
      <w:r>
        <w:tab/>
      </w:r>
      <w:r>
        <w:rPr>
          <w:snapToGrid w:val="0"/>
        </w:rPr>
        <w:t>Property condition report at start and end of tenancy</w:t>
      </w:r>
      <w:bookmarkEnd w:id="93"/>
      <w:bookmarkEnd w:id="94"/>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95" w:name="_Toc411611602"/>
      <w:bookmarkStart w:id="96" w:name="_Toc425252893"/>
      <w:bookmarkStart w:id="97" w:name="_Toc435028982"/>
      <w:bookmarkStart w:id="98" w:name="_Toc468698227"/>
      <w:r>
        <w:rPr>
          <w:rStyle w:val="CharDivNo"/>
        </w:rPr>
        <w:t>Division 1</w:t>
      </w:r>
      <w:r>
        <w:rPr>
          <w:snapToGrid w:val="0"/>
        </w:rPr>
        <w:t> — </w:t>
      </w:r>
      <w:r>
        <w:rPr>
          <w:rStyle w:val="CharDivText"/>
        </w:rPr>
        <w:t>Rent and security bonds</w:t>
      </w:r>
      <w:bookmarkEnd w:id="95"/>
      <w:bookmarkEnd w:id="96"/>
      <w:bookmarkEnd w:id="97"/>
      <w:bookmarkEnd w:id="98"/>
    </w:p>
    <w:p>
      <w:pPr>
        <w:pStyle w:val="Heading5"/>
        <w:spacing w:before="160"/>
        <w:rPr>
          <w:snapToGrid w:val="0"/>
        </w:rPr>
      </w:pPr>
      <w:bookmarkStart w:id="99" w:name="_Toc411611603"/>
      <w:bookmarkStart w:id="100" w:name="_Toc468698228"/>
      <w:r>
        <w:rPr>
          <w:rStyle w:val="CharSectno"/>
        </w:rPr>
        <w:t>27</w:t>
      </w:r>
      <w:r>
        <w:rPr>
          <w:snapToGrid w:val="0"/>
        </w:rPr>
        <w:t>.</w:t>
      </w:r>
      <w:r>
        <w:rPr>
          <w:snapToGrid w:val="0"/>
        </w:rPr>
        <w:tab/>
        <w:t>Restriction on consideration for tenancy agreement</w:t>
      </w:r>
      <w:bookmarkEnd w:id="99"/>
      <w:bookmarkEnd w:id="100"/>
      <w:r>
        <w:rPr>
          <w:snapToGrid w:val="0"/>
        </w:rPr>
        <w:t xml:space="preserve"> </w:t>
      </w:r>
    </w:p>
    <w:p>
      <w:pPr>
        <w:pStyle w:val="Subsection"/>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rPr>
          <w:snapToGrid w:val="0"/>
        </w:rPr>
      </w:pPr>
      <w:r>
        <w:rPr>
          <w:snapToGrid w:val="0"/>
        </w:rPr>
        <w:tab/>
        <w:t>(2)</w:t>
      </w:r>
      <w:r>
        <w:rPr>
          <w:snapToGrid w:val="0"/>
        </w:rPr>
        <w:tab/>
      </w:r>
      <w:r>
        <w:t>Subsection</w:t>
      </w:r>
      <w:r>
        <w:rPr>
          <w:snapToGrid w:val="0"/>
        </w:rPr>
        <w:t>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101" w:name="_Toc411611604"/>
      <w:bookmarkStart w:id="102" w:name="_Toc468698229"/>
      <w:r>
        <w:rPr>
          <w:rStyle w:val="CharSectno"/>
        </w:rPr>
        <w:t>28</w:t>
      </w:r>
      <w:r>
        <w:rPr>
          <w:snapToGrid w:val="0"/>
        </w:rPr>
        <w:t>.</w:t>
      </w:r>
      <w:r>
        <w:rPr>
          <w:snapToGrid w:val="0"/>
        </w:rPr>
        <w:tab/>
        <w:t>Rent in advance</w:t>
      </w:r>
      <w:bookmarkEnd w:id="101"/>
      <w:bookmarkEnd w:id="102"/>
      <w:r>
        <w:rPr>
          <w:snapToGrid w:val="0"/>
        </w:rPr>
        <w:t xml:space="preserve"> </w:t>
      </w:r>
    </w:p>
    <w:p>
      <w:pPr>
        <w:pStyle w:val="Subsection"/>
        <w:rPr>
          <w:snapToGrid w:val="0"/>
        </w:rPr>
      </w:pPr>
      <w:r>
        <w:rPr>
          <w:snapToGrid w:val="0"/>
        </w:rPr>
        <w:tab/>
        <w:t>(1)</w:t>
      </w:r>
      <w:r>
        <w:rPr>
          <w:snapToGrid w:val="0"/>
        </w:rPr>
        <w:tab/>
        <w:t xml:space="preserve">A person shall not </w:t>
      </w:r>
      <w:r>
        <w:t>require</w:t>
      </w:r>
      <w:r>
        <w:rPr>
          <w:snapToGrid w:val="0"/>
        </w:rPr>
        <w:t xml:space="preserv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103" w:name="_Toc411611605"/>
      <w:bookmarkStart w:id="104" w:name="_Toc468698230"/>
      <w:r>
        <w:rPr>
          <w:rStyle w:val="CharSectno"/>
        </w:rPr>
        <w:t>29</w:t>
      </w:r>
      <w:r>
        <w:rPr>
          <w:snapToGrid w:val="0"/>
        </w:rPr>
        <w:t>.</w:t>
      </w:r>
      <w:r>
        <w:rPr>
          <w:snapToGrid w:val="0"/>
        </w:rPr>
        <w:tab/>
        <w:t>Security bonds</w:t>
      </w:r>
      <w:bookmarkEnd w:id="103"/>
      <w:bookmarkEnd w:id="104"/>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an assistance dog as defined in the </w:t>
      </w:r>
      <w:r>
        <w:rPr>
          <w:i/>
          <w:iCs/>
        </w:rPr>
        <w:t>Dog Act 1976</w:t>
      </w:r>
      <w:r>
        <w:t xml:space="preserve"> section 8(1);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No. 18 of 2013 s. 62.] </w:t>
      </w:r>
    </w:p>
    <w:p>
      <w:pPr>
        <w:pStyle w:val="Ednotesection"/>
      </w:pPr>
      <w:r>
        <w:t>[</w:t>
      </w:r>
      <w:r>
        <w:rPr>
          <w:b/>
        </w:rPr>
        <w:t>29A.</w:t>
      </w:r>
      <w:r>
        <w:tab/>
        <w:t>Deleted by No. 60 of 2011 s. 26.]</w:t>
      </w:r>
    </w:p>
    <w:p>
      <w:pPr>
        <w:pStyle w:val="Heading5"/>
        <w:rPr>
          <w:snapToGrid w:val="0"/>
        </w:rPr>
      </w:pPr>
      <w:bookmarkStart w:id="105" w:name="_Toc411611606"/>
      <w:bookmarkStart w:id="106" w:name="_Toc468698231"/>
      <w:r>
        <w:rPr>
          <w:rStyle w:val="CharSectno"/>
        </w:rPr>
        <w:t>30</w:t>
      </w:r>
      <w:r>
        <w:rPr>
          <w:snapToGrid w:val="0"/>
        </w:rPr>
        <w:t>.</w:t>
      </w:r>
      <w:r>
        <w:rPr>
          <w:snapToGrid w:val="0"/>
        </w:rPr>
        <w:tab/>
        <w:t>Variation of rent (except where calculated by reference to tenant’s income)</w:t>
      </w:r>
      <w:bookmarkEnd w:id="105"/>
      <w:bookmarkEnd w:id="106"/>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r>
        <w:tab/>
        <w:t xml:space="preserve">[Section 30 amended by No. 60 of 2011 s. 27, 88 and 89.] </w:t>
      </w:r>
    </w:p>
    <w:p>
      <w:pPr>
        <w:pStyle w:val="Heading5"/>
      </w:pPr>
      <w:bookmarkStart w:id="107" w:name="_Toc411611607"/>
      <w:bookmarkStart w:id="108" w:name="_Toc468698232"/>
      <w:r>
        <w:rPr>
          <w:rStyle w:val="CharSectno"/>
        </w:rPr>
        <w:t>31A</w:t>
      </w:r>
      <w:r>
        <w:t>.</w:t>
      </w:r>
      <w:r>
        <w:tab/>
        <w:t>Variation of rent where calculated by reference to tenant’s income</w:t>
      </w:r>
      <w:bookmarkEnd w:id="107"/>
      <w:bookmarkEnd w:id="108"/>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r>
        <w:tab/>
        <w:t xml:space="preserve">[Section 31A inserted by No. 60 of 2011 s. 28.] </w:t>
      </w:r>
    </w:p>
    <w:p>
      <w:pPr>
        <w:pStyle w:val="Heading5"/>
      </w:pPr>
      <w:bookmarkStart w:id="109" w:name="_Toc411611608"/>
      <w:bookmarkStart w:id="110" w:name="_Toc468698233"/>
      <w:r>
        <w:rPr>
          <w:rStyle w:val="CharSectno"/>
        </w:rPr>
        <w:t>31B</w:t>
      </w:r>
      <w:r>
        <w:t>.</w:t>
      </w:r>
      <w:r>
        <w:tab/>
        <w:t>Increase in rent after renegotiating lease</w:t>
      </w:r>
      <w:bookmarkEnd w:id="109"/>
      <w:bookmarkEnd w:id="110"/>
    </w:p>
    <w:p>
      <w:pPr>
        <w:pStyle w:val="Subsection"/>
      </w:pPr>
      <w:r>
        <w:tab/>
        <w:t>(1)</w:t>
      </w:r>
      <w:r>
        <w:tab/>
        <w:t xml:space="preserve">Subsection (2) has effect 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pPr>
      <w:r>
        <w:tab/>
        <w:t>(2)</w:t>
      </w:r>
      <w:r>
        <w:tab/>
        <w:t>The tenant cannot be required under the new agreement to pay an amount of rent, in respect of the first 30 days of the new agreement, that is more than the amount that would have been payable under the former agreement if the former agreement had continued to have effect during that period.</w:t>
      </w:r>
    </w:p>
    <w:p>
      <w:pPr>
        <w:pStyle w:val="Footnotesection"/>
      </w:pPr>
      <w:r>
        <w:tab/>
        <w:t xml:space="preserve">[Section 31B inserted by No. 23 of 2014 s. 88.] </w:t>
      </w:r>
    </w:p>
    <w:p>
      <w:pPr>
        <w:pStyle w:val="Heading5"/>
        <w:rPr>
          <w:snapToGrid w:val="0"/>
        </w:rPr>
      </w:pPr>
      <w:bookmarkStart w:id="111" w:name="_Toc411611609"/>
      <w:bookmarkStart w:id="112" w:name="_Toc468698234"/>
      <w:r>
        <w:rPr>
          <w:rStyle w:val="CharSectno"/>
        </w:rPr>
        <w:t>31</w:t>
      </w:r>
      <w:r>
        <w:rPr>
          <w:snapToGrid w:val="0"/>
        </w:rPr>
        <w:t>.</w:t>
      </w:r>
      <w:r>
        <w:rPr>
          <w:snapToGrid w:val="0"/>
        </w:rPr>
        <w:tab/>
        <w:t>Increase in security bond</w:t>
      </w:r>
      <w:bookmarkEnd w:id="111"/>
      <w:bookmarkEnd w:id="112"/>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w:t>
      </w:r>
      <w:r>
        <w:t xml:space="preserve">section 30 or 31A, </w:t>
      </w:r>
      <w:r>
        <w:rPr>
          <w:snapToGrid w:val="0"/>
        </w:rPr>
        <w:t xml:space="preserve">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r>
        <w:tab/>
        <w:t xml:space="preserve">[Section 31 amended by No. 60 of 2011 s. 29 and 89; No. 23 of 2014 s. 89.] </w:t>
      </w:r>
    </w:p>
    <w:p>
      <w:pPr>
        <w:pStyle w:val="Heading5"/>
        <w:rPr>
          <w:snapToGrid w:val="0"/>
        </w:rPr>
      </w:pPr>
      <w:bookmarkStart w:id="113" w:name="_Toc411611610"/>
      <w:bookmarkStart w:id="114" w:name="_Toc468698235"/>
      <w:r>
        <w:rPr>
          <w:rStyle w:val="CharSectno"/>
        </w:rPr>
        <w:t>32</w:t>
      </w:r>
      <w:r>
        <w:rPr>
          <w:snapToGrid w:val="0"/>
        </w:rPr>
        <w:t>.</w:t>
      </w:r>
      <w:r>
        <w:rPr>
          <w:snapToGrid w:val="0"/>
        </w:rPr>
        <w:tab/>
        <w:t>Limitation of excessive rents in certain circumstances</w:t>
      </w:r>
      <w:bookmarkEnd w:id="113"/>
      <w:bookmarkEnd w:id="114"/>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rPr>
          <w:snapToGrid w:val="0"/>
        </w:rPr>
      </w:pPr>
      <w:r>
        <w:rPr>
          <w:snapToGrid w:val="0"/>
        </w:rPr>
        <w:tab/>
        <w:t>(e)</w:t>
      </w:r>
      <w:r>
        <w:rPr>
          <w:snapToGrid w:val="0"/>
        </w:rPr>
        <w:tab/>
        <w:t>the value and nature of the chattels provided with the premises for use by the tenant; and</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pPr>
      <w:r>
        <w:tab/>
        <w:t xml:space="preserve">[Section 32 amended by No. 50 of 1988 s. 18; No. 59 of 2004 s. 120 and 121; No. 60 of 2011 s. 30 and 89.] </w:t>
      </w:r>
    </w:p>
    <w:p>
      <w:pPr>
        <w:pStyle w:val="Heading5"/>
        <w:rPr>
          <w:snapToGrid w:val="0"/>
        </w:rPr>
      </w:pPr>
      <w:bookmarkStart w:id="115" w:name="_Toc411611611"/>
      <w:bookmarkStart w:id="116" w:name="_Toc468698236"/>
      <w:r>
        <w:rPr>
          <w:rStyle w:val="CharSectno"/>
        </w:rPr>
        <w:t>33</w:t>
      </w:r>
      <w:r>
        <w:rPr>
          <w:snapToGrid w:val="0"/>
        </w:rPr>
        <w:t>.</w:t>
      </w:r>
      <w:r>
        <w:rPr>
          <w:snapToGrid w:val="0"/>
        </w:rPr>
        <w:tab/>
        <w:t>Duty to give receipt for rent</w:t>
      </w:r>
      <w:bookmarkEnd w:id="115"/>
      <w:bookmarkEnd w:id="116"/>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“excluded day”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117" w:name="_Toc411611612"/>
      <w:bookmarkStart w:id="118" w:name="_Toc468698237"/>
      <w:r>
        <w:rPr>
          <w:rStyle w:val="CharSectno"/>
        </w:rPr>
        <w:t>34A</w:t>
      </w:r>
      <w:r>
        <w:t>.</w:t>
      </w:r>
      <w:r>
        <w:tab/>
        <w:t>Manner of payment of rent</w:t>
      </w:r>
      <w:bookmarkEnd w:id="117"/>
      <w:bookmarkEnd w:id="118"/>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119" w:name="_Toc411611613"/>
      <w:bookmarkStart w:id="120" w:name="_Toc468698238"/>
      <w:r>
        <w:rPr>
          <w:rStyle w:val="CharSectno"/>
        </w:rPr>
        <w:t>34</w:t>
      </w:r>
      <w:r>
        <w:rPr>
          <w:snapToGrid w:val="0"/>
        </w:rPr>
        <w:t>.</w:t>
      </w:r>
      <w:r>
        <w:rPr>
          <w:snapToGrid w:val="0"/>
        </w:rPr>
        <w:tab/>
        <w:t>Proper records of rent to be kept</w:t>
      </w:r>
      <w:bookmarkEnd w:id="119"/>
      <w:bookmarkEnd w:id="120"/>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121" w:name="_Toc411611614"/>
      <w:bookmarkStart w:id="122" w:name="_Toc468698239"/>
      <w:r>
        <w:rPr>
          <w:rStyle w:val="CharSectno"/>
        </w:rPr>
        <w:t>35</w:t>
      </w:r>
      <w:r>
        <w:rPr>
          <w:snapToGrid w:val="0"/>
        </w:rPr>
        <w:t>.</w:t>
      </w:r>
      <w:r>
        <w:rPr>
          <w:snapToGrid w:val="0"/>
        </w:rPr>
        <w:tab/>
        <w:t>Payment of rent by post</w:t>
      </w:r>
      <w:r>
        <w:rPr>
          <w:snapToGrid w:val="0"/>
        </w:rPr>
        <w:noBreakHyphen/>
        <w:t>dated cheques etc. prohibited</w:t>
      </w:r>
      <w:bookmarkEnd w:id="121"/>
      <w:bookmarkEnd w:id="122"/>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123" w:name="_Toc411611615"/>
      <w:bookmarkStart w:id="124" w:name="_Toc468698240"/>
      <w:r>
        <w:rPr>
          <w:rStyle w:val="CharSectno"/>
        </w:rPr>
        <w:t>36</w:t>
      </w:r>
      <w:r>
        <w:rPr>
          <w:snapToGrid w:val="0"/>
        </w:rPr>
        <w:t>.</w:t>
      </w:r>
      <w:r>
        <w:rPr>
          <w:snapToGrid w:val="0"/>
        </w:rPr>
        <w:tab/>
        <w:t>Apportionment of rent</w:t>
      </w:r>
      <w:bookmarkEnd w:id="123"/>
      <w:bookmarkEnd w:id="124"/>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125" w:name="_Toc411611616"/>
      <w:bookmarkStart w:id="126" w:name="_Toc425252907"/>
      <w:bookmarkStart w:id="127" w:name="_Toc435028996"/>
      <w:bookmarkStart w:id="128" w:name="_Toc468698241"/>
      <w:r>
        <w:rPr>
          <w:rStyle w:val="CharDivNo"/>
        </w:rPr>
        <w:t>Division 2</w:t>
      </w:r>
      <w:r>
        <w:rPr>
          <w:snapToGrid w:val="0"/>
        </w:rPr>
        <w:t> — </w:t>
      </w:r>
      <w:r>
        <w:rPr>
          <w:rStyle w:val="CharDivText"/>
        </w:rPr>
        <w:t>Standard terms</w:t>
      </w:r>
      <w:bookmarkEnd w:id="125"/>
      <w:bookmarkEnd w:id="126"/>
      <w:bookmarkEnd w:id="127"/>
      <w:bookmarkEnd w:id="128"/>
    </w:p>
    <w:p>
      <w:pPr>
        <w:pStyle w:val="Footnoteheading"/>
      </w:pPr>
      <w:r>
        <w:tab/>
        <w:t>[Heading amended by No. 60 of 2011 s. 35.]</w:t>
      </w:r>
    </w:p>
    <w:p>
      <w:pPr>
        <w:pStyle w:val="Ednotesection"/>
      </w:pPr>
      <w:r>
        <w:t>[</w:t>
      </w:r>
      <w:r>
        <w:rPr>
          <w:b/>
        </w:rPr>
        <w:t>37.</w:t>
      </w:r>
      <w:r>
        <w:tab/>
        <w:t>Deleted by No. 60 of 2011 s. 36.]</w:t>
      </w:r>
    </w:p>
    <w:p>
      <w:pPr>
        <w:pStyle w:val="Heading5"/>
        <w:rPr>
          <w:snapToGrid w:val="0"/>
        </w:rPr>
      </w:pPr>
      <w:bookmarkStart w:id="129" w:name="_Toc411611617"/>
      <w:bookmarkStart w:id="130" w:name="_Toc468698242"/>
      <w:r>
        <w:rPr>
          <w:rStyle w:val="CharSectno"/>
        </w:rPr>
        <w:t>38</w:t>
      </w:r>
      <w:r>
        <w:rPr>
          <w:snapToGrid w:val="0"/>
        </w:rPr>
        <w:t>.</w:t>
      </w:r>
      <w:r>
        <w:rPr>
          <w:snapToGrid w:val="0"/>
        </w:rPr>
        <w:tab/>
        <w:t>Tenant’s responsibility for cleanliness and damage</w:t>
      </w:r>
      <w:bookmarkEnd w:id="129"/>
      <w:bookmarkEnd w:id="130"/>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r>
        <w:tab/>
        <w:t>[Section 38 amended by No. 60 of 2011 s. 37 and 89.]</w:t>
      </w:r>
    </w:p>
    <w:p>
      <w:pPr>
        <w:pStyle w:val="Heading5"/>
        <w:rPr>
          <w:snapToGrid w:val="0"/>
        </w:rPr>
      </w:pPr>
      <w:bookmarkStart w:id="131" w:name="_Toc411611618"/>
      <w:bookmarkStart w:id="132" w:name="_Toc468698243"/>
      <w:r>
        <w:rPr>
          <w:rStyle w:val="CharSectno"/>
        </w:rPr>
        <w:t>39</w:t>
      </w:r>
      <w:r>
        <w:rPr>
          <w:snapToGrid w:val="0"/>
        </w:rPr>
        <w:t>.</w:t>
      </w:r>
      <w:r>
        <w:rPr>
          <w:snapToGrid w:val="0"/>
        </w:rPr>
        <w:tab/>
        <w:t>Tenant’s conduct on premises</w:t>
      </w:r>
      <w:bookmarkEnd w:id="131"/>
      <w:bookmarkEnd w:id="132"/>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r>
        <w:tab/>
        <w:t>[Section 39 amended by No. 60 of 2011 s. 38.]</w:t>
      </w:r>
    </w:p>
    <w:p>
      <w:pPr>
        <w:pStyle w:val="Heading5"/>
      </w:pPr>
      <w:bookmarkStart w:id="133" w:name="_Toc411611619"/>
      <w:bookmarkStart w:id="134" w:name="_Toc468698244"/>
      <w:r>
        <w:rPr>
          <w:rStyle w:val="CharSectno"/>
        </w:rPr>
        <w:t>40</w:t>
      </w:r>
      <w:r>
        <w:t>.</w:t>
      </w:r>
      <w:r>
        <w:tab/>
        <w:t>Vacant possession</w:t>
      </w:r>
      <w:bookmarkEnd w:id="133"/>
      <w:bookmarkEnd w:id="134"/>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135" w:name="_Toc411611620"/>
      <w:bookmarkStart w:id="136" w:name="_Toc468698245"/>
      <w:r>
        <w:rPr>
          <w:rStyle w:val="CharSectno"/>
        </w:rPr>
        <w:t>41</w:t>
      </w:r>
      <w:r>
        <w:rPr>
          <w:snapToGrid w:val="0"/>
        </w:rPr>
        <w:t>.</w:t>
      </w:r>
      <w:r>
        <w:rPr>
          <w:snapToGrid w:val="0"/>
        </w:rPr>
        <w:tab/>
        <w:t>Legal impediments to occupation as residence</w:t>
      </w:r>
      <w:bookmarkEnd w:id="135"/>
      <w:bookmarkEnd w:id="136"/>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r>
        <w:tab/>
        <w:t>[Section 41 amended by No. 60 of 2011 s. 40 and 89.]</w:t>
      </w:r>
    </w:p>
    <w:p>
      <w:pPr>
        <w:pStyle w:val="Heading5"/>
      </w:pPr>
      <w:bookmarkStart w:id="137" w:name="_Toc411611621"/>
      <w:bookmarkStart w:id="138" w:name="_Toc468698246"/>
      <w:r>
        <w:rPr>
          <w:rStyle w:val="CharSectno"/>
        </w:rPr>
        <w:t>42</w:t>
      </w:r>
      <w:r>
        <w:t>.</w:t>
      </w:r>
      <w:r>
        <w:tab/>
        <w:t>Lessor’s responsibility for cleanliness and repairs</w:t>
      </w:r>
      <w:bookmarkEnd w:id="137"/>
      <w:bookmarkEnd w:id="138"/>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r>
        <w:tab/>
        <w:t>[Section 42 inserted by No. 60 of 2011 s. 41.]</w:t>
      </w:r>
    </w:p>
    <w:p>
      <w:pPr>
        <w:pStyle w:val="Heading5"/>
      </w:pPr>
      <w:bookmarkStart w:id="139" w:name="_Toc411611622"/>
      <w:bookmarkStart w:id="140" w:name="_Toc468698247"/>
      <w:r>
        <w:rPr>
          <w:rStyle w:val="CharSectno"/>
        </w:rPr>
        <w:t>43</w:t>
      </w:r>
      <w:r>
        <w:t>.</w:t>
      </w:r>
      <w:r>
        <w:tab/>
        <w:t>Urgent repairs</w:t>
      </w:r>
      <w:bookmarkEnd w:id="139"/>
      <w:bookmarkEnd w:id="140"/>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r>
        <w:tab/>
        <w:t>[Section 43 inserted by No. 60 of 2011 s. 41.]</w:t>
      </w:r>
    </w:p>
    <w:p>
      <w:pPr>
        <w:pStyle w:val="Heading5"/>
      </w:pPr>
      <w:bookmarkStart w:id="141" w:name="_Toc411611623"/>
      <w:bookmarkStart w:id="142" w:name="_Toc468698248"/>
      <w:r>
        <w:rPr>
          <w:rStyle w:val="CharSectno"/>
        </w:rPr>
        <w:t>44</w:t>
      </w:r>
      <w:r>
        <w:t>.</w:t>
      </w:r>
      <w:r>
        <w:tab/>
        <w:t>Quiet enjoyment</w:t>
      </w:r>
      <w:bookmarkEnd w:id="141"/>
      <w:bookmarkEnd w:id="142"/>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r>
        <w:tab/>
        <w:t>[Section 44 inserted by No. 60 of 2011 s. 41.]</w:t>
      </w:r>
    </w:p>
    <w:p>
      <w:pPr>
        <w:pStyle w:val="Heading5"/>
      </w:pPr>
      <w:bookmarkStart w:id="143" w:name="_Toc411611624"/>
      <w:bookmarkStart w:id="144" w:name="_Toc468698249"/>
      <w:r>
        <w:rPr>
          <w:rStyle w:val="CharSectno"/>
        </w:rPr>
        <w:t>45</w:t>
      </w:r>
      <w:r>
        <w:t>.</w:t>
      </w:r>
      <w:r>
        <w:tab/>
        <w:t>Securing premises</w:t>
      </w:r>
      <w:bookmarkEnd w:id="143"/>
      <w:bookmarkEnd w:id="144"/>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r>
        <w:tab/>
        <w:t>[Section 45 inserted by No. 60 of 2011 s. 41; application modified by Residential Tenancies Regulations 1989 r. 7A.]</w:t>
      </w:r>
    </w:p>
    <w:p>
      <w:pPr>
        <w:pStyle w:val="Heading5"/>
      </w:pPr>
      <w:bookmarkStart w:id="145" w:name="_Toc411611625"/>
      <w:bookmarkStart w:id="146" w:name="_Toc468698250"/>
      <w:r>
        <w:rPr>
          <w:rStyle w:val="CharSectno"/>
        </w:rPr>
        <w:t>46</w:t>
      </w:r>
      <w:r>
        <w:t>.</w:t>
      </w:r>
      <w:r>
        <w:tab/>
        <w:t>Lessor’s right of entry</w:t>
      </w:r>
      <w:bookmarkEnd w:id="145"/>
      <w:bookmarkEnd w:id="146"/>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spacing w:before="800"/>
        <w:rPr>
          <w:snapToGrid w:val="0"/>
        </w:rPr>
      </w:pPr>
      <w:bookmarkStart w:id="147" w:name="_Toc411611626"/>
      <w:bookmarkStart w:id="148" w:name="_Toc468698251"/>
      <w:r>
        <w:rPr>
          <w:rStyle w:val="CharSectno"/>
        </w:rPr>
        <w:t>47</w:t>
      </w:r>
      <w:r>
        <w:rPr>
          <w:snapToGrid w:val="0"/>
        </w:rPr>
        <w:t>.</w:t>
      </w:r>
      <w:r>
        <w:rPr>
          <w:snapToGrid w:val="0"/>
        </w:rPr>
        <w:tab/>
        <w:t>Right of tenant to affix and remove fixtures etc.</w:t>
      </w:r>
      <w:bookmarkEnd w:id="147"/>
      <w:bookmarkEnd w:id="148"/>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the tenant may remove any fixture that </w:t>
      </w:r>
      <w:r>
        <w:t>the tenant</w:t>
      </w:r>
      <w:r>
        <w:rPr>
          <w:snapToGrid w:val="0"/>
        </w:rPr>
        <w:t xml:space="preserve"> has affixed to the premises, with the </w:t>
      </w:r>
      <w:r>
        <w:t>lessor’s</w:t>
      </w:r>
      <w:r>
        <w:rPr>
          <w:snapToGrid w:val="0"/>
        </w:rPr>
        <w:t xml:space="preserve"> consent, during the period that </w:t>
      </w:r>
      <w:r>
        <w:t>the tenant</w:t>
      </w:r>
      <w:r>
        <w:rPr>
          <w:snapToGrid w:val="0"/>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lessor for any reasonable expenses incurred by the lessor in repairing the damage.</w:t>
      </w:r>
    </w:p>
    <w:p>
      <w:pPr>
        <w:pStyle w:val="Subsection"/>
      </w:pPr>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149" w:name="_Toc411611627"/>
      <w:bookmarkStart w:id="150" w:name="_Toc468698252"/>
      <w:r>
        <w:rPr>
          <w:rStyle w:val="CharSectno"/>
        </w:rPr>
        <w:t>48</w:t>
      </w:r>
      <w:r>
        <w:rPr>
          <w:snapToGrid w:val="0"/>
        </w:rPr>
        <w:t>.</w:t>
      </w:r>
      <w:r>
        <w:rPr>
          <w:snapToGrid w:val="0"/>
        </w:rPr>
        <w:tab/>
        <w:t>Lessor to bear outgoings in respect of premises</w:t>
      </w:r>
      <w:bookmarkEnd w:id="149"/>
      <w:bookmarkEnd w:id="150"/>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spacing w:before="60"/>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spacing w:before="60"/>
        <w:rPr>
          <w:snapToGrid w:val="0"/>
        </w:rPr>
      </w:pPr>
      <w:r>
        <w:rPr>
          <w:snapToGrid w:val="0"/>
        </w:rPr>
        <w:tab/>
        <w:t>(b)</w:t>
      </w:r>
      <w:r>
        <w:rPr>
          <w:snapToGrid w:val="0"/>
        </w:rPr>
        <w:tab/>
        <w:t>the</w:t>
      </w:r>
      <w:r>
        <w:t xml:space="preserve"> </w:t>
      </w:r>
      <w:r>
        <w:rPr>
          <w:i/>
        </w:rPr>
        <w:t>Land Tax Act 2002</w:t>
      </w:r>
      <w:r>
        <w:rPr>
          <w:snapToGrid w:val="0"/>
        </w:rPr>
        <w:t>;</w:t>
      </w:r>
    </w:p>
    <w:p>
      <w:pPr>
        <w:pStyle w:val="Indenta"/>
        <w:spacing w:before="60"/>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151" w:name="_Toc411611628"/>
      <w:bookmarkStart w:id="152" w:name="_Toc468698253"/>
      <w:r>
        <w:rPr>
          <w:rStyle w:val="CharSectno"/>
        </w:rPr>
        <w:t>49A</w:t>
      </w:r>
      <w:r>
        <w:t>.</w:t>
      </w:r>
      <w:r>
        <w:tab/>
        <w:t>Lessor’s and tenant’s responsibilities in respect of public utility services</w:t>
      </w:r>
      <w:bookmarkEnd w:id="151"/>
      <w:bookmarkEnd w:id="152"/>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spacing w:before="60"/>
      </w:pPr>
      <w:r>
        <w:rPr>
          <w:snapToGrid w:val="0"/>
        </w:rPr>
        <w:tab/>
        <w:t>(a)</w:t>
      </w:r>
      <w:r>
        <w:rPr>
          <w:snapToGrid w:val="0"/>
        </w:rPr>
        <w:tab/>
        <w:t>the charge is calculated by reference to consumption at the residential premises by the tenant; and</w:t>
      </w:r>
    </w:p>
    <w:p>
      <w:pPr>
        <w:pStyle w:val="Indenta"/>
        <w:spacing w:before="60"/>
      </w:pPr>
      <w:r>
        <w:rPr>
          <w:snapToGrid w:val="0"/>
        </w:rPr>
        <w:tab/>
        <w:t>(b)</w:t>
      </w:r>
      <w:r>
        <w:rPr>
          <w:snapToGrid w:val="0"/>
        </w:rPr>
        <w:tab/>
        <w:t>the tenant is given notice in writing of the charge in relation to the public utility service, specifying —</w:t>
      </w:r>
    </w:p>
    <w:p>
      <w:pPr>
        <w:pStyle w:val="Indenti"/>
        <w:spacing w:before="60"/>
      </w:pPr>
      <w:r>
        <w:tab/>
        <w:t>(i)</w:t>
      </w:r>
      <w:r>
        <w:tab/>
      </w:r>
      <w:r>
        <w:rPr>
          <w:snapToGrid w:val="0"/>
        </w:rPr>
        <w:t>if consumption at the premises is metered — the relevant meter reading, or readings, and the charge per metered unit; or</w:t>
      </w:r>
    </w:p>
    <w:p>
      <w:pPr>
        <w:pStyle w:val="Indenti"/>
        <w:spacing w:before="60"/>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spacing w:before="60"/>
      </w:pPr>
      <w:r>
        <w:tab/>
      </w:r>
      <w:r>
        <w:tab/>
        <w:t>and</w:t>
      </w:r>
    </w:p>
    <w:p>
      <w:pPr>
        <w:pStyle w:val="Indenta"/>
        <w:spacing w:before="60"/>
      </w:pPr>
      <w:r>
        <w:tab/>
        <w:t>(c)</w:t>
      </w:r>
      <w:r>
        <w:tab/>
        <w:t>the tenant is provided with full details of the account for the charge including —</w:t>
      </w:r>
    </w:p>
    <w:p>
      <w:pPr>
        <w:pStyle w:val="Indenti"/>
        <w:spacing w:before="60"/>
      </w:pPr>
      <w:r>
        <w:tab/>
        <w:t>(i)</w:t>
      </w:r>
      <w:r>
        <w:tab/>
        <w:t>any meter readings and the charge per metered unit; or</w:t>
      </w:r>
    </w:p>
    <w:p>
      <w:pPr>
        <w:pStyle w:val="Indenti"/>
        <w:spacing w:before="60"/>
      </w:pPr>
      <w:r>
        <w:tab/>
        <w:t>(ii)</w:t>
      </w:r>
      <w:r>
        <w:tab/>
        <w:t>the agreed method of calculating referred to in paragraph (b)(ii),</w:t>
      </w:r>
    </w:p>
    <w:p>
      <w:pPr>
        <w:pStyle w:val="Indenta"/>
        <w:spacing w:before="60"/>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153" w:name="_Toc411611629"/>
      <w:bookmarkStart w:id="154" w:name="_Toc468698254"/>
      <w:r>
        <w:rPr>
          <w:rStyle w:val="CharSectno"/>
        </w:rPr>
        <w:t>49</w:t>
      </w:r>
      <w:r>
        <w:rPr>
          <w:snapToGrid w:val="0"/>
        </w:rPr>
        <w:t>.</w:t>
      </w:r>
      <w:r>
        <w:rPr>
          <w:snapToGrid w:val="0"/>
        </w:rPr>
        <w:tab/>
        <w:t>Right of tenant to assign or sub</w:t>
      </w:r>
      <w:r>
        <w:rPr>
          <w:snapToGrid w:val="0"/>
        </w:rPr>
        <w:noBreakHyphen/>
        <w:t>let</w:t>
      </w:r>
      <w:bookmarkEnd w:id="153"/>
      <w:bookmarkEnd w:id="154"/>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spacing w:before="60"/>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spacing w:before="60"/>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spacing w:before="60"/>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spacing w:before="60"/>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r>
        <w:tab/>
        <w:t xml:space="preserve">[Section 49 amended by No. 60 of 2011 s. 45, 88 and 89.] </w:t>
      </w:r>
    </w:p>
    <w:p>
      <w:pPr>
        <w:pStyle w:val="Heading5"/>
        <w:rPr>
          <w:snapToGrid w:val="0"/>
        </w:rPr>
      </w:pPr>
      <w:bookmarkStart w:id="155" w:name="_Toc411611630"/>
      <w:bookmarkStart w:id="156" w:name="_Toc468698255"/>
      <w:r>
        <w:rPr>
          <w:rStyle w:val="CharSectno"/>
        </w:rPr>
        <w:t>50</w:t>
      </w:r>
      <w:r>
        <w:rPr>
          <w:snapToGrid w:val="0"/>
        </w:rPr>
        <w:t>.</w:t>
      </w:r>
      <w:r>
        <w:rPr>
          <w:snapToGrid w:val="0"/>
        </w:rPr>
        <w:tab/>
        <w:t>Vicarious responsibility of tenant for breach by other person lawfully on premises</w:t>
      </w:r>
      <w:bookmarkEnd w:id="155"/>
      <w:bookmarkEnd w:id="156"/>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r>
        <w:tab/>
        <w:t xml:space="preserve">[Section 50 amended by No. 60 of 2011 s. 46.] </w:t>
      </w:r>
    </w:p>
    <w:p>
      <w:pPr>
        <w:pStyle w:val="Heading3"/>
      </w:pPr>
      <w:bookmarkStart w:id="157" w:name="_Toc411611631"/>
      <w:bookmarkStart w:id="158" w:name="_Toc425252922"/>
      <w:bookmarkStart w:id="159" w:name="_Toc435029011"/>
      <w:bookmarkStart w:id="160" w:name="_Toc468698256"/>
      <w:r>
        <w:rPr>
          <w:rStyle w:val="CharDivNo"/>
        </w:rPr>
        <w:t>Division 3</w:t>
      </w:r>
      <w:r>
        <w:t> — </w:t>
      </w:r>
      <w:r>
        <w:rPr>
          <w:rStyle w:val="CharDivText"/>
        </w:rPr>
        <w:t>General</w:t>
      </w:r>
      <w:bookmarkEnd w:id="157"/>
      <w:bookmarkEnd w:id="158"/>
      <w:bookmarkEnd w:id="159"/>
      <w:bookmarkEnd w:id="160"/>
    </w:p>
    <w:p>
      <w:pPr>
        <w:pStyle w:val="Footnoteheading"/>
      </w:pPr>
      <w:r>
        <w:tab/>
        <w:t xml:space="preserve">[Heading inserted by No. 60 of 2011 s. 47.] </w:t>
      </w:r>
    </w:p>
    <w:p>
      <w:pPr>
        <w:pStyle w:val="Heading5"/>
      </w:pPr>
      <w:bookmarkStart w:id="161" w:name="_Toc411611632"/>
      <w:bookmarkStart w:id="162" w:name="_Toc468698257"/>
      <w:r>
        <w:rPr>
          <w:rStyle w:val="CharSectno"/>
        </w:rPr>
        <w:t>51</w:t>
      </w:r>
      <w:r>
        <w:t>.</w:t>
      </w:r>
      <w:r>
        <w:tab/>
        <w:t>Tenant to be notified of lessor’s name and address</w:t>
      </w:r>
      <w:bookmarkEnd w:id="161"/>
      <w:bookmarkEnd w:id="162"/>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spacing w:before="100"/>
      </w:pPr>
      <w:r>
        <w:tab/>
        <w:t xml:space="preserve">[Section 51 inserted by No. 60 of 2011 s. 48.] </w:t>
      </w:r>
    </w:p>
    <w:p>
      <w:pPr>
        <w:pStyle w:val="Heading5"/>
        <w:rPr>
          <w:snapToGrid w:val="0"/>
        </w:rPr>
      </w:pPr>
      <w:bookmarkStart w:id="163" w:name="_Toc411611633"/>
      <w:bookmarkStart w:id="164" w:name="_Toc468698258"/>
      <w:r>
        <w:rPr>
          <w:rStyle w:val="CharSectno"/>
        </w:rPr>
        <w:t>52</w:t>
      </w:r>
      <w:r>
        <w:rPr>
          <w:snapToGrid w:val="0"/>
        </w:rPr>
        <w:t>.</w:t>
      </w:r>
      <w:r>
        <w:rPr>
          <w:snapToGrid w:val="0"/>
        </w:rPr>
        <w:tab/>
        <w:t>Failure to pay rent with intention it be recovered from security bond</w:t>
      </w:r>
      <w:bookmarkEnd w:id="163"/>
      <w:bookmarkEnd w:id="164"/>
      <w:r>
        <w:rPr>
          <w:snapToGrid w:val="0"/>
        </w:rPr>
        <w:t xml:space="preserve"> </w:t>
      </w:r>
    </w:p>
    <w:p>
      <w:pPr>
        <w:pStyle w:val="Subsection"/>
        <w:rPr>
          <w:snapToGrid w:val="0"/>
        </w:rPr>
      </w:pPr>
      <w:r>
        <w:rPr>
          <w:snapToGrid w:val="0"/>
        </w:rPr>
        <w:tab/>
      </w:r>
      <w:r>
        <w:rPr>
          <w:snapToGrid w:val="0"/>
        </w:rPr>
        <w:tab/>
        <w:t xml:space="preserve">A tenant shall not fail or refuse to pay any rent due under </w:t>
      </w:r>
      <w:r>
        <w:t>a residential tenancy agreement</w:t>
      </w:r>
      <w:r>
        <w:rPr>
          <w:snapToGrid w:val="0"/>
        </w:rPr>
        <w:t xml:space="preserve"> with the intention that the amount of such rent be recovered by </w:t>
      </w:r>
      <w:r>
        <w:t>the lessor</w:t>
      </w:r>
      <w:r>
        <w:rPr>
          <w:snapToGrid w:val="0"/>
        </w:rPr>
        <w:t xml:space="preserve"> from the security bond paid by the tenant.</w:t>
      </w:r>
    </w:p>
    <w:p>
      <w:pPr>
        <w:pStyle w:val="Penstart"/>
      </w:pPr>
      <w:r>
        <w:tab/>
        <w:t>Penalty: a fine of $5 000.</w:t>
      </w:r>
    </w:p>
    <w:p>
      <w:pPr>
        <w:pStyle w:val="Footnotesection"/>
        <w:spacing w:before="100"/>
      </w:pPr>
      <w:r>
        <w:tab/>
        <w:t xml:space="preserve">[Section 52 amended by No. 59 of 1995 s. 55; No. 60 of 2011 s. 49, 88 and 89.] </w:t>
      </w:r>
    </w:p>
    <w:p>
      <w:pPr>
        <w:pStyle w:val="Heading5"/>
      </w:pPr>
      <w:bookmarkStart w:id="165" w:name="_Toc411611634"/>
      <w:bookmarkStart w:id="166" w:name="_Toc468698259"/>
      <w:r>
        <w:rPr>
          <w:rStyle w:val="CharSectno"/>
        </w:rPr>
        <w:t>53</w:t>
      </w:r>
      <w:r>
        <w:t>.</w:t>
      </w:r>
      <w:r>
        <w:tab/>
        <w:t>Tenant’s name, place of employment and forwarding address</w:t>
      </w:r>
      <w:bookmarkEnd w:id="165"/>
      <w:bookmarkEnd w:id="166"/>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167" w:name="_Toc411611635"/>
      <w:bookmarkStart w:id="168" w:name="_Toc468698260"/>
      <w:r>
        <w:rPr>
          <w:rStyle w:val="CharSectno"/>
        </w:rPr>
        <w:t>54</w:t>
      </w:r>
      <w:r>
        <w:rPr>
          <w:snapToGrid w:val="0"/>
        </w:rPr>
        <w:t>.</w:t>
      </w:r>
      <w:r>
        <w:rPr>
          <w:snapToGrid w:val="0"/>
        </w:rPr>
        <w:tab/>
        <w:t>Lessor to deliver copy of agreement to tenant</w:t>
      </w:r>
      <w:bookmarkEnd w:id="167"/>
      <w:bookmarkEnd w:id="168"/>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169" w:name="_Toc411611636"/>
      <w:bookmarkStart w:id="170" w:name="_Toc468698261"/>
      <w:r>
        <w:rPr>
          <w:rStyle w:val="CharSectno"/>
        </w:rPr>
        <w:t>55</w:t>
      </w:r>
      <w:r>
        <w:t>.</w:t>
      </w:r>
      <w:r>
        <w:tab/>
        <w:t>Cost of written agreement to be borne by lessor</w:t>
      </w:r>
      <w:bookmarkEnd w:id="169"/>
      <w:bookmarkEnd w:id="170"/>
    </w:p>
    <w:p>
      <w:pPr>
        <w:pStyle w:val="Subsection"/>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10"/>
      </w:pPr>
      <w:r>
        <w:tab/>
        <w:t xml:space="preserve">[Section 55 inserted by No. 60 of 2011 s. 52.] </w:t>
      </w:r>
    </w:p>
    <w:p>
      <w:pPr>
        <w:pStyle w:val="Heading5"/>
        <w:spacing w:before="200"/>
        <w:rPr>
          <w:snapToGrid w:val="0"/>
        </w:rPr>
      </w:pPr>
      <w:bookmarkStart w:id="171" w:name="_Toc411611637"/>
      <w:bookmarkStart w:id="172" w:name="_Toc468698262"/>
      <w:r>
        <w:rPr>
          <w:rStyle w:val="CharSectno"/>
        </w:rPr>
        <w:t>56</w:t>
      </w:r>
      <w:r>
        <w:rPr>
          <w:snapToGrid w:val="0"/>
        </w:rPr>
        <w:t>.</w:t>
      </w:r>
      <w:r>
        <w:rPr>
          <w:snapToGrid w:val="0"/>
        </w:rPr>
        <w:tab/>
        <w:t>Discrimination against tenants with children</w:t>
      </w:r>
      <w:bookmarkEnd w:id="171"/>
      <w:bookmarkEnd w:id="172"/>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pPr>
      <w:r>
        <w:tab/>
        <w:t xml:space="preserve">[Section 56 amended by No. 59 of 1995 s. 55; No. 60 of 2011 s. 53.] </w:t>
      </w:r>
    </w:p>
    <w:p>
      <w:pPr>
        <w:pStyle w:val="Heading5"/>
        <w:spacing w:before="200"/>
        <w:rPr>
          <w:snapToGrid w:val="0"/>
        </w:rPr>
      </w:pPr>
      <w:bookmarkStart w:id="173" w:name="_Toc411611638"/>
      <w:bookmarkStart w:id="174" w:name="_Toc468698263"/>
      <w:r>
        <w:rPr>
          <w:rStyle w:val="CharSectno"/>
        </w:rPr>
        <w:t>57</w:t>
      </w:r>
      <w:r>
        <w:rPr>
          <w:snapToGrid w:val="0"/>
        </w:rPr>
        <w:t>.</w:t>
      </w:r>
      <w:r>
        <w:rPr>
          <w:snapToGrid w:val="0"/>
        </w:rPr>
        <w:tab/>
        <w:t>Accelerated rent and liquidated damages prohibited</w:t>
      </w:r>
      <w:bookmarkEnd w:id="173"/>
      <w:bookmarkEnd w:id="174"/>
      <w:r>
        <w:rPr>
          <w:snapToGrid w:val="0"/>
        </w:rPr>
        <w:t xml:space="preserve"> </w:t>
      </w:r>
    </w:p>
    <w:p>
      <w:pPr>
        <w:pStyle w:val="Subsection"/>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 or</w:t>
      </w:r>
    </w:p>
    <w:p>
      <w:pPr>
        <w:pStyle w:val="Indenta"/>
        <w:rPr>
          <w:snapToGrid w:val="0"/>
        </w:rPr>
      </w:pPr>
      <w:r>
        <w:rPr>
          <w:snapToGrid w:val="0"/>
        </w:rPr>
        <w:tab/>
        <w:t>(b)</w:t>
      </w:r>
      <w:r>
        <w:rPr>
          <w:snapToGrid w:val="0"/>
        </w:rPr>
        <w:tab/>
        <w:t>rent of an increased amount; or</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spacing w:before="14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r>
        <w:tab/>
        <w:t xml:space="preserve">[Section 57 amended by No. 60 of 2011 s. 54 and 88.] </w:t>
      </w:r>
    </w:p>
    <w:p>
      <w:pPr>
        <w:pStyle w:val="Heading5"/>
        <w:rPr>
          <w:snapToGrid w:val="0"/>
        </w:rPr>
      </w:pPr>
      <w:bookmarkStart w:id="175" w:name="_Toc411611639"/>
      <w:bookmarkStart w:id="176" w:name="_Toc468698264"/>
      <w:r>
        <w:rPr>
          <w:rStyle w:val="CharSectno"/>
        </w:rPr>
        <w:t>58</w:t>
      </w:r>
      <w:r>
        <w:rPr>
          <w:snapToGrid w:val="0"/>
        </w:rPr>
        <w:t>.</w:t>
      </w:r>
      <w:r>
        <w:rPr>
          <w:snapToGrid w:val="0"/>
        </w:rPr>
        <w:tab/>
        <w:t>Duty of mitigation</w:t>
      </w:r>
      <w:bookmarkEnd w:id="175"/>
      <w:bookmarkEnd w:id="176"/>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r>
        <w:tab/>
        <w:t xml:space="preserve">[Section 58 amended by No. 60 of 2011 s. 55.] </w:t>
      </w:r>
    </w:p>
    <w:p>
      <w:pPr>
        <w:pStyle w:val="Heading5"/>
      </w:pPr>
      <w:bookmarkStart w:id="177" w:name="_Toc411611640"/>
      <w:bookmarkStart w:id="178" w:name="_Toc468698265"/>
      <w:r>
        <w:rPr>
          <w:rStyle w:val="CharSectno"/>
        </w:rPr>
        <w:t>59A</w:t>
      </w:r>
      <w:r>
        <w:t>.</w:t>
      </w:r>
      <w:r>
        <w:tab/>
        <w:t>Minors</w:t>
      </w:r>
      <w:bookmarkEnd w:id="177"/>
      <w:bookmarkEnd w:id="178"/>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spacing w:before="70"/>
      </w:pPr>
      <w:r>
        <w:tab/>
        <w:t>(a)</w:t>
      </w:r>
      <w:r>
        <w:tab/>
        <w:t>a minor has the capacity to enter into a residential tenancy agreement as a tenant; and</w:t>
      </w:r>
    </w:p>
    <w:p>
      <w:pPr>
        <w:pStyle w:val="Indenta"/>
        <w:spacing w:before="70"/>
      </w:pPr>
      <w:r>
        <w:tab/>
        <w:t>(b)</w:t>
      </w:r>
      <w:r>
        <w:tab/>
        <w:t>a residential tenancy agreement may be enforced in accordance with this Act against a minor who is a tenant.</w:t>
      </w:r>
    </w:p>
    <w:p>
      <w:pPr>
        <w:pStyle w:val="Footnotesection"/>
      </w:pPr>
      <w:r>
        <w:tab/>
        <w:t>[Section 59A inserted by No. 60 of 2011 s. 56.]</w:t>
      </w:r>
    </w:p>
    <w:p>
      <w:pPr>
        <w:pStyle w:val="Heading5"/>
      </w:pPr>
      <w:bookmarkStart w:id="179" w:name="_Toc411611641"/>
      <w:bookmarkStart w:id="180" w:name="_Toc468698266"/>
      <w:r>
        <w:rPr>
          <w:rStyle w:val="CharSectno"/>
        </w:rPr>
        <w:t>59B</w:t>
      </w:r>
      <w:r>
        <w:t>.</w:t>
      </w:r>
      <w:r>
        <w:tab/>
        <w:t>Death of one of 2 or more tenants</w:t>
      </w:r>
      <w:bookmarkEnd w:id="179"/>
      <w:bookmarkEnd w:id="180"/>
    </w:p>
    <w:p>
      <w:pPr>
        <w:pStyle w:val="Subsection"/>
      </w:pPr>
      <w:r>
        <w:tab/>
        <w:t>(1)</w:t>
      </w:r>
      <w:r>
        <w:tab/>
        <w:t>This section applies if —</w:t>
      </w:r>
    </w:p>
    <w:p>
      <w:pPr>
        <w:pStyle w:val="Indenta"/>
        <w:spacing w:before="70"/>
      </w:pPr>
      <w:r>
        <w:tab/>
        <w:t>(a)</w:t>
      </w:r>
      <w:r>
        <w:tab/>
        <w:t>2 or more tenants are parties to a residential tenancy agreement; and</w:t>
      </w:r>
    </w:p>
    <w:p>
      <w:pPr>
        <w:pStyle w:val="Indenta"/>
        <w:spacing w:before="70"/>
      </w:pPr>
      <w:r>
        <w:tab/>
        <w:t>(b)</w:t>
      </w:r>
      <w:r>
        <w:tab/>
        <w:t>the tenants are not joint tenants under the agreement; and</w:t>
      </w:r>
    </w:p>
    <w:p>
      <w:pPr>
        <w:pStyle w:val="Indenta"/>
        <w:spacing w:before="70"/>
      </w:pPr>
      <w:r>
        <w:tab/>
        <w:t>(c)</w:t>
      </w:r>
      <w:r>
        <w:tab/>
        <w:t>one of the tenants dies.</w:t>
      </w:r>
    </w:p>
    <w:p>
      <w:pPr>
        <w:pStyle w:val="Subsection"/>
      </w:pPr>
      <w:r>
        <w:tab/>
        <w:t>(2)</w:t>
      </w:r>
      <w:r>
        <w:tab/>
        <w:t>On the death of the tenant —</w:t>
      </w:r>
    </w:p>
    <w:p>
      <w:pPr>
        <w:pStyle w:val="Indenta"/>
        <w:spacing w:before="70"/>
      </w:pPr>
      <w:r>
        <w:tab/>
        <w:t>(a)</w:t>
      </w:r>
      <w:r>
        <w:tab/>
        <w:t>the deceased tenant’s interest in the tenancy ends; and</w:t>
      </w:r>
    </w:p>
    <w:p>
      <w:pPr>
        <w:pStyle w:val="Indenta"/>
        <w:spacing w:before="70"/>
      </w:pPr>
      <w:r>
        <w:tab/>
        <w:t>(b)</w:t>
      </w:r>
      <w:r>
        <w:tab/>
        <w:t>the agreement continues in force with the parties to the agreement being the lessor and the surviving tenant or tenants.</w:t>
      </w:r>
    </w:p>
    <w:p>
      <w:pPr>
        <w:pStyle w:val="Subsection"/>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r>
        <w:tab/>
        <w:t>[Section 59B inserted by No. 60 of 2011 s. 56.]</w:t>
      </w:r>
    </w:p>
    <w:p>
      <w:pPr>
        <w:pStyle w:val="Heading5"/>
      </w:pPr>
      <w:bookmarkStart w:id="181" w:name="_Toc411611642"/>
      <w:bookmarkStart w:id="182" w:name="_Toc468698267"/>
      <w:r>
        <w:rPr>
          <w:rStyle w:val="CharSectno"/>
        </w:rPr>
        <w:t>59C</w:t>
      </w:r>
      <w:r>
        <w:t>.</w:t>
      </w:r>
      <w:r>
        <w:tab/>
        <w:t>Recognition of certain persons as tenants</w:t>
      </w:r>
      <w:bookmarkEnd w:id="181"/>
      <w:bookmarkEnd w:id="182"/>
    </w:p>
    <w:p>
      <w:pPr>
        <w:pStyle w:val="Subsection"/>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pPr>
      <w:r>
        <w:tab/>
        <w:t>(3)</w:t>
      </w:r>
      <w:r>
        <w:tab/>
        <w:t xml:space="preserve">On application by a person under this section the court may make either or both of the following orders — </w:t>
      </w:r>
    </w:p>
    <w:p>
      <w:pPr>
        <w:pStyle w:val="Indenta"/>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r>
        <w:tab/>
        <w:t>[Section 59C inserted by No. 60 of 2011 s. 56.]</w:t>
      </w:r>
    </w:p>
    <w:p>
      <w:pPr>
        <w:pStyle w:val="Heading5"/>
      </w:pPr>
      <w:bookmarkStart w:id="183" w:name="_Toc411611643"/>
      <w:bookmarkStart w:id="184" w:name="_Toc468698268"/>
      <w:r>
        <w:rPr>
          <w:rStyle w:val="CharSectno"/>
        </w:rPr>
        <w:t>59D</w:t>
      </w:r>
      <w:r>
        <w:t>.</w:t>
      </w:r>
      <w:r>
        <w:tab/>
        <w:t>Tenant compensation bonds</w:t>
      </w:r>
      <w:bookmarkEnd w:id="183"/>
      <w:bookmarkEnd w:id="184"/>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pPr>
      <w:r>
        <w:tab/>
        <w:t>(a)</w:t>
      </w:r>
      <w:r>
        <w:tab/>
        <w:t>Schedule 1 clause 10; or</w:t>
      </w:r>
    </w:p>
    <w:p>
      <w:pPr>
        <w:pStyle w:val="Indenta"/>
      </w:pPr>
      <w:r>
        <w:tab/>
        <w:t>(b)</w:t>
      </w:r>
      <w:r>
        <w:tab/>
        <w:t>an order under subsection (5) and Schedule 1 clause 11.</w:t>
      </w:r>
    </w:p>
    <w:p>
      <w:pPr>
        <w:pStyle w:val="Footnotesection"/>
      </w:pPr>
      <w:r>
        <w:tab/>
        <w:t>[Section 59D inserted by No. 60 of 2011 s. 56.]</w:t>
      </w:r>
    </w:p>
    <w:p>
      <w:pPr>
        <w:pStyle w:val="Heading5"/>
      </w:pPr>
      <w:bookmarkStart w:id="185" w:name="_Toc411611644"/>
      <w:bookmarkStart w:id="186" w:name="_Toc468698269"/>
      <w:r>
        <w:rPr>
          <w:rStyle w:val="CharSectno"/>
        </w:rPr>
        <w:t>59E</w:t>
      </w:r>
      <w:r>
        <w:t>.</w:t>
      </w:r>
      <w:r>
        <w:tab/>
      </w:r>
      <w:r>
        <w:rPr>
          <w:snapToGrid w:val="0"/>
        </w:rPr>
        <w:t>Interference with quiet enjoyment</w:t>
      </w:r>
      <w:bookmarkEnd w:id="185"/>
      <w:bookmarkEnd w:id="186"/>
    </w:p>
    <w:p>
      <w:pPr>
        <w:pStyle w:val="Subsection"/>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pPr>
      <w:r>
        <w:tab/>
        <w:t>Penalty: a fine of $10 000.</w:t>
      </w:r>
    </w:p>
    <w:p>
      <w:pPr>
        <w:pStyle w:val="Subsection"/>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pPr>
      <w:r>
        <w:tab/>
        <w:t>[Section 59E inserted by No. 60 of 2011 s. 56.]</w:t>
      </w:r>
    </w:p>
    <w:p>
      <w:pPr>
        <w:pStyle w:val="Heading5"/>
      </w:pPr>
      <w:bookmarkStart w:id="187" w:name="_Toc411611645"/>
      <w:bookmarkStart w:id="188" w:name="_Toc468698270"/>
      <w:r>
        <w:rPr>
          <w:rStyle w:val="CharSectno"/>
        </w:rPr>
        <w:t>59F</w:t>
      </w:r>
      <w:r>
        <w:t>.</w:t>
      </w:r>
      <w:r>
        <w:tab/>
      </w:r>
      <w:r>
        <w:rPr>
          <w:snapToGrid w:val="0"/>
        </w:rPr>
        <w:t>Offences relating to security of residential premises</w:t>
      </w:r>
      <w:bookmarkEnd w:id="187"/>
      <w:bookmarkEnd w:id="188"/>
    </w:p>
    <w:p>
      <w:pPr>
        <w:pStyle w:val="Subsection"/>
      </w:pPr>
      <w:r>
        <w:tab/>
        <w:t>(1)</w:t>
      </w:r>
      <w:r>
        <w:tab/>
        <w:t>A lessor or tenant who breaches the term referred to in section 45(b) without reasonable excuse commits an offence.</w:t>
      </w:r>
    </w:p>
    <w:p>
      <w:pPr>
        <w:pStyle w:val="Penstart"/>
      </w:pPr>
      <w:r>
        <w:tab/>
        <w:t>Penalty: a fine of $20 000.</w:t>
      </w:r>
    </w:p>
    <w:p>
      <w:pPr>
        <w:pStyle w:val="Subsection"/>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pPr>
      <w:r>
        <w:tab/>
        <w:t>Penalty: a fine of $20 000.</w:t>
      </w:r>
    </w:p>
    <w:p>
      <w:pPr>
        <w:pStyle w:val="Subsection"/>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pPr>
      <w:r>
        <w:tab/>
        <w:t>[Section 59F inserted by No. 60 of 2011 s. 56.]</w:t>
      </w:r>
    </w:p>
    <w:p>
      <w:pPr>
        <w:pStyle w:val="Heading2"/>
      </w:pPr>
      <w:bookmarkStart w:id="189" w:name="_Toc411611646"/>
      <w:bookmarkStart w:id="190" w:name="_Toc425252937"/>
      <w:bookmarkStart w:id="191" w:name="_Toc435029026"/>
      <w:bookmarkStart w:id="192" w:name="_Toc468698271"/>
      <w:r>
        <w:rPr>
          <w:rStyle w:val="CharPartNo"/>
        </w:rPr>
        <w:t>Part V</w:t>
      </w:r>
      <w:r>
        <w:t> — </w:t>
      </w:r>
      <w:r>
        <w:rPr>
          <w:rStyle w:val="CharPartText"/>
        </w:rPr>
        <w:t>Termination of residential tenancy agreements</w:t>
      </w:r>
      <w:bookmarkEnd w:id="189"/>
      <w:bookmarkEnd w:id="190"/>
      <w:bookmarkEnd w:id="191"/>
      <w:bookmarkEnd w:id="192"/>
    </w:p>
    <w:p>
      <w:pPr>
        <w:pStyle w:val="Heading3"/>
      </w:pPr>
      <w:bookmarkStart w:id="193" w:name="_Toc411611647"/>
      <w:bookmarkStart w:id="194" w:name="_Toc425252938"/>
      <w:bookmarkStart w:id="195" w:name="_Toc435029027"/>
      <w:bookmarkStart w:id="196" w:name="_Toc468698272"/>
      <w:r>
        <w:rPr>
          <w:rStyle w:val="CharDivNo"/>
        </w:rPr>
        <w:t>Division 1</w:t>
      </w:r>
      <w:r>
        <w:t> — </w:t>
      </w:r>
      <w:r>
        <w:rPr>
          <w:rStyle w:val="CharDivText"/>
        </w:rPr>
        <w:t>How residential tenancy agreements are terminated</w:t>
      </w:r>
      <w:bookmarkEnd w:id="193"/>
      <w:bookmarkEnd w:id="194"/>
      <w:bookmarkEnd w:id="195"/>
      <w:bookmarkEnd w:id="196"/>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197" w:name="_Toc411611648"/>
      <w:bookmarkStart w:id="198" w:name="_Toc468698273"/>
      <w:r>
        <w:rPr>
          <w:rStyle w:val="CharSectno"/>
        </w:rPr>
        <w:t>60</w:t>
      </w:r>
      <w:r>
        <w:rPr>
          <w:snapToGrid w:val="0"/>
        </w:rPr>
        <w:t>.</w:t>
      </w:r>
      <w:r>
        <w:rPr>
          <w:snapToGrid w:val="0"/>
        </w:rPr>
        <w:tab/>
        <w:t>How residential tenancy agreements are terminated</w:t>
      </w:r>
      <w:bookmarkEnd w:id="197"/>
      <w:bookmarkEnd w:id="198"/>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199" w:name="_Toc411611649"/>
      <w:bookmarkStart w:id="200" w:name="_Toc425252940"/>
      <w:bookmarkStart w:id="201" w:name="_Toc435029029"/>
      <w:bookmarkStart w:id="202" w:name="_Toc468698274"/>
      <w:r>
        <w:rPr>
          <w:rStyle w:val="CharDivNo"/>
        </w:rPr>
        <w:t>Division 2</w:t>
      </w:r>
      <w:r>
        <w:t> — </w:t>
      </w:r>
      <w:r>
        <w:rPr>
          <w:rStyle w:val="CharDivText"/>
        </w:rPr>
        <w:t>Notices of termination</w:t>
      </w:r>
      <w:bookmarkEnd w:id="199"/>
      <w:bookmarkEnd w:id="200"/>
      <w:bookmarkEnd w:id="201"/>
      <w:bookmarkEnd w:id="202"/>
    </w:p>
    <w:p>
      <w:pPr>
        <w:pStyle w:val="Footnoteheading"/>
      </w:pPr>
      <w:r>
        <w:tab/>
        <w:t>[Heading inserted by No. 60 of 2011 s. 60.]</w:t>
      </w:r>
    </w:p>
    <w:p>
      <w:pPr>
        <w:pStyle w:val="Heading5"/>
      </w:pPr>
      <w:bookmarkStart w:id="203" w:name="_Toc411611650"/>
      <w:bookmarkStart w:id="204" w:name="_Toc468698275"/>
      <w:r>
        <w:rPr>
          <w:rStyle w:val="CharSectno"/>
        </w:rPr>
        <w:t>61</w:t>
      </w:r>
      <w:r>
        <w:t>.</w:t>
      </w:r>
      <w:r>
        <w:tab/>
        <w:t>Form of notice of termination by lessor</w:t>
      </w:r>
      <w:bookmarkEnd w:id="203"/>
      <w:bookmarkEnd w:id="204"/>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205" w:name="_Toc411611651"/>
      <w:bookmarkStart w:id="206" w:name="_Toc468698276"/>
      <w:r>
        <w:rPr>
          <w:rStyle w:val="CharSectno"/>
        </w:rPr>
        <w:t>62</w:t>
      </w:r>
      <w:r>
        <w:rPr>
          <w:snapToGrid w:val="0"/>
        </w:rPr>
        <w:t>.</w:t>
      </w:r>
      <w:r>
        <w:rPr>
          <w:snapToGrid w:val="0"/>
        </w:rPr>
        <w:tab/>
        <w:t>Notice of termination by lessor upon ground of breach of term of agreement</w:t>
      </w:r>
      <w:bookmarkEnd w:id="205"/>
      <w:bookmarkEnd w:id="206"/>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207" w:name="_Toc411611652"/>
      <w:bookmarkStart w:id="208" w:name="_Toc468698277"/>
      <w:r>
        <w:rPr>
          <w:rStyle w:val="CharSectno"/>
        </w:rPr>
        <w:t>63</w:t>
      </w:r>
      <w:r>
        <w:t>.</w:t>
      </w:r>
      <w:r>
        <w:tab/>
        <w:t>Notice of termination by lessor who has entered into contract of sale</w:t>
      </w:r>
      <w:bookmarkEnd w:id="207"/>
      <w:bookmarkEnd w:id="208"/>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r>
        <w:tab/>
        <w:t>[Section 63 inserted by No. 60 of 2011 s. 63.]</w:t>
      </w:r>
    </w:p>
    <w:p>
      <w:pPr>
        <w:pStyle w:val="Heading5"/>
      </w:pPr>
      <w:bookmarkStart w:id="209" w:name="_Toc411611653"/>
      <w:bookmarkStart w:id="210" w:name="_Toc468698278"/>
      <w:r>
        <w:rPr>
          <w:rStyle w:val="CharSectno"/>
        </w:rPr>
        <w:t>64</w:t>
      </w:r>
      <w:r>
        <w:t>.</w:t>
      </w:r>
      <w:r>
        <w:tab/>
        <w:t>Notice of termination by lessor without any ground</w:t>
      </w:r>
      <w:bookmarkEnd w:id="209"/>
      <w:bookmarkEnd w:id="210"/>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211" w:name="_Toc411611654"/>
      <w:bookmarkStart w:id="212" w:name="_Toc468698279"/>
      <w:r>
        <w:rPr>
          <w:rStyle w:val="CharSectno"/>
        </w:rPr>
        <w:t>65</w:t>
      </w:r>
      <w:r>
        <w:rPr>
          <w:snapToGrid w:val="0"/>
        </w:rPr>
        <w:t>.</w:t>
      </w:r>
      <w:r>
        <w:rPr>
          <w:snapToGrid w:val="0"/>
        </w:rPr>
        <w:tab/>
        <w:t>Termination by lessor where s. 32 invoked</w:t>
      </w:r>
      <w:bookmarkEnd w:id="211"/>
      <w:bookmarkEnd w:id="212"/>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a lessor</w:t>
      </w:r>
      <w:r>
        <w:rPr>
          <w:snapToGrid w:val="0"/>
        </w:rPr>
        <w:t xml:space="preserve">, authorise </w:t>
      </w:r>
      <w:r>
        <w:t>the lessor</w:t>
      </w:r>
      <w:r>
        <w:rPr>
          <w:snapToGrid w:val="0"/>
        </w:rPr>
        <w:t xml:space="preserve"> to give notice of termination, if it is satisfied that neither the institution of the proceedings for the order nor the making of the order has wholly or partly motivated </w:t>
      </w:r>
      <w:r>
        <w:t>the lessor</w:t>
      </w:r>
      <w:r>
        <w:rPr>
          <w:snapToGrid w:val="0"/>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213" w:name="_Toc411611655"/>
      <w:bookmarkStart w:id="214" w:name="_Toc468698280"/>
      <w:r>
        <w:rPr>
          <w:rStyle w:val="CharSectno"/>
        </w:rPr>
        <w:t>66</w:t>
      </w:r>
      <w:r>
        <w:rPr>
          <w:snapToGrid w:val="0"/>
        </w:rPr>
        <w:t>.</w:t>
      </w:r>
      <w:r>
        <w:rPr>
          <w:snapToGrid w:val="0"/>
        </w:rPr>
        <w:tab/>
        <w:t>Notice by lessor not waived by acceptance of rent</w:t>
      </w:r>
      <w:bookmarkEnd w:id="213"/>
      <w:bookmarkEnd w:id="214"/>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r>
        <w:tab/>
        <w:t xml:space="preserve">[Section 66 amended by No. 60 of 2011 s. 65 and 89.] </w:t>
      </w:r>
    </w:p>
    <w:p>
      <w:pPr>
        <w:pStyle w:val="Heading5"/>
        <w:rPr>
          <w:snapToGrid w:val="0"/>
        </w:rPr>
      </w:pPr>
      <w:bookmarkStart w:id="215" w:name="_Toc411611656"/>
      <w:bookmarkStart w:id="216" w:name="_Toc468698281"/>
      <w:r>
        <w:rPr>
          <w:rStyle w:val="CharSectno"/>
        </w:rPr>
        <w:t>67</w:t>
      </w:r>
      <w:r>
        <w:rPr>
          <w:snapToGrid w:val="0"/>
        </w:rPr>
        <w:t>.</w:t>
      </w:r>
      <w:r>
        <w:rPr>
          <w:snapToGrid w:val="0"/>
        </w:rPr>
        <w:tab/>
        <w:t>Form of notice of termination by tenant</w:t>
      </w:r>
      <w:bookmarkEnd w:id="215"/>
      <w:bookmarkEnd w:id="216"/>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r>
        <w:tab/>
        <w:t xml:space="preserve">[Section 67 amended by No. 60 of 2011 s. 88.] </w:t>
      </w:r>
    </w:p>
    <w:p>
      <w:pPr>
        <w:pStyle w:val="Heading5"/>
        <w:rPr>
          <w:snapToGrid w:val="0"/>
        </w:rPr>
      </w:pPr>
      <w:bookmarkStart w:id="217" w:name="_Toc411611657"/>
      <w:bookmarkStart w:id="218" w:name="_Toc468698282"/>
      <w:r>
        <w:rPr>
          <w:rStyle w:val="CharSectno"/>
        </w:rPr>
        <w:t>68</w:t>
      </w:r>
      <w:r>
        <w:rPr>
          <w:snapToGrid w:val="0"/>
        </w:rPr>
        <w:t>.</w:t>
      </w:r>
      <w:r>
        <w:rPr>
          <w:snapToGrid w:val="0"/>
        </w:rPr>
        <w:tab/>
        <w:t>Notice of termination by tenant</w:t>
      </w:r>
      <w:bookmarkEnd w:id="217"/>
      <w:bookmarkEnd w:id="218"/>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r>
        <w:tab/>
        <w:t xml:space="preserve">[Section 68 amended by No. 60 of 2011 s. 66, 88 and 89.] </w:t>
      </w:r>
    </w:p>
    <w:p>
      <w:pPr>
        <w:pStyle w:val="Heading5"/>
        <w:rPr>
          <w:snapToGrid w:val="0"/>
        </w:rPr>
      </w:pPr>
      <w:bookmarkStart w:id="219" w:name="_Toc411611658"/>
      <w:bookmarkStart w:id="220" w:name="_Toc468698283"/>
      <w:r>
        <w:rPr>
          <w:rStyle w:val="CharSectno"/>
        </w:rPr>
        <w:t>69</w:t>
      </w:r>
      <w:r>
        <w:rPr>
          <w:snapToGrid w:val="0"/>
        </w:rPr>
        <w:t>.</w:t>
      </w:r>
      <w:r>
        <w:rPr>
          <w:snapToGrid w:val="0"/>
        </w:rPr>
        <w:tab/>
        <w:t>Notice of termination by lessor or tenant where agreement frustrated</w:t>
      </w:r>
      <w:bookmarkEnd w:id="219"/>
      <w:bookmarkEnd w:id="220"/>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rPr>
      </w:pPr>
      <w:r>
        <w:rPr>
          <w:snapToGrid w:val="0"/>
        </w:rPr>
        <w:tab/>
        <w:t>(4)</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r>
        <w:tab/>
        <w:t xml:space="preserve">[Section 69 amended by No. 60 of 2011 s. 67, 88 and 89.] </w:t>
      </w:r>
    </w:p>
    <w:p>
      <w:pPr>
        <w:pStyle w:val="Heading5"/>
      </w:pPr>
      <w:bookmarkStart w:id="221" w:name="_Toc411611659"/>
      <w:bookmarkStart w:id="222" w:name="_Toc468698284"/>
      <w:r>
        <w:rPr>
          <w:rStyle w:val="CharSectno"/>
        </w:rPr>
        <w:t>70A</w:t>
      </w:r>
      <w:r>
        <w:t>.</w:t>
      </w:r>
      <w:r>
        <w:tab/>
        <w:t>Notice of termination by lessor or tenant at end of fixed term tenancy</w:t>
      </w:r>
      <w:bookmarkEnd w:id="221"/>
      <w:bookmarkEnd w:id="222"/>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223" w:name="_Toc411611660"/>
      <w:bookmarkStart w:id="224" w:name="_Toc468698285"/>
      <w:r>
        <w:rPr>
          <w:rStyle w:val="CharSectno"/>
        </w:rPr>
        <w:t>70</w:t>
      </w:r>
      <w:r>
        <w:rPr>
          <w:snapToGrid w:val="0"/>
        </w:rPr>
        <w:t>.</w:t>
      </w:r>
      <w:r>
        <w:rPr>
          <w:snapToGrid w:val="0"/>
        </w:rPr>
        <w:tab/>
        <w:t>Effect of notice of termination of periodic tenancy</w:t>
      </w:r>
      <w:bookmarkEnd w:id="223"/>
      <w:bookmarkEnd w:id="224"/>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r>
        <w:tab/>
        <w:t xml:space="preserve">[Section 70 amended by No. 60 of 2011 s. 88.] </w:t>
      </w:r>
    </w:p>
    <w:p>
      <w:pPr>
        <w:pStyle w:val="Heading3"/>
      </w:pPr>
      <w:bookmarkStart w:id="225" w:name="_Toc411611661"/>
      <w:bookmarkStart w:id="226" w:name="_Toc425252952"/>
      <w:bookmarkStart w:id="227" w:name="_Toc435029041"/>
      <w:bookmarkStart w:id="228" w:name="_Toc468698286"/>
      <w:r>
        <w:rPr>
          <w:rStyle w:val="CharDivNo"/>
        </w:rPr>
        <w:t>Division 3</w:t>
      </w:r>
      <w:r>
        <w:t> — </w:t>
      </w:r>
      <w:r>
        <w:rPr>
          <w:rStyle w:val="CharDivText"/>
        </w:rPr>
        <w:t>Special provisions about terminating social housing tenancy agreements</w:t>
      </w:r>
      <w:bookmarkEnd w:id="225"/>
      <w:bookmarkEnd w:id="226"/>
      <w:bookmarkEnd w:id="227"/>
      <w:bookmarkEnd w:id="228"/>
    </w:p>
    <w:p>
      <w:pPr>
        <w:pStyle w:val="Footnoteheading"/>
      </w:pPr>
      <w:r>
        <w:tab/>
        <w:t>[Heading inserted by No. 60 of 2011 s. 92.]</w:t>
      </w:r>
    </w:p>
    <w:p>
      <w:pPr>
        <w:pStyle w:val="Heading4"/>
      </w:pPr>
      <w:bookmarkStart w:id="229" w:name="_Toc411611662"/>
      <w:bookmarkStart w:id="230" w:name="_Toc425252953"/>
      <w:bookmarkStart w:id="231" w:name="_Toc435029042"/>
      <w:bookmarkStart w:id="232" w:name="_Toc468698287"/>
      <w:r>
        <w:t>Subdivision 1 — Preliminary</w:t>
      </w:r>
      <w:bookmarkEnd w:id="229"/>
      <w:bookmarkEnd w:id="230"/>
      <w:bookmarkEnd w:id="231"/>
      <w:bookmarkEnd w:id="232"/>
    </w:p>
    <w:p>
      <w:pPr>
        <w:pStyle w:val="Footnoteheading"/>
      </w:pPr>
      <w:r>
        <w:tab/>
        <w:t>[Heading inserted by No. 60 of 2011 s. 92.]</w:t>
      </w:r>
    </w:p>
    <w:p>
      <w:pPr>
        <w:pStyle w:val="Heading5"/>
      </w:pPr>
      <w:bookmarkStart w:id="233" w:name="_Toc411611663"/>
      <w:bookmarkStart w:id="234" w:name="_Toc468698288"/>
      <w:r>
        <w:rPr>
          <w:rStyle w:val="CharSectno"/>
        </w:rPr>
        <w:t>71A</w:t>
      </w:r>
      <w:r>
        <w:t>.</w:t>
      </w:r>
      <w:r>
        <w:tab/>
        <w:t>Terms used</w:t>
      </w:r>
      <w:bookmarkEnd w:id="233"/>
      <w:bookmarkEnd w:id="234"/>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r>
        <w:tab/>
        <w:t>[Section 71A inserted by No. 60 of 2011 s. 92.]</w:t>
      </w:r>
    </w:p>
    <w:p>
      <w:pPr>
        <w:pStyle w:val="Heading5"/>
      </w:pPr>
      <w:bookmarkStart w:id="235" w:name="_Toc411611664"/>
      <w:bookmarkStart w:id="236" w:name="_Toc468698289"/>
      <w:r>
        <w:rPr>
          <w:rStyle w:val="CharSectno"/>
        </w:rPr>
        <w:t>71B</w:t>
      </w:r>
      <w:r>
        <w:t>.</w:t>
      </w:r>
      <w:r>
        <w:tab/>
        <w:t>Application of Division</w:t>
      </w:r>
      <w:bookmarkEnd w:id="235"/>
      <w:bookmarkEnd w:id="236"/>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237" w:name="_Toc411611665"/>
      <w:bookmarkStart w:id="238" w:name="_Toc425252956"/>
      <w:bookmarkStart w:id="239" w:name="_Toc435029045"/>
      <w:bookmarkStart w:id="240" w:name="_Toc468698290"/>
      <w:r>
        <w:t>Subdivision 2 — Notice of termination where tenant not eligible for social housing premises</w:t>
      </w:r>
      <w:bookmarkEnd w:id="237"/>
      <w:bookmarkEnd w:id="238"/>
      <w:bookmarkEnd w:id="239"/>
      <w:bookmarkEnd w:id="240"/>
    </w:p>
    <w:p>
      <w:pPr>
        <w:pStyle w:val="Footnoteheading"/>
      </w:pPr>
      <w:r>
        <w:tab/>
        <w:t>[Heading inserted by No. 60 of 2011 s. 92.]</w:t>
      </w:r>
    </w:p>
    <w:p>
      <w:pPr>
        <w:pStyle w:val="Heading5"/>
        <w:rPr>
          <w:snapToGrid w:val="0"/>
        </w:rPr>
      </w:pPr>
      <w:bookmarkStart w:id="241" w:name="_Toc411611666"/>
      <w:bookmarkStart w:id="242" w:name="_Toc468698291"/>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241"/>
      <w:bookmarkEnd w:id="242"/>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r>
        <w:tab/>
        <w:t>[Section 71C inserted by No. 60 of 2011 s. 92.]</w:t>
      </w:r>
    </w:p>
    <w:p>
      <w:pPr>
        <w:pStyle w:val="Heading5"/>
      </w:pPr>
      <w:bookmarkStart w:id="243" w:name="_Toc411611667"/>
      <w:bookmarkStart w:id="244" w:name="_Toc468698292"/>
      <w:r>
        <w:rPr>
          <w:rStyle w:val="CharSectno"/>
        </w:rPr>
        <w:t>71D</w:t>
      </w:r>
      <w:r>
        <w:t>.</w:t>
      </w:r>
      <w:r>
        <w:tab/>
        <w:t>Assessment of tenants eligibility for social housing premises</w:t>
      </w:r>
      <w:bookmarkEnd w:id="243"/>
      <w:bookmarkEnd w:id="244"/>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r>
        <w:tab/>
        <w:t>[Section 71D inserted by No. 60 of 2011 s. 92.]</w:t>
      </w:r>
    </w:p>
    <w:p>
      <w:pPr>
        <w:pStyle w:val="Heading5"/>
      </w:pPr>
      <w:bookmarkStart w:id="245" w:name="_Toc411611668"/>
      <w:bookmarkStart w:id="246" w:name="_Toc468698293"/>
      <w:r>
        <w:rPr>
          <w:rStyle w:val="CharSectno"/>
        </w:rPr>
        <w:t>71E</w:t>
      </w:r>
      <w:r>
        <w:t>.</w:t>
      </w:r>
      <w:r>
        <w:tab/>
        <w:t>Criteria for assessing eligibility of tenants for social housing premises under s. 71D</w:t>
      </w:r>
      <w:bookmarkEnd w:id="245"/>
      <w:bookmarkEnd w:id="246"/>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r>
        <w:tab/>
        <w:t>[Section 71E inserted by No. 60 of 2011 s. 92.]</w:t>
      </w:r>
    </w:p>
    <w:p>
      <w:pPr>
        <w:pStyle w:val="Heading5"/>
      </w:pPr>
      <w:bookmarkStart w:id="247" w:name="_Toc411611669"/>
      <w:bookmarkStart w:id="248" w:name="_Toc468698294"/>
      <w:r>
        <w:rPr>
          <w:rStyle w:val="CharSectno"/>
        </w:rPr>
        <w:t>71F</w:t>
      </w:r>
      <w:r>
        <w:t>.</w:t>
      </w:r>
      <w:r>
        <w:tab/>
        <w:t>Review of decision to give notice on ground that tenant not eligible for social housing premises</w:t>
      </w:r>
      <w:bookmarkEnd w:id="247"/>
      <w:bookmarkEnd w:id="248"/>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r>
        <w:tab/>
        <w:t>[Section 71F inserted by No. 60 of 2011 s. 92.]</w:t>
      </w:r>
    </w:p>
    <w:p>
      <w:pPr>
        <w:pStyle w:val="Heading5"/>
        <w:rPr>
          <w:snapToGrid w:val="0"/>
        </w:rPr>
      </w:pPr>
      <w:bookmarkStart w:id="249" w:name="_Toc411611670"/>
      <w:bookmarkStart w:id="250" w:name="_Toc468698295"/>
      <w:r>
        <w:rPr>
          <w:rStyle w:val="CharSectno"/>
        </w:rPr>
        <w:t>71G</w:t>
      </w:r>
      <w:r>
        <w:t>.</w:t>
      </w:r>
      <w:r>
        <w:tab/>
        <w:t xml:space="preserve">Time </w:t>
      </w:r>
      <w:r>
        <w:rPr>
          <w:snapToGrid w:val="0"/>
        </w:rPr>
        <w:t>periods to be observed where notice of termination given under this Subdivision</w:t>
      </w:r>
      <w:bookmarkEnd w:id="249"/>
      <w:bookmarkEnd w:id="250"/>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251" w:name="_Toc411611671"/>
      <w:bookmarkStart w:id="252" w:name="_Toc425252962"/>
      <w:bookmarkStart w:id="253" w:name="_Toc435029051"/>
      <w:bookmarkStart w:id="254" w:name="_Toc468698296"/>
      <w:r>
        <w:t>Subdivision 3 — Notice of termination where tenant offered alternative social housing premises</w:t>
      </w:r>
      <w:bookmarkEnd w:id="251"/>
      <w:bookmarkEnd w:id="252"/>
      <w:bookmarkEnd w:id="253"/>
      <w:bookmarkEnd w:id="254"/>
    </w:p>
    <w:p>
      <w:pPr>
        <w:pStyle w:val="Footnoteheading"/>
        <w:spacing w:before="100"/>
      </w:pPr>
      <w:r>
        <w:tab/>
        <w:t>[Heading inserted by No. 60 of 2011 s. 92.]</w:t>
      </w:r>
    </w:p>
    <w:p>
      <w:pPr>
        <w:pStyle w:val="Heading5"/>
        <w:rPr>
          <w:snapToGrid w:val="0"/>
        </w:rPr>
      </w:pPr>
      <w:bookmarkStart w:id="255" w:name="_Toc411611672"/>
      <w:bookmarkStart w:id="256" w:name="_Toc468698297"/>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255"/>
      <w:bookmarkEnd w:id="256"/>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r>
        <w:tab/>
        <w:t>[Section 71H inserted by No. 60 of 2011 s. 92.]</w:t>
      </w:r>
    </w:p>
    <w:p>
      <w:pPr>
        <w:pStyle w:val="Heading5"/>
      </w:pPr>
      <w:bookmarkStart w:id="257" w:name="_Toc411611673"/>
      <w:bookmarkStart w:id="258" w:name="_Toc468698298"/>
      <w:r>
        <w:rPr>
          <w:rStyle w:val="CharSectno"/>
        </w:rPr>
        <w:t>71I</w:t>
      </w:r>
      <w:r>
        <w:t>.</w:t>
      </w:r>
      <w:r>
        <w:tab/>
        <w:t>Review of decision to give notice on ground that tenant offered alternative social housing premises</w:t>
      </w:r>
      <w:bookmarkEnd w:id="257"/>
      <w:bookmarkEnd w:id="258"/>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r>
        <w:tab/>
        <w:t>[Section 71I inserted by No. 60 of 2011 s. 92.]</w:t>
      </w:r>
    </w:p>
    <w:p>
      <w:pPr>
        <w:pStyle w:val="Heading5"/>
      </w:pPr>
      <w:bookmarkStart w:id="259" w:name="_Toc411611674"/>
      <w:bookmarkStart w:id="260" w:name="_Toc468698299"/>
      <w:r>
        <w:rPr>
          <w:rStyle w:val="CharSectno"/>
        </w:rPr>
        <w:t>71J</w:t>
      </w:r>
      <w:r>
        <w:t>.</w:t>
      </w:r>
      <w:r>
        <w:tab/>
        <w:t xml:space="preserve">Time periods to be observed </w:t>
      </w:r>
      <w:r>
        <w:rPr>
          <w:snapToGrid w:val="0"/>
        </w:rPr>
        <w:t xml:space="preserve">where notice of termination given </w:t>
      </w:r>
      <w:r>
        <w:t>under this Subdivision</w:t>
      </w:r>
      <w:bookmarkEnd w:id="259"/>
      <w:bookmarkEnd w:id="260"/>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261" w:name="_Toc411611675"/>
      <w:bookmarkStart w:id="262" w:name="_Toc425252966"/>
      <w:bookmarkStart w:id="263" w:name="_Toc435029055"/>
      <w:bookmarkStart w:id="264" w:name="_Toc468698300"/>
      <w:r>
        <w:rPr>
          <w:rStyle w:val="CharDivNo"/>
        </w:rPr>
        <w:t>Division 4</w:t>
      </w:r>
      <w:r>
        <w:t> — </w:t>
      </w:r>
      <w:r>
        <w:rPr>
          <w:rStyle w:val="CharDivText"/>
        </w:rPr>
        <w:t>Orders for termination of residential tenancy agreement</w:t>
      </w:r>
      <w:bookmarkEnd w:id="261"/>
      <w:bookmarkEnd w:id="262"/>
      <w:bookmarkEnd w:id="263"/>
      <w:bookmarkEnd w:id="264"/>
    </w:p>
    <w:p>
      <w:pPr>
        <w:pStyle w:val="Footnoteheading"/>
      </w:pPr>
      <w:r>
        <w:tab/>
        <w:t>[Heading inserted by No. 60 of 2011 s. 69.]</w:t>
      </w:r>
    </w:p>
    <w:p>
      <w:pPr>
        <w:pStyle w:val="Heading5"/>
        <w:rPr>
          <w:snapToGrid w:val="0"/>
        </w:rPr>
      </w:pPr>
      <w:bookmarkStart w:id="265" w:name="_Toc411611676"/>
      <w:bookmarkStart w:id="266" w:name="_Toc468698301"/>
      <w:r>
        <w:rPr>
          <w:rStyle w:val="CharSectno"/>
        </w:rPr>
        <w:t>71</w:t>
      </w:r>
      <w:r>
        <w:rPr>
          <w:snapToGrid w:val="0"/>
        </w:rPr>
        <w:t>.</w:t>
      </w:r>
      <w:r>
        <w:rPr>
          <w:snapToGrid w:val="0"/>
        </w:rPr>
        <w:tab/>
        <w:t>Application by lessor for termination and order for possession</w:t>
      </w:r>
      <w:bookmarkEnd w:id="265"/>
      <w:bookmarkEnd w:id="266"/>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rPr>
        <w:tab/>
        <w:t>(4)</w:t>
      </w:r>
      <w:r>
        <w:rPr>
          <w:snapToGrid w:val="0"/>
        </w:rPr>
        <w:tab/>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267" w:name="_Toc411611677"/>
      <w:bookmarkStart w:id="268" w:name="_Toc468698302"/>
      <w:r>
        <w:rPr>
          <w:rStyle w:val="CharSectno"/>
        </w:rPr>
        <w:t>72</w:t>
      </w:r>
      <w:r>
        <w:rPr>
          <w:snapToGrid w:val="0"/>
        </w:rPr>
        <w:t>.</w:t>
      </w:r>
      <w:r>
        <w:rPr>
          <w:snapToGrid w:val="0"/>
        </w:rPr>
        <w:tab/>
        <w:t>Application for termination and order for possession in relation to fixed term agreements</w:t>
      </w:r>
      <w:bookmarkEnd w:id="267"/>
      <w:bookmarkEnd w:id="268"/>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269" w:name="_Toc411611678"/>
      <w:bookmarkStart w:id="270" w:name="_Toc468698303"/>
      <w:r>
        <w:rPr>
          <w:rStyle w:val="CharSectno"/>
        </w:rPr>
        <w:t>73A</w:t>
      </w:r>
      <w:r>
        <w:t>.</w:t>
      </w:r>
      <w:r>
        <w:tab/>
        <w:t>Notice of termination not required in certain cases</w:t>
      </w:r>
      <w:bookmarkEnd w:id="269"/>
      <w:bookmarkEnd w:id="270"/>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271" w:name="_Toc411611679"/>
      <w:bookmarkStart w:id="272" w:name="_Toc468698304"/>
      <w:r>
        <w:rPr>
          <w:rStyle w:val="CharSectno"/>
        </w:rPr>
        <w:t>73</w:t>
      </w:r>
      <w:r>
        <w:rPr>
          <w:snapToGrid w:val="0"/>
        </w:rPr>
        <w:t>.</w:t>
      </w:r>
      <w:r>
        <w:rPr>
          <w:snapToGrid w:val="0"/>
        </w:rPr>
        <w:tab/>
        <w:t>Termination of agreement where tenant causing serious damage or injury</w:t>
      </w:r>
      <w:bookmarkEnd w:id="271"/>
      <w:bookmarkEnd w:id="272"/>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273" w:name="_Toc411611680"/>
      <w:bookmarkStart w:id="274" w:name="_Toc468698305"/>
      <w:r>
        <w:rPr>
          <w:rStyle w:val="CharSectno"/>
        </w:rPr>
        <w:t>74</w:t>
      </w:r>
      <w:r>
        <w:rPr>
          <w:snapToGrid w:val="0"/>
        </w:rPr>
        <w:t>.</w:t>
      </w:r>
      <w:r>
        <w:rPr>
          <w:snapToGrid w:val="0"/>
        </w:rPr>
        <w:tab/>
        <w:t>Termination of agreement where lessor or tenant would otherwise suffer undue hardship</w:t>
      </w:r>
      <w:bookmarkEnd w:id="273"/>
      <w:bookmarkEnd w:id="274"/>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275" w:name="_Toc411611681"/>
      <w:bookmarkStart w:id="276" w:name="_Toc468698306"/>
      <w:r>
        <w:rPr>
          <w:rStyle w:val="CharSectno"/>
        </w:rPr>
        <w:t>75A</w:t>
      </w:r>
      <w:r>
        <w:t>.</w:t>
      </w:r>
      <w:r>
        <w:tab/>
        <w:t>Termination of social housing tenancy agreement due to objectionable behaviour</w:t>
      </w:r>
      <w:bookmarkEnd w:id="275"/>
      <w:bookmarkEnd w:id="276"/>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277" w:name="_Toc411611682"/>
      <w:bookmarkStart w:id="278" w:name="_Toc468698307"/>
      <w:r>
        <w:rPr>
          <w:rStyle w:val="CharSectno"/>
        </w:rPr>
        <w:t>75</w:t>
      </w:r>
      <w:r>
        <w:rPr>
          <w:snapToGrid w:val="0"/>
        </w:rPr>
        <w:t>.</w:t>
      </w:r>
      <w:r>
        <w:rPr>
          <w:snapToGrid w:val="0"/>
        </w:rPr>
        <w:tab/>
        <w:t>Termination of agreement for breach by lessor</w:t>
      </w:r>
      <w:bookmarkEnd w:id="277"/>
      <w:bookmarkEnd w:id="278"/>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279" w:name="_Toc411611683"/>
      <w:bookmarkStart w:id="280" w:name="_Toc468698308"/>
      <w:r>
        <w:rPr>
          <w:rStyle w:val="CharSectno"/>
        </w:rPr>
        <w:t>76A</w:t>
      </w:r>
      <w:r>
        <w:t>.</w:t>
      </w:r>
      <w:r>
        <w:tab/>
        <w:t>Termination of agreement by lessor if premises abandoned</w:t>
      </w:r>
      <w:bookmarkEnd w:id="279"/>
      <w:bookmarkEnd w:id="280"/>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r>
        <w:tab/>
        <w:t>[Section 76A inserted by No. 60 of 2011 s. 74.]</w:t>
      </w:r>
    </w:p>
    <w:p>
      <w:pPr>
        <w:pStyle w:val="Heading5"/>
      </w:pPr>
      <w:bookmarkStart w:id="281" w:name="_Toc411611684"/>
      <w:bookmarkStart w:id="282" w:name="_Toc468698309"/>
      <w:r>
        <w:rPr>
          <w:rStyle w:val="CharSectno"/>
        </w:rPr>
        <w:t>76B</w:t>
      </w:r>
      <w:r>
        <w:t>.</w:t>
      </w:r>
      <w:r>
        <w:tab/>
        <w:t>Dispute about s. 76A notice</w:t>
      </w:r>
      <w:bookmarkEnd w:id="281"/>
      <w:bookmarkEnd w:id="282"/>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283" w:name="_Toc411611685"/>
      <w:bookmarkStart w:id="284" w:name="_Toc425252976"/>
      <w:bookmarkStart w:id="285" w:name="_Toc435029065"/>
      <w:bookmarkStart w:id="286" w:name="_Toc468698310"/>
      <w:r>
        <w:rPr>
          <w:rStyle w:val="CharDivNo"/>
        </w:rPr>
        <w:t>Division 5</w:t>
      </w:r>
      <w:r>
        <w:t> — </w:t>
      </w:r>
      <w:r>
        <w:rPr>
          <w:rStyle w:val="CharDivText"/>
        </w:rPr>
        <w:t>General</w:t>
      </w:r>
      <w:bookmarkEnd w:id="283"/>
      <w:bookmarkEnd w:id="284"/>
      <w:bookmarkEnd w:id="285"/>
      <w:bookmarkEnd w:id="286"/>
    </w:p>
    <w:p>
      <w:pPr>
        <w:pStyle w:val="Footnoteheading"/>
        <w:spacing w:before="80"/>
      </w:pPr>
      <w:r>
        <w:tab/>
        <w:t>[Heading inserted by No. 60 of 2011 s. 74.]</w:t>
      </w:r>
    </w:p>
    <w:p>
      <w:pPr>
        <w:pStyle w:val="Heading5"/>
      </w:pPr>
      <w:bookmarkStart w:id="287" w:name="_Toc411611686"/>
      <w:bookmarkStart w:id="288" w:name="_Toc468698311"/>
      <w:r>
        <w:rPr>
          <w:rStyle w:val="CharSectno"/>
        </w:rPr>
        <w:t>76C</w:t>
      </w:r>
      <w:r>
        <w:t>.</w:t>
      </w:r>
      <w:r>
        <w:tab/>
        <w:t>Fixed term tenancies continued as periodic tenancies</w:t>
      </w:r>
      <w:bookmarkEnd w:id="287"/>
      <w:bookmarkEnd w:id="288"/>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289" w:name="_Toc411611687"/>
      <w:bookmarkStart w:id="290" w:name="_Toc468698312"/>
      <w:r>
        <w:rPr>
          <w:rStyle w:val="CharSectno"/>
        </w:rPr>
        <w:t>76</w:t>
      </w:r>
      <w:r>
        <w:rPr>
          <w:snapToGrid w:val="0"/>
        </w:rPr>
        <w:t>.</w:t>
      </w:r>
      <w:r>
        <w:rPr>
          <w:snapToGrid w:val="0"/>
        </w:rPr>
        <w:tab/>
        <w:t>Compensation to lessor for holding over</w:t>
      </w:r>
      <w:bookmarkEnd w:id="289"/>
      <w:bookmarkEnd w:id="290"/>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291" w:name="_Toc411611688"/>
      <w:bookmarkStart w:id="292" w:name="_Toc468698313"/>
      <w:r>
        <w:rPr>
          <w:rStyle w:val="CharSectno"/>
        </w:rPr>
        <w:t>77</w:t>
      </w:r>
      <w:r>
        <w:t>.</w:t>
      </w:r>
      <w:r>
        <w:tab/>
        <w:t>Abandonment of premises</w:t>
      </w:r>
      <w:bookmarkEnd w:id="291"/>
      <w:bookmarkEnd w:id="292"/>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r>
        <w:tab/>
        <w:t>[Section 77 inserted by No. 60 of 2011 s. 75.]</w:t>
      </w:r>
    </w:p>
    <w:p>
      <w:pPr>
        <w:pStyle w:val="Heading5"/>
      </w:pPr>
      <w:bookmarkStart w:id="293" w:name="_Toc411611689"/>
      <w:bookmarkStart w:id="294" w:name="_Toc468698314"/>
      <w:r>
        <w:rPr>
          <w:rStyle w:val="CharSectno"/>
        </w:rPr>
        <w:t>78A</w:t>
      </w:r>
      <w:r>
        <w:t>.</w:t>
      </w:r>
      <w:r>
        <w:tab/>
        <w:t>Order about abandonment</w:t>
      </w:r>
      <w:bookmarkEnd w:id="293"/>
      <w:bookmarkEnd w:id="294"/>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r>
        <w:tab/>
        <w:t>[Section 78A inserted by No. 60 of 2011 s. 75.]</w:t>
      </w:r>
    </w:p>
    <w:p>
      <w:pPr>
        <w:pStyle w:val="Heading5"/>
      </w:pPr>
      <w:bookmarkStart w:id="295" w:name="_Toc411611690"/>
      <w:bookmarkStart w:id="296" w:name="_Toc468698315"/>
      <w:r>
        <w:rPr>
          <w:rStyle w:val="CharSectno"/>
        </w:rPr>
        <w:t>78B</w:t>
      </w:r>
      <w:r>
        <w:t>.</w:t>
      </w:r>
      <w:r>
        <w:tab/>
        <w:t>Review of abandonment order</w:t>
      </w:r>
      <w:bookmarkEnd w:id="295"/>
      <w:bookmarkEnd w:id="296"/>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297" w:name="_Toc411611691"/>
      <w:bookmarkStart w:id="298" w:name="_Toc468698316"/>
      <w:r>
        <w:rPr>
          <w:rStyle w:val="CharSectno"/>
        </w:rPr>
        <w:t>78</w:t>
      </w:r>
      <w:r>
        <w:rPr>
          <w:snapToGrid w:val="0"/>
        </w:rPr>
        <w:t>.</w:t>
      </w:r>
      <w:r>
        <w:rPr>
          <w:snapToGrid w:val="0"/>
        </w:rPr>
        <w:tab/>
      </w:r>
      <w:r>
        <w:rPr>
          <w:bCs/>
        </w:rPr>
        <w:t>Right of lessor to compensation where tenant abandons premises</w:t>
      </w:r>
      <w:bookmarkEnd w:id="297"/>
      <w:bookmarkEnd w:id="298"/>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rPr>
      </w:pPr>
      <w:r>
        <w:rPr>
          <w:snapToGrid w:val="0"/>
        </w:rPr>
        <w:tab/>
        <w:t>(2)</w:t>
      </w:r>
      <w:r>
        <w:rPr>
          <w:snapToGrid w:val="0"/>
        </w:rPr>
        <w:tab/>
        <w:t xml:space="preserve">A </w:t>
      </w:r>
      <w:r>
        <w:t>competent court</w:t>
      </w:r>
      <w:r>
        <w:rPr>
          <w:snapToGrid w:val="0"/>
        </w:rPr>
        <w:t xml:space="preserve"> may, upon application by </w:t>
      </w:r>
      <w:r>
        <w:t>the lessor</w:t>
      </w:r>
      <w:r>
        <w:rPr>
          <w:snapToGrid w:val="0"/>
        </w:rPr>
        <w:t xml:space="preserve">, order the tenant to pay to the lessor any compensation to which </w:t>
      </w:r>
      <w:r>
        <w:t>the lessor</w:t>
      </w:r>
      <w:r>
        <w:rPr>
          <w:snapToGrid w:val="0"/>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299" w:name="_Toc411611692"/>
      <w:bookmarkStart w:id="300" w:name="_Toc468698317"/>
      <w:r>
        <w:rPr>
          <w:rStyle w:val="CharSectno"/>
        </w:rPr>
        <w:t>79</w:t>
      </w:r>
      <w:r>
        <w:rPr>
          <w:snapToGrid w:val="0"/>
        </w:rPr>
        <w:t>.</w:t>
      </w:r>
      <w:r>
        <w:rPr>
          <w:snapToGrid w:val="0"/>
        </w:rPr>
        <w:tab/>
        <w:t>Abandoned goods</w:t>
      </w:r>
      <w:bookmarkEnd w:id="299"/>
      <w:bookmarkEnd w:id="300"/>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rPr>
      </w:pPr>
      <w:r>
        <w:rPr>
          <w:snapToGrid w:val="0"/>
        </w:rPr>
        <w:tab/>
        <w:t>(8)</w:t>
      </w:r>
      <w:r>
        <w:rPr>
          <w:snapToGrid w:val="0"/>
        </w:rPr>
        <w:tab/>
        <w:t xml:space="preserve">Where goods are stored under subsection (2) and have not been reclaimed within 60 days after the day on which they were removed and stored, </w:t>
      </w:r>
      <w:r>
        <w:t>the lessor</w:t>
      </w:r>
      <w:r>
        <w:rPr>
          <w:snapToGrid w:val="0"/>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301" w:name="_Toc411611693"/>
      <w:bookmarkStart w:id="302" w:name="_Toc468698318"/>
      <w:r>
        <w:rPr>
          <w:rStyle w:val="CharSectno"/>
        </w:rPr>
        <w:t>80A</w:t>
      </w:r>
      <w:r>
        <w:t>.</w:t>
      </w:r>
      <w:r>
        <w:tab/>
        <w:t>Abandoned documents</w:t>
      </w:r>
      <w:bookmarkEnd w:id="301"/>
      <w:bookmarkEnd w:id="302"/>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rPr>
        <w:t xml:space="preserve"> </w:t>
      </w:r>
      <w:r>
        <w:t>competent court</w:t>
      </w:r>
      <w:r>
        <w:rPr>
          <w:snapToGrid w:val="0"/>
        </w:rPr>
        <w:t xml:space="preserve"> may, on an application by the lessor, 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303" w:name="_Toc411611694"/>
      <w:bookmarkStart w:id="304" w:name="_Toc468698319"/>
      <w:r>
        <w:rPr>
          <w:rStyle w:val="CharSectno"/>
        </w:rPr>
        <w:t>80</w:t>
      </w:r>
      <w:r>
        <w:rPr>
          <w:snapToGrid w:val="0"/>
        </w:rPr>
        <w:t>.</w:t>
      </w:r>
      <w:r>
        <w:rPr>
          <w:snapToGrid w:val="0"/>
        </w:rPr>
        <w:tab/>
        <w:t>Recovery of possession of premises prohibited except by court order</w:t>
      </w:r>
      <w:bookmarkEnd w:id="303"/>
      <w:bookmarkEnd w:id="304"/>
      <w:r>
        <w:rPr>
          <w:snapToGrid w:val="0"/>
        </w:rPr>
        <w:t xml:space="preserve"> </w:t>
      </w:r>
    </w:p>
    <w:p>
      <w:pPr>
        <w:pStyle w:val="Subsection"/>
        <w:rPr>
          <w:snapToGrid w:val="0"/>
        </w:rPr>
      </w:pPr>
      <w:r>
        <w:rPr>
          <w:snapToGrid w:val="0"/>
        </w:rPr>
        <w:tab/>
      </w:r>
      <w:r>
        <w:rPr>
          <w:snapToGrid w:val="0"/>
        </w:rPr>
        <w:tab/>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305" w:name="_Toc411611695"/>
      <w:bookmarkStart w:id="306" w:name="_Toc468698320"/>
      <w:r>
        <w:rPr>
          <w:rStyle w:val="CharSectno"/>
        </w:rPr>
        <w:t>81A</w:t>
      </w:r>
      <w:r>
        <w:t>.</w:t>
      </w:r>
      <w:r>
        <w:tab/>
        <w:t>Mortgagee repossessions of rented properties</w:t>
      </w:r>
      <w:bookmarkEnd w:id="305"/>
      <w:bookmarkEnd w:id="306"/>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r>
        <w:tab/>
        <w:t xml:space="preserve">[Section 81A inserted by No. 60 of 2011 s. 79.] </w:t>
      </w:r>
    </w:p>
    <w:p>
      <w:pPr>
        <w:pStyle w:val="Heading5"/>
      </w:pPr>
      <w:bookmarkStart w:id="307" w:name="_Toc411611696"/>
      <w:bookmarkStart w:id="308" w:name="_Toc468698321"/>
      <w:r>
        <w:rPr>
          <w:rStyle w:val="CharSectno"/>
        </w:rPr>
        <w:t>81B</w:t>
      </w:r>
      <w:r>
        <w:t>.</w:t>
      </w:r>
      <w:r>
        <w:tab/>
        <w:t>Notice of proposed recovery of premises by person with superior title</w:t>
      </w:r>
      <w:bookmarkEnd w:id="307"/>
      <w:bookmarkEnd w:id="308"/>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r>
        <w:tab/>
        <w:t xml:space="preserve">[Section 81B inserted by No. 60 of 2011 s. 79.] </w:t>
      </w:r>
    </w:p>
    <w:p>
      <w:pPr>
        <w:pStyle w:val="Heading5"/>
      </w:pPr>
      <w:bookmarkStart w:id="309" w:name="_Toc411611697"/>
      <w:bookmarkStart w:id="310" w:name="_Toc468698322"/>
      <w:r>
        <w:rPr>
          <w:rStyle w:val="CharSectno"/>
        </w:rPr>
        <w:t>81</w:t>
      </w:r>
      <w:r>
        <w:t>.</w:t>
      </w:r>
      <w:r>
        <w:tab/>
        <w:t>Order for tenancy against person with superior title</w:t>
      </w:r>
      <w:bookmarkEnd w:id="309"/>
      <w:bookmarkEnd w:id="310"/>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311" w:name="_Toc411611698"/>
      <w:bookmarkStart w:id="312" w:name="_Toc425252989"/>
      <w:bookmarkStart w:id="313" w:name="_Toc435029078"/>
      <w:bookmarkStart w:id="314" w:name="_Toc468698323"/>
      <w:r>
        <w:rPr>
          <w:rStyle w:val="CharPartNo"/>
        </w:rPr>
        <w:t>Part VIA</w:t>
      </w:r>
      <w:r>
        <w:t> — </w:t>
      </w:r>
      <w:r>
        <w:rPr>
          <w:rStyle w:val="CharPartText"/>
        </w:rPr>
        <w:t>Residential tenancy databases</w:t>
      </w:r>
      <w:bookmarkEnd w:id="311"/>
      <w:bookmarkEnd w:id="312"/>
      <w:bookmarkEnd w:id="313"/>
      <w:bookmarkEnd w:id="314"/>
    </w:p>
    <w:p>
      <w:pPr>
        <w:pStyle w:val="Footnoteheading"/>
      </w:pPr>
      <w:r>
        <w:tab/>
        <w:t xml:space="preserve">[Heading inserted by No. 60 of 2011 s. 96.] </w:t>
      </w:r>
    </w:p>
    <w:p>
      <w:pPr>
        <w:pStyle w:val="Heading3"/>
      </w:pPr>
      <w:bookmarkStart w:id="315" w:name="_Toc411611699"/>
      <w:bookmarkStart w:id="316" w:name="_Toc425252990"/>
      <w:bookmarkStart w:id="317" w:name="_Toc435029079"/>
      <w:bookmarkStart w:id="318" w:name="_Toc468698324"/>
      <w:r>
        <w:rPr>
          <w:rStyle w:val="CharDivNo"/>
        </w:rPr>
        <w:t>Division 1</w:t>
      </w:r>
      <w:r>
        <w:t> — </w:t>
      </w:r>
      <w:r>
        <w:rPr>
          <w:rStyle w:val="CharDivText"/>
        </w:rPr>
        <w:t>Preliminary</w:t>
      </w:r>
      <w:bookmarkEnd w:id="315"/>
      <w:bookmarkEnd w:id="316"/>
      <w:bookmarkEnd w:id="317"/>
      <w:bookmarkEnd w:id="318"/>
    </w:p>
    <w:p>
      <w:pPr>
        <w:pStyle w:val="Footnoteheading"/>
      </w:pPr>
      <w:r>
        <w:tab/>
        <w:t xml:space="preserve">[Heading inserted by No. 60 of 2011 s. 96.] </w:t>
      </w:r>
    </w:p>
    <w:p>
      <w:pPr>
        <w:pStyle w:val="Heading5"/>
      </w:pPr>
      <w:bookmarkStart w:id="319" w:name="_Toc411611700"/>
      <w:bookmarkStart w:id="320" w:name="_Toc468698325"/>
      <w:r>
        <w:rPr>
          <w:rStyle w:val="CharSectno"/>
        </w:rPr>
        <w:t>82A</w:t>
      </w:r>
      <w:r>
        <w:t>.</w:t>
      </w:r>
      <w:r>
        <w:tab/>
        <w:t>Terms used</w:t>
      </w:r>
      <w:bookmarkEnd w:id="319"/>
      <w:bookmarkEnd w:id="320"/>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r>
        <w:tab/>
        <w:t xml:space="preserve">[Section 82A inserted by No. 60 of 2011 s. 96.] </w:t>
      </w:r>
    </w:p>
    <w:p>
      <w:pPr>
        <w:pStyle w:val="Heading5"/>
      </w:pPr>
      <w:bookmarkStart w:id="321" w:name="_Toc411611701"/>
      <w:bookmarkStart w:id="322" w:name="_Toc468698326"/>
      <w:r>
        <w:rPr>
          <w:rStyle w:val="CharSectno"/>
        </w:rPr>
        <w:t>82B</w:t>
      </w:r>
      <w:r>
        <w:t>.</w:t>
      </w:r>
      <w:r>
        <w:tab/>
        <w:t>Application of Part</w:t>
      </w:r>
      <w:bookmarkEnd w:id="321"/>
      <w:bookmarkEnd w:id="322"/>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323" w:name="_Toc411611702"/>
      <w:bookmarkStart w:id="324" w:name="_Toc425252993"/>
      <w:bookmarkStart w:id="325" w:name="_Toc435029082"/>
      <w:bookmarkStart w:id="326" w:name="_Toc468698327"/>
      <w:r>
        <w:rPr>
          <w:rStyle w:val="CharDivNo"/>
        </w:rPr>
        <w:t>Division 2</w:t>
      </w:r>
      <w:r>
        <w:t> — </w:t>
      </w:r>
      <w:r>
        <w:rPr>
          <w:rStyle w:val="CharDivText"/>
        </w:rPr>
        <w:t>Tenancy database information</w:t>
      </w:r>
      <w:bookmarkEnd w:id="323"/>
      <w:bookmarkEnd w:id="324"/>
      <w:bookmarkEnd w:id="325"/>
      <w:bookmarkEnd w:id="326"/>
    </w:p>
    <w:p>
      <w:pPr>
        <w:pStyle w:val="Footnoteheading"/>
        <w:spacing w:before="100"/>
      </w:pPr>
      <w:r>
        <w:tab/>
        <w:t xml:space="preserve">[Heading inserted by No. 60 of 2011 s. 96.] </w:t>
      </w:r>
    </w:p>
    <w:p>
      <w:pPr>
        <w:pStyle w:val="Heading5"/>
      </w:pPr>
      <w:bookmarkStart w:id="327" w:name="_Toc411611703"/>
      <w:bookmarkStart w:id="328" w:name="_Toc468698328"/>
      <w:r>
        <w:rPr>
          <w:rStyle w:val="CharSectno"/>
        </w:rPr>
        <w:t>82C</w:t>
      </w:r>
      <w:r>
        <w:t>.</w:t>
      </w:r>
      <w:r>
        <w:tab/>
        <w:t>Notice of usual use of database</w:t>
      </w:r>
      <w:bookmarkEnd w:id="327"/>
      <w:bookmarkEnd w:id="328"/>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r>
        <w:tab/>
        <w:t xml:space="preserve">[Section 82C inserted by No. 60 of 2011 s. 96.] </w:t>
      </w:r>
    </w:p>
    <w:p>
      <w:pPr>
        <w:pStyle w:val="Heading5"/>
      </w:pPr>
      <w:bookmarkStart w:id="329" w:name="_Toc411611704"/>
      <w:bookmarkStart w:id="330" w:name="_Toc468698329"/>
      <w:r>
        <w:rPr>
          <w:rStyle w:val="CharSectno"/>
        </w:rPr>
        <w:t>82D</w:t>
      </w:r>
      <w:r>
        <w:t>.</w:t>
      </w:r>
      <w:r>
        <w:tab/>
        <w:t>Notice of listing if database used</w:t>
      </w:r>
      <w:bookmarkEnd w:id="329"/>
      <w:bookmarkEnd w:id="330"/>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r>
        <w:tab/>
        <w:t xml:space="preserve">[Section 82D inserted by No. 60 of 2011 s. 96.] </w:t>
      </w:r>
    </w:p>
    <w:p>
      <w:pPr>
        <w:pStyle w:val="Heading5"/>
      </w:pPr>
      <w:bookmarkStart w:id="331" w:name="_Toc411611705"/>
      <w:bookmarkStart w:id="332" w:name="_Toc468698330"/>
      <w:r>
        <w:rPr>
          <w:rStyle w:val="CharSectno"/>
        </w:rPr>
        <w:t>82E</w:t>
      </w:r>
      <w:r>
        <w:t>.</w:t>
      </w:r>
      <w:r>
        <w:tab/>
        <w:t>Listing can be made only for particular breaches by particular persons</w:t>
      </w:r>
      <w:bookmarkEnd w:id="331"/>
      <w:bookmarkEnd w:id="332"/>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r>
        <w:tab/>
        <w:t xml:space="preserve">[Section 82E inserted by No. 60 of 2011 s. 96.] </w:t>
      </w:r>
    </w:p>
    <w:p>
      <w:pPr>
        <w:pStyle w:val="Heading5"/>
      </w:pPr>
      <w:bookmarkStart w:id="333" w:name="_Toc411611706"/>
      <w:bookmarkStart w:id="334" w:name="_Toc468698331"/>
      <w:r>
        <w:rPr>
          <w:rStyle w:val="CharSectno"/>
        </w:rPr>
        <w:t>82F</w:t>
      </w:r>
      <w:r>
        <w:t>.</w:t>
      </w:r>
      <w:r>
        <w:tab/>
        <w:t>Further restriction on listing</w:t>
      </w:r>
      <w:bookmarkEnd w:id="333"/>
      <w:bookmarkEnd w:id="334"/>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r>
        <w:tab/>
        <w:t xml:space="preserve">[Section 82F inserted by No. 60 of 2011 s. 96.] </w:t>
      </w:r>
    </w:p>
    <w:p>
      <w:pPr>
        <w:pStyle w:val="Heading5"/>
      </w:pPr>
      <w:bookmarkStart w:id="335" w:name="_Toc411611707"/>
      <w:bookmarkStart w:id="336" w:name="_Toc468698332"/>
      <w:r>
        <w:rPr>
          <w:rStyle w:val="CharSectno"/>
        </w:rPr>
        <w:t>82G</w:t>
      </w:r>
      <w:r>
        <w:t>.</w:t>
      </w:r>
      <w:r>
        <w:tab/>
        <w:t>Ensuring quality of listing — lessor’s or agent’s obligation</w:t>
      </w:r>
      <w:bookmarkEnd w:id="335"/>
      <w:bookmarkEnd w:id="336"/>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r>
        <w:tab/>
        <w:t xml:space="preserve">[Section 82G inserted by No. 60 of 2011 s. 96.] </w:t>
      </w:r>
    </w:p>
    <w:p>
      <w:pPr>
        <w:pStyle w:val="Heading5"/>
      </w:pPr>
      <w:bookmarkStart w:id="337" w:name="_Toc411611708"/>
      <w:bookmarkStart w:id="338" w:name="_Toc468698333"/>
      <w:r>
        <w:rPr>
          <w:rStyle w:val="CharSectno"/>
        </w:rPr>
        <w:t>82H</w:t>
      </w:r>
      <w:r>
        <w:t>.</w:t>
      </w:r>
      <w:r>
        <w:tab/>
        <w:t>Ensuring quality of listing — database operator’s obligation</w:t>
      </w:r>
      <w:bookmarkEnd w:id="337"/>
      <w:bookmarkEnd w:id="338"/>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r>
        <w:tab/>
        <w:t xml:space="preserve">[Section 82H inserted by No. 60 of 2011 s. 96.] </w:t>
      </w:r>
    </w:p>
    <w:p>
      <w:pPr>
        <w:pStyle w:val="Heading5"/>
      </w:pPr>
      <w:bookmarkStart w:id="339" w:name="_Toc411611709"/>
      <w:bookmarkStart w:id="340" w:name="_Toc468698334"/>
      <w:r>
        <w:rPr>
          <w:rStyle w:val="CharSectno"/>
        </w:rPr>
        <w:t>82I</w:t>
      </w:r>
      <w:r>
        <w:t>.</w:t>
      </w:r>
      <w:r>
        <w:tab/>
        <w:t>Providing copy of personal information listed</w:t>
      </w:r>
      <w:bookmarkEnd w:id="339"/>
      <w:bookmarkEnd w:id="340"/>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r>
        <w:tab/>
        <w:t xml:space="preserve">[Section 82I inserted by No. 60 of 2011 s. 96.] </w:t>
      </w:r>
    </w:p>
    <w:p>
      <w:pPr>
        <w:pStyle w:val="Heading5"/>
      </w:pPr>
      <w:bookmarkStart w:id="341" w:name="_Toc411611710"/>
      <w:bookmarkStart w:id="342" w:name="_Toc468698335"/>
      <w:r>
        <w:rPr>
          <w:rStyle w:val="CharSectno"/>
        </w:rPr>
        <w:t>82J</w:t>
      </w:r>
      <w:r>
        <w:t>.</w:t>
      </w:r>
      <w:r>
        <w:tab/>
        <w:t>Disputes about listings</w:t>
      </w:r>
      <w:bookmarkEnd w:id="341"/>
      <w:bookmarkEnd w:id="342"/>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r>
        <w:tab/>
        <w:t xml:space="preserve">[Section 82J inserted by No. 60 of 2011 s. 96.] </w:t>
      </w:r>
    </w:p>
    <w:p>
      <w:pPr>
        <w:pStyle w:val="Heading5"/>
      </w:pPr>
      <w:bookmarkStart w:id="343" w:name="_Toc411611711"/>
      <w:bookmarkStart w:id="344" w:name="_Toc468698336"/>
      <w:r>
        <w:rPr>
          <w:rStyle w:val="CharSectno"/>
        </w:rPr>
        <w:t>82K</w:t>
      </w:r>
      <w:r>
        <w:t>.</w:t>
      </w:r>
      <w:r>
        <w:tab/>
        <w:t>Keeping personal information listed</w:t>
      </w:r>
      <w:bookmarkEnd w:id="343"/>
      <w:bookmarkEnd w:id="344"/>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345" w:name="_Toc411611712"/>
      <w:bookmarkStart w:id="346" w:name="_Toc425253003"/>
      <w:bookmarkStart w:id="347" w:name="_Toc435029092"/>
      <w:bookmarkStart w:id="348" w:name="_Toc468698337"/>
      <w:r>
        <w:rPr>
          <w:rStyle w:val="CharPartNo"/>
        </w:rPr>
        <w:t>Part VI</w:t>
      </w:r>
      <w:r>
        <w:rPr>
          <w:rStyle w:val="CharDivNo"/>
        </w:rPr>
        <w:t> </w:t>
      </w:r>
      <w:r>
        <w:t>—</w:t>
      </w:r>
      <w:r>
        <w:rPr>
          <w:rStyle w:val="CharDivText"/>
        </w:rPr>
        <w:t> </w:t>
      </w:r>
      <w:r>
        <w:rPr>
          <w:rStyle w:val="CharPartText"/>
        </w:rPr>
        <w:t>Miscellaneous</w:t>
      </w:r>
      <w:bookmarkEnd w:id="345"/>
      <w:bookmarkEnd w:id="346"/>
      <w:bookmarkEnd w:id="347"/>
      <w:bookmarkEnd w:id="348"/>
    </w:p>
    <w:p>
      <w:pPr>
        <w:pStyle w:val="Heading5"/>
        <w:spacing w:before="200"/>
        <w:rPr>
          <w:snapToGrid w:val="0"/>
        </w:rPr>
      </w:pPr>
      <w:bookmarkStart w:id="349" w:name="_Toc411611713"/>
      <w:bookmarkStart w:id="350" w:name="_Toc468698338"/>
      <w:r>
        <w:rPr>
          <w:rStyle w:val="CharSectno"/>
        </w:rPr>
        <w:t>82</w:t>
      </w:r>
      <w:r>
        <w:rPr>
          <w:snapToGrid w:val="0"/>
        </w:rPr>
        <w:t>.</w:t>
      </w:r>
      <w:r>
        <w:rPr>
          <w:snapToGrid w:val="0"/>
        </w:rPr>
        <w:tab/>
        <w:t>Contracting out</w:t>
      </w:r>
      <w:bookmarkEnd w:id="349"/>
      <w:bookmarkEnd w:id="350"/>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351" w:name="_Toc411611714"/>
      <w:bookmarkStart w:id="352" w:name="_Toc468698339"/>
      <w:r>
        <w:rPr>
          <w:rStyle w:val="CharSectno"/>
        </w:rPr>
        <w:t>83</w:t>
      </w:r>
      <w:r>
        <w:rPr>
          <w:snapToGrid w:val="0"/>
        </w:rPr>
        <w:t>.</w:t>
      </w:r>
      <w:r>
        <w:rPr>
          <w:snapToGrid w:val="0"/>
        </w:rPr>
        <w:tab/>
        <w:t>Recovery of amounts paid under mistake of law or fact</w:t>
      </w:r>
      <w:bookmarkEnd w:id="351"/>
      <w:bookmarkEnd w:id="352"/>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353" w:name="_Toc411611715"/>
      <w:bookmarkStart w:id="354" w:name="_Toc468698340"/>
      <w:r>
        <w:rPr>
          <w:rStyle w:val="CharSectno"/>
        </w:rPr>
        <w:t>84</w:t>
      </w:r>
      <w:r>
        <w:rPr>
          <w:snapToGrid w:val="0"/>
        </w:rPr>
        <w:t>.</w:t>
      </w:r>
      <w:r>
        <w:rPr>
          <w:snapToGrid w:val="0"/>
        </w:rPr>
        <w:tab/>
        <w:t>Exemption of tenancy agreement or premises from provision of Act</w:t>
      </w:r>
      <w:bookmarkEnd w:id="353"/>
      <w:bookmarkEnd w:id="354"/>
      <w:r>
        <w:rPr>
          <w:snapToGrid w:val="0"/>
        </w:rPr>
        <w:t xml:space="preserve"> </w:t>
      </w:r>
    </w:p>
    <w:p>
      <w:pPr>
        <w:pStyle w:val="Subsection"/>
        <w:spacing w:before="120"/>
        <w:rPr>
          <w:snapToGrid w:val="0"/>
        </w:rPr>
      </w:pPr>
      <w:r>
        <w:rPr>
          <w:snapToGrid w:val="0"/>
        </w:rPr>
        <w:tab/>
      </w:r>
      <w:r>
        <w:rPr>
          <w:snapToGrid w:val="0"/>
        </w:rPr>
        <w:tab/>
        <w:t xml:space="preserve">A </w:t>
      </w:r>
      <w:r>
        <w:t>competent court</w:t>
      </w:r>
      <w:r>
        <w:rPr>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355" w:name="_Toc411611716"/>
      <w:bookmarkStart w:id="356" w:name="_Toc468698341"/>
      <w:r>
        <w:rPr>
          <w:rStyle w:val="CharSectno"/>
        </w:rPr>
        <w:t>85</w:t>
      </w:r>
      <w:r>
        <w:rPr>
          <w:snapToGrid w:val="0"/>
        </w:rPr>
        <w:t>.</w:t>
      </w:r>
      <w:r>
        <w:rPr>
          <w:snapToGrid w:val="0"/>
        </w:rPr>
        <w:tab/>
        <w:t>Service</w:t>
      </w:r>
      <w:bookmarkEnd w:id="355"/>
      <w:bookmarkEnd w:id="35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to any person apparently over the age of 16 years apparently residing at the place of residence of the lessor,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357" w:name="_Toc411611717"/>
      <w:bookmarkStart w:id="358" w:name="_Toc468698342"/>
      <w:r>
        <w:rPr>
          <w:rStyle w:val="CharSectno"/>
        </w:rPr>
        <w:t>86</w:t>
      </w:r>
      <w:r>
        <w:t>.</w:t>
      </w:r>
      <w:r>
        <w:tab/>
        <w:t>Court may refer matter to Commissioner for investigation</w:t>
      </w:r>
      <w:bookmarkEnd w:id="357"/>
      <w:bookmarkEnd w:id="358"/>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r>
        <w:tab/>
        <w:t xml:space="preserve">[Section 86 inserted by No. 60 of 2011 s. 82.] </w:t>
      </w:r>
    </w:p>
    <w:p>
      <w:pPr>
        <w:pStyle w:val="Heading5"/>
        <w:spacing w:before="260"/>
      </w:pPr>
      <w:bookmarkStart w:id="359" w:name="_Toc411611718"/>
      <w:bookmarkStart w:id="360" w:name="_Toc468698343"/>
      <w:r>
        <w:rPr>
          <w:rStyle w:val="CharSectno"/>
        </w:rPr>
        <w:t>87A</w:t>
      </w:r>
      <w:r>
        <w:t>.</w:t>
      </w:r>
      <w:r>
        <w:tab/>
        <w:t>Defence where lessor and property manager are both charged with the same offence</w:t>
      </w:r>
      <w:bookmarkEnd w:id="359"/>
      <w:bookmarkEnd w:id="360"/>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361" w:name="_Toc411611719"/>
      <w:bookmarkStart w:id="362" w:name="_Toc468698344"/>
      <w:r>
        <w:rPr>
          <w:rStyle w:val="CharSectno"/>
        </w:rPr>
        <w:t>87</w:t>
      </w:r>
      <w:r>
        <w:rPr>
          <w:snapToGrid w:val="0"/>
        </w:rPr>
        <w:t>.</w:t>
      </w:r>
      <w:r>
        <w:rPr>
          <w:snapToGrid w:val="0"/>
        </w:rPr>
        <w:tab/>
        <w:t>Time for bringing proceedings</w:t>
      </w:r>
      <w:bookmarkEnd w:id="361"/>
      <w:bookmarkEnd w:id="36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363" w:name="_Toc411611720"/>
      <w:bookmarkStart w:id="364" w:name="_Toc468698345"/>
      <w:r>
        <w:rPr>
          <w:rStyle w:val="CharSectno"/>
        </w:rPr>
        <w:t>88A</w:t>
      </w:r>
      <w:r>
        <w:t>.</w:t>
      </w:r>
      <w:r>
        <w:tab/>
        <w:t>Infringement notices</w:t>
      </w:r>
      <w:bookmarkEnd w:id="363"/>
      <w:bookmarkEnd w:id="364"/>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365" w:name="_Toc411611721"/>
      <w:bookmarkStart w:id="366" w:name="_Toc468698346"/>
      <w:r>
        <w:rPr>
          <w:rStyle w:val="CharSectno"/>
        </w:rPr>
        <w:t>88</w:t>
      </w:r>
      <w:r>
        <w:rPr>
          <w:snapToGrid w:val="0"/>
        </w:rPr>
        <w:t>.</w:t>
      </w:r>
      <w:r>
        <w:rPr>
          <w:snapToGrid w:val="0"/>
        </w:rPr>
        <w:tab/>
        <w:t>Regulations</w:t>
      </w:r>
      <w:bookmarkEnd w:id="365"/>
      <w:bookmarkEnd w:id="3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367" w:name="_Toc411611722"/>
      <w:bookmarkStart w:id="368" w:name="_Toc468698347"/>
      <w:r>
        <w:rPr>
          <w:rStyle w:val="CharSectno"/>
        </w:rPr>
        <w:t>90</w:t>
      </w:r>
      <w:r>
        <w:rPr>
          <w:snapToGrid w:val="0"/>
        </w:rPr>
        <w:t>.</w:t>
      </w:r>
      <w:r>
        <w:rPr>
          <w:snapToGrid w:val="0"/>
        </w:rPr>
        <w:tab/>
        <w:t>Review of Act</w:t>
      </w:r>
      <w:bookmarkEnd w:id="367"/>
      <w:bookmarkEnd w:id="368"/>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369" w:name="_Toc411611723"/>
      <w:bookmarkStart w:id="370" w:name="_Toc425253014"/>
      <w:bookmarkStart w:id="371" w:name="_Toc435029103"/>
      <w:bookmarkStart w:id="372" w:name="_Toc468698348"/>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369"/>
      <w:bookmarkEnd w:id="370"/>
      <w:bookmarkEnd w:id="371"/>
      <w:bookmarkEnd w:id="372"/>
    </w:p>
    <w:p>
      <w:pPr>
        <w:pStyle w:val="Footnoteheading"/>
      </w:pPr>
      <w:r>
        <w:tab/>
        <w:t xml:space="preserve">[Heading inserted by No. 60 of 2011 s. 86.] </w:t>
      </w:r>
    </w:p>
    <w:p>
      <w:pPr>
        <w:pStyle w:val="Heading3"/>
      </w:pPr>
      <w:bookmarkStart w:id="373" w:name="_Toc411611724"/>
      <w:bookmarkStart w:id="374" w:name="_Toc425253015"/>
      <w:bookmarkStart w:id="375" w:name="_Toc435029104"/>
      <w:bookmarkStart w:id="376" w:name="_Toc468698349"/>
      <w:r>
        <w:rPr>
          <w:rStyle w:val="CharDivNo"/>
        </w:rPr>
        <w:t>Division 1</w:t>
      </w:r>
      <w:r>
        <w:t> — </w:t>
      </w:r>
      <w:r>
        <w:rPr>
          <w:rStyle w:val="CharDivText"/>
        </w:rPr>
        <w:t>Contracting out</w:t>
      </w:r>
      <w:bookmarkEnd w:id="373"/>
      <w:bookmarkEnd w:id="374"/>
      <w:bookmarkEnd w:id="375"/>
      <w:bookmarkEnd w:id="376"/>
    </w:p>
    <w:p>
      <w:pPr>
        <w:pStyle w:val="Footnoteheading"/>
      </w:pPr>
      <w:r>
        <w:tab/>
        <w:t xml:space="preserve">[Heading inserted by No. 60 of 2011 s. 86.] </w:t>
      </w:r>
    </w:p>
    <w:p>
      <w:pPr>
        <w:pStyle w:val="Heading5"/>
      </w:pPr>
      <w:bookmarkStart w:id="377" w:name="_Toc411611725"/>
      <w:bookmarkStart w:id="378" w:name="_Toc468698350"/>
      <w:r>
        <w:rPr>
          <w:rStyle w:val="CharSectno"/>
        </w:rPr>
        <w:t>91</w:t>
      </w:r>
      <w:r>
        <w:t>.</w:t>
      </w:r>
      <w:r>
        <w:tab/>
        <w:t>Savings in relation to contracting out of standard terms</w:t>
      </w:r>
      <w:bookmarkEnd w:id="377"/>
      <w:bookmarkEnd w:id="37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379" w:name="_Toc411611726"/>
      <w:bookmarkStart w:id="380" w:name="_Toc425253017"/>
      <w:bookmarkStart w:id="381" w:name="_Toc435029106"/>
      <w:bookmarkStart w:id="382" w:name="_Toc468698351"/>
      <w:r>
        <w:rPr>
          <w:rStyle w:val="CharDivNo"/>
        </w:rPr>
        <w:t>Division 2</w:t>
      </w:r>
      <w:r>
        <w:t> — </w:t>
      </w:r>
      <w:r>
        <w:rPr>
          <w:rStyle w:val="CharDivText"/>
        </w:rPr>
        <w:t>Security bonds held in AFI</w:t>
      </w:r>
      <w:bookmarkEnd w:id="379"/>
      <w:bookmarkEnd w:id="380"/>
      <w:bookmarkEnd w:id="381"/>
      <w:bookmarkEnd w:id="382"/>
    </w:p>
    <w:p>
      <w:pPr>
        <w:pStyle w:val="Footnoteheading"/>
      </w:pPr>
      <w:r>
        <w:tab/>
        <w:t xml:space="preserve">[Heading inserted by No. 60 of 2011 s. 86.] </w:t>
      </w:r>
    </w:p>
    <w:p>
      <w:pPr>
        <w:pStyle w:val="Heading5"/>
      </w:pPr>
      <w:bookmarkStart w:id="383" w:name="_Toc411611727"/>
      <w:bookmarkStart w:id="384" w:name="_Toc468698352"/>
      <w:r>
        <w:rPr>
          <w:rStyle w:val="CharSectno"/>
        </w:rPr>
        <w:t>92</w:t>
      </w:r>
      <w:r>
        <w:t>.</w:t>
      </w:r>
      <w:r>
        <w:tab/>
        <w:t>Terms used</w:t>
      </w:r>
      <w:bookmarkEnd w:id="383"/>
      <w:bookmarkEnd w:id="384"/>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r>
        <w:tab/>
        <w:t xml:space="preserve">[Section 92 inserted by No. 60 of 2011 s. 86.] </w:t>
      </w:r>
    </w:p>
    <w:p>
      <w:pPr>
        <w:pStyle w:val="Heading5"/>
      </w:pPr>
      <w:bookmarkStart w:id="385" w:name="_Toc411611728"/>
      <w:bookmarkStart w:id="386" w:name="_Toc468698353"/>
      <w:r>
        <w:rPr>
          <w:rStyle w:val="CharSectno"/>
        </w:rPr>
        <w:t>93</w:t>
      </w:r>
      <w:r>
        <w:t>.</w:t>
      </w:r>
      <w:r>
        <w:tab/>
        <w:t>All security bonds to be transferred to bond administrator after renewal of agreement or within 18 months</w:t>
      </w:r>
      <w:bookmarkEnd w:id="385"/>
      <w:bookmarkEnd w:id="386"/>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r>
        <w:tab/>
        <w:t xml:space="preserve">[Section 93 inserted by No. 60 of 2011 s. 86.] </w:t>
      </w:r>
    </w:p>
    <w:p>
      <w:pPr>
        <w:pStyle w:val="Heading5"/>
      </w:pPr>
      <w:bookmarkStart w:id="387" w:name="_Toc411611729"/>
      <w:bookmarkStart w:id="388" w:name="_Toc468698354"/>
      <w:r>
        <w:rPr>
          <w:rStyle w:val="CharSectno"/>
        </w:rPr>
        <w:t>94</w:t>
      </w:r>
      <w:r>
        <w:t>.</w:t>
      </w:r>
      <w:r>
        <w:tab/>
        <w:t>Requirements for AFI holding security bonds</w:t>
      </w:r>
      <w:bookmarkEnd w:id="387"/>
      <w:bookmarkEnd w:id="388"/>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r>
        <w:tab/>
        <w:t xml:space="preserve">[Section 94 inserted by No. 60 of 2011 s. 86.] </w:t>
      </w:r>
    </w:p>
    <w:p>
      <w:pPr>
        <w:pStyle w:val="Heading5"/>
      </w:pPr>
      <w:bookmarkStart w:id="389" w:name="_Toc411611730"/>
      <w:bookmarkStart w:id="390" w:name="_Toc468698355"/>
      <w:r>
        <w:rPr>
          <w:rStyle w:val="CharSectno"/>
        </w:rPr>
        <w:t>95</w:t>
      </w:r>
      <w:r>
        <w:t>.</w:t>
      </w:r>
      <w:r>
        <w:tab/>
        <w:t>Power of Commissioner to obtain information relating to AFI security bond accounts</w:t>
      </w:r>
      <w:bookmarkEnd w:id="389"/>
      <w:bookmarkEnd w:id="390"/>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95 inserted by No. 60 of 2011 s. 86.] </w:t>
      </w:r>
    </w:p>
    <w:p>
      <w:pPr>
        <w:pStyle w:val="Heading5"/>
      </w:pPr>
      <w:bookmarkStart w:id="391" w:name="_Toc411611731"/>
      <w:bookmarkStart w:id="392" w:name="_Toc468698356"/>
      <w:r>
        <w:rPr>
          <w:rStyle w:val="CharSectno"/>
        </w:rPr>
        <w:t>96</w:t>
      </w:r>
      <w:r>
        <w:t>.</w:t>
      </w:r>
      <w:r>
        <w:tab/>
        <w:t>Disposal of security bond held in AFIs</w:t>
      </w:r>
      <w:bookmarkEnd w:id="391"/>
      <w:bookmarkEnd w:id="392"/>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r>
        <w:tab/>
        <w:t xml:space="preserve">[Section 96 inserted by No. 60 of 2011 s. 86.] </w:t>
      </w:r>
    </w:p>
    <w:p>
      <w:pPr>
        <w:pStyle w:val="Heading3"/>
      </w:pPr>
      <w:bookmarkStart w:id="393" w:name="_Toc411611732"/>
      <w:bookmarkStart w:id="394" w:name="_Toc425253023"/>
      <w:bookmarkStart w:id="395" w:name="_Toc435029112"/>
      <w:bookmarkStart w:id="396" w:name="_Toc468698357"/>
      <w:r>
        <w:rPr>
          <w:rStyle w:val="CharDivNo"/>
        </w:rPr>
        <w:t>Division 3</w:t>
      </w:r>
      <w:r>
        <w:t> — </w:t>
      </w:r>
      <w:r>
        <w:rPr>
          <w:rStyle w:val="CharDivText"/>
        </w:rPr>
        <w:t>Residential tenancy databases</w:t>
      </w:r>
      <w:bookmarkEnd w:id="393"/>
      <w:bookmarkEnd w:id="394"/>
      <w:bookmarkEnd w:id="395"/>
      <w:bookmarkEnd w:id="396"/>
    </w:p>
    <w:p>
      <w:pPr>
        <w:pStyle w:val="Footnoteheading"/>
        <w:keepNext/>
      </w:pPr>
      <w:r>
        <w:tab/>
        <w:t xml:space="preserve">[Heading inserted by No. 60 of 2011 s. 86.] </w:t>
      </w:r>
    </w:p>
    <w:p>
      <w:pPr>
        <w:pStyle w:val="Heading5"/>
      </w:pPr>
      <w:bookmarkStart w:id="397" w:name="_Toc411611733"/>
      <w:bookmarkStart w:id="398" w:name="_Toc468698358"/>
      <w:r>
        <w:rPr>
          <w:rStyle w:val="CharSectno"/>
        </w:rPr>
        <w:t>97</w:t>
      </w:r>
      <w:r>
        <w:t>.</w:t>
      </w:r>
      <w:r>
        <w:tab/>
        <w:t>Application of Part VIA to listings existing before commencement day</w:t>
      </w:r>
      <w:bookmarkEnd w:id="397"/>
      <w:bookmarkEnd w:id="398"/>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99" w:name="_Toc411611734"/>
      <w:bookmarkStart w:id="400" w:name="_Toc425253025"/>
      <w:bookmarkStart w:id="401" w:name="_Toc435029114"/>
      <w:bookmarkStart w:id="402" w:name="_Toc468698359"/>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399"/>
      <w:bookmarkEnd w:id="400"/>
      <w:bookmarkEnd w:id="401"/>
      <w:bookmarkEnd w:id="402"/>
    </w:p>
    <w:p>
      <w:pPr>
        <w:pStyle w:val="yShoulderClause"/>
      </w:pPr>
      <w:r>
        <w:t>[s. 3, 7(3), 12, 29(4), (7), (8), 59D(6), 79(5), (6), (11) and 80A(8)]</w:t>
      </w:r>
    </w:p>
    <w:p>
      <w:pPr>
        <w:pStyle w:val="yFootnoteheading"/>
      </w:pPr>
      <w:r>
        <w:tab/>
        <w:t xml:space="preserve">[Heading inserted by No. 60 of 2011 s. 87(1).] </w:t>
      </w:r>
    </w:p>
    <w:p>
      <w:pPr>
        <w:pStyle w:val="yHeading3"/>
      </w:pPr>
      <w:bookmarkStart w:id="403" w:name="_Toc411611735"/>
      <w:bookmarkStart w:id="404" w:name="_Toc425253026"/>
      <w:bookmarkStart w:id="405" w:name="_Toc435029115"/>
      <w:bookmarkStart w:id="406" w:name="_Toc468698360"/>
      <w:r>
        <w:rPr>
          <w:rStyle w:val="CharSDivNo"/>
        </w:rPr>
        <w:t>Division 1</w:t>
      </w:r>
      <w:r>
        <w:t> — </w:t>
      </w:r>
      <w:r>
        <w:rPr>
          <w:rStyle w:val="CharSDivText"/>
        </w:rPr>
        <w:t>General</w:t>
      </w:r>
      <w:bookmarkEnd w:id="403"/>
      <w:bookmarkEnd w:id="404"/>
      <w:bookmarkEnd w:id="405"/>
      <w:bookmarkEnd w:id="406"/>
    </w:p>
    <w:p>
      <w:pPr>
        <w:pStyle w:val="yFootnoteheading"/>
      </w:pPr>
      <w:r>
        <w:tab/>
        <w:t>[Heading inserted by No. 60 of 2011 s. 87(2).]</w:t>
      </w:r>
    </w:p>
    <w:p>
      <w:pPr>
        <w:pStyle w:val="yHeading5"/>
        <w:rPr>
          <w:snapToGrid w:val="0"/>
        </w:rPr>
      </w:pPr>
      <w:bookmarkStart w:id="407" w:name="_Toc411611736"/>
      <w:bookmarkStart w:id="408" w:name="_Toc468698361"/>
      <w:r>
        <w:rPr>
          <w:rStyle w:val="CharSClsNo"/>
        </w:rPr>
        <w:t>1</w:t>
      </w:r>
      <w:r>
        <w:rPr>
          <w:snapToGrid w:val="0"/>
        </w:rPr>
        <w:t>.</w:t>
      </w:r>
      <w:r>
        <w:rPr>
          <w:snapToGrid w:val="0"/>
        </w:rPr>
        <w:tab/>
      </w:r>
      <w:r>
        <w:t>Term</w:t>
      </w:r>
      <w:r>
        <w:rPr>
          <w:snapToGrid w:val="0"/>
        </w:rPr>
        <w:t xml:space="preserve"> used: authorised agent</w:t>
      </w:r>
      <w:bookmarkEnd w:id="407"/>
      <w:bookmarkEnd w:id="408"/>
    </w:p>
    <w:p>
      <w:pPr>
        <w:pStyle w:val="ySubsection"/>
        <w:rPr>
          <w:snapToGrid w:val="0"/>
        </w:rPr>
      </w:pPr>
      <w:r>
        <w:rPr>
          <w:snapToGrid w:val="0"/>
        </w:rPr>
        <w:tab/>
      </w:r>
      <w:r>
        <w:rPr>
          <w:snapToGrid w:val="0"/>
        </w:rPr>
        <w:tab/>
        <w:t>In this Schedule — </w:t>
      </w:r>
    </w:p>
    <w:p>
      <w:pPr>
        <w:pStyle w:val="yDefstart"/>
      </w:pPr>
      <w: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r>
        <w:t>[</w:t>
      </w:r>
      <w:r>
        <w:rPr>
          <w:b/>
        </w:rPr>
        <w:t>2.</w:t>
      </w:r>
      <w:r>
        <w:tab/>
        <w:t>Deleted by No. 60 of 2011 s. 87(5).]</w:t>
      </w:r>
    </w:p>
    <w:p>
      <w:pPr>
        <w:pStyle w:val="yHeading5"/>
        <w:rPr>
          <w:snapToGrid w:val="0"/>
        </w:rPr>
      </w:pPr>
      <w:bookmarkStart w:id="409" w:name="_Toc411611737"/>
      <w:bookmarkStart w:id="410" w:name="_Toc468698362"/>
      <w:r>
        <w:rPr>
          <w:rStyle w:val="CharSClsNo"/>
        </w:rPr>
        <w:t>3</w:t>
      </w:r>
      <w:r>
        <w:rPr>
          <w:snapToGrid w:val="0"/>
        </w:rPr>
        <w:t>.</w:t>
      </w:r>
      <w:r>
        <w:rPr>
          <w:snapToGrid w:val="0"/>
        </w:rPr>
        <w:tab/>
        <w:t>Rental Accommodation Account</w:t>
      </w:r>
      <w:bookmarkEnd w:id="409"/>
      <w:bookmarkEnd w:id="410"/>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rPr>
          <w:snapToGrid w:val="0"/>
        </w:rPr>
      </w:pPr>
      <w:bookmarkStart w:id="411" w:name="_Toc411611738"/>
      <w:bookmarkStart w:id="412" w:name="_Toc468698363"/>
      <w:r>
        <w:rPr>
          <w:rStyle w:val="CharSClsNo"/>
        </w:rPr>
        <w:t>4</w:t>
      </w:r>
      <w:r>
        <w:rPr>
          <w:snapToGrid w:val="0"/>
        </w:rPr>
        <w:t>.</w:t>
      </w:r>
      <w:r>
        <w:rPr>
          <w:snapToGrid w:val="0"/>
        </w:rPr>
        <w:tab/>
        <w:t>Duties of bond administrator</w:t>
      </w:r>
      <w:bookmarkEnd w:id="411"/>
      <w:bookmarkEnd w:id="412"/>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413" w:name="_Toc411611739"/>
      <w:bookmarkStart w:id="414" w:name="_Toc425253030"/>
      <w:bookmarkStart w:id="415" w:name="_Toc435029119"/>
      <w:bookmarkStart w:id="416" w:name="_Toc468698364"/>
      <w:r>
        <w:rPr>
          <w:rStyle w:val="CharSDivNo"/>
        </w:rPr>
        <w:t>Division 2</w:t>
      </w:r>
      <w:r>
        <w:t> — </w:t>
      </w:r>
      <w:r>
        <w:rPr>
          <w:rStyle w:val="CharSDivText"/>
        </w:rPr>
        <w:t>Security bonds</w:t>
      </w:r>
      <w:bookmarkEnd w:id="413"/>
      <w:bookmarkEnd w:id="414"/>
      <w:bookmarkEnd w:id="415"/>
      <w:bookmarkEnd w:id="416"/>
    </w:p>
    <w:p>
      <w:pPr>
        <w:pStyle w:val="yFootnoteheading"/>
      </w:pPr>
      <w:r>
        <w:tab/>
        <w:t>[Heading inserted by No. 60 of 2011 s. 87(11).]</w:t>
      </w:r>
    </w:p>
    <w:p>
      <w:pPr>
        <w:pStyle w:val="yHeading5"/>
      </w:pPr>
      <w:bookmarkStart w:id="417" w:name="_Toc411611740"/>
      <w:bookmarkStart w:id="418" w:name="_Toc468698365"/>
      <w:r>
        <w:rPr>
          <w:rStyle w:val="CharSClsNo"/>
        </w:rPr>
        <w:t>5A</w:t>
      </w:r>
      <w:r>
        <w:t>.</w:t>
      </w:r>
      <w:r>
        <w:tab/>
        <w:t>Security bond moneys to be paid to bond administrator</w:t>
      </w:r>
      <w:bookmarkEnd w:id="417"/>
      <w:bookmarkEnd w:id="418"/>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rPr>
          <w:snapToGrid w:val="0"/>
        </w:rPr>
      </w:pPr>
      <w:bookmarkStart w:id="419" w:name="_Toc411611741"/>
      <w:bookmarkStart w:id="420" w:name="_Toc468698366"/>
      <w:r>
        <w:rPr>
          <w:rStyle w:val="CharSClsNo"/>
        </w:rPr>
        <w:t>5</w:t>
      </w:r>
      <w:r>
        <w:rPr>
          <w:snapToGrid w:val="0"/>
        </w:rPr>
        <w:t>.</w:t>
      </w:r>
      <w:r>
        <w:rPr>
          <w:snapToGrid w:val="0"/>
        </w:rPr>
        <w:tab/>
        <w:t xml:space="preserve">Disposal of </w:t>
      </w:r>
      <w:r>
        <w:t>security</w:t>
      </w:r>
      <w:r>
        <w:rPr>
          <w:snapToGrid w:val="0"/>
        </w:rPr>
        <w:t xml:space="preserve"> bond by bond administrator</w:t>
      </w:r>
      <w:bookmarkEnd w:id="419"/>
      <w:bookmarkEnd w:id="420"/>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r>
        <w:tab/>
        <w:t xml:space="preserve">[Clause 5 amended by No. 69 of 2006 s. 32(2) and (3); No. 60 of 2011 s. 87(13)-(15).] </w:t>
      </w:r>
    </w:p>
    <w:p>
      <w:pPr>
        <w:pStyle w:val="yEdnotesection"/>
      </w:pPr>
      <w:r>
        <w:t>[Part C (cl. 6-7) deleted by No. 60 of 2011 s. 87(16).]</w:t>
      </w:r>
    </w:p>
    <w:p>
      <w:pPr>
        <w:pStyle w:val="yEdnotesection"/>
      </w:pPr>
      <w:r>
        <w:tab/>
        <w:t>[Heading deleted by No. 60 of 2011 s. 87(17).]</w:t>
      </w:r>
    </w:p>
    <w:p>
      <w:pPr>
        <w:pStyle w:val="yHeading5"/>
        <w:rPr>
          <w:snapToGrid w:val="0"/>
        </w:rPr>
      </w:pPr>
      <w:bookmarkStart w:id="421" w:name="_Toc411611742"/>
      <w:bookmarkStart w:id="422" w:name="_Toc468698367"/>
      <w:r>
        <w:rPr>
          <w:rStyle w:val="CharSClsNo"/>
        </w:rPr>
        <w:t>8</w:t>
      </w:r>
      <w:r>
        <w:rPr>
          <w:snapToGrid w:val="0"/>
        </w:rPr>
        <w:t>.</w:t>
      </w:r>
      <w:r>
        <w:rPr>
          <w:snapToGrid w:val="0"/>
        </w:rPr>
        <w:tab/>
      </w:r>
      <w:r>
        <w:t>Court</w:t>
      </w:r>
      <w:r>
        <w:rPr>
          <w:snapToGrid w:val="0"/>
        </w:rPr>
        <w:t xml:space="preserve"> may determine disposal of security bond</w:t>
      </w:r>
      <w:bookmarkEnd w:id="421"/>
      <w:bookmarkEnd w:id="422"/>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423" w:name="_Toc411611743"/>
      <w:bookmarkStart w:id="424" w:name="_Toc425253034"/>
      <w:bookmarkStart w:id="425" w:name="_Toc435029123"/>
      <w:bookmarkStart w:id="426" w:name="_Toc468698368"/>
      <w:r>
        <w:rPr>
          <w:rStyle w:val="CharSDivNo"/>
        </w:rPr>
        <w:t>Division 3</w:t>
      </w:r>
      <w:r>
        <w:t> — </w:t>
      </w:r>
      <w:r>
        <w:rPr>
          <w:rStyle w:val="CharSDivText"/>
        </w:rPr>
        <w:t>Tenant compensation bonds</w:t>
      </w:r>
      <w:bookmarkEnd w:id="423"/>
      <w:bookmarkEnd w:id="424"/>
      <w:bookmarkEnd w:id="425"/>
      <w:bookmarkEnd w:id="426"/>
    </w:p>
    <w:p>
      <w:pPr>
        <w:pStyle w:val="yFootnotesection"/>
      </w:pPr>
      <w:r>
        <w:tab/>
        <w:t>[Heading inserted by No. 60 of 2011 s. 87(23).]</w:t>
      </w:r>
    </w:p>
    <w:p>
      <w:pPr>
        <w:pStyle w:val="yHeading5"/>
      </w:pPr>
      <w:bookmarkStart w:id="427" w:name="_Toc411611744"/>
      <w:bookmarkStart w:id="428" w:name="_Toc468698369"/>
      <w:r>
        <w:rPr>
          <w:rStyle w:val="CharSClsNo"/>
        </w:rPr>
        <w:t>9</w:t>
      </w:r>
      <w:r>
        <w:t>.</w:t>
      </w:r>
      <w:r>
        <w:tab/>
        <w:t>Application of Division</w:t>
      </w:r>
      <w:bookmarkEnd w:id="427"/>
      <w:bookmarkEnd w:id="428"/>
    </w:p>
    <w:p>
      <w:pPr>
        <w:pStyle w:val="ySubsection"/>
      </w:pPr>
      <w:r>
        <w:tab/>
      </w:r>
      <w:r>
        <w:tab/>
        <w:t>This Division applies where the bond administrator has been paid a tenant compensation bond in accordance with an order under section 59D(2).</w:t>
      </w:r>
    </w:p>
    <w:p>
      <w:pPr>
        <w:pStyle w:val="yFootnotesection"/>
      </w:pPr>
      <w:r>
        <w:tab/>
        <w:t>[Clause 9 inserted by No. 60 of 2011 s. 87(23).]</w:t>
      </w:r>
    </w:p>
    <w:p>
      <w:pPr>
        <w:pStyle w:val="yHeading5"/>
      </w:pPr>
      <w:bookmarkStart w:id="429" w:name="_Toc411611745"/>
      <w:bookmarkStart w:id="430" w:name="_Toc468698370"/>
      <w:r>
        <w:rPr>
          <w:rStyle w:val="CharSClsNo"/>
        </w:rPr>
        <w:t>10</w:t>
      </w:r>
      <w:r>
        <w:t>.</w:t>
      </w:r>
      <w:r>
        <w:tab/>
        <w:t>Disposal of tenant compensation bond to tenant by bond administrator</w:t>
      </w:r>
      <w:bookmarkEnd w:id="429"/>
      <w:bookmarkEnd w:id="430"/>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r>
        <w:tab/>
        <w:t>[Clause 10 inserted by No. 60 of 2011 s. 87(23).]</w:t>
      </w:r>
    </w:p>
    <w:p>
      <w:pPr>
        <w:pStyle w:val="yHeading5"/>
      </w:pPr>
      <w:bookmarkStart w:id="431" w:name="_Toc411611746"/>
      <w:bookmarkStart w:id="432" w:name="_Toc468698371"/>
      <w:r>
        <w:rPr>
          <w:rStyle w:val="CharSClsNo"/>
        </w:rPr>
        <w:t>11</w:t>
      </w:r>
      <w:r>
        <w:t>.</w:t>
      </w:r>
      <w:r>
        <w:tab/>
        <w:t>Disposal of tenant compensation bond to lessor by bond administrator</w:t>
      </w:r>
      <w:bookmarkEnd w:id="431"/>
      <w:bookmarkEnd w:id="432"/>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foot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434" w:name="_Toc411611747"/>
      <w:bookmarkStart w:id="435" w:name="_Toc425253038"/>
      <w:bookmarkStart w:id="436" w:name="_Toc435029127"/>
      <w:bookmarkStart w:id="437" w:name="_Toc468698372"/>
      <w:r>
        <w:t>Notes</w:t>
      </w:r>
      <w:bookmarkEnd w:id="434"/>
      <w:bookmarkEnd w:id="435"/>
      <w:bookmarkEnd w:id="436"/>
      <w:bookmarkEnd w:id="437"/>
    </w:p>
    <w:p>
      <w:pPr>
        <w:pStyle w:val="nSubsection"/>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438" w:name="_Toc411611748"/>
      <w:bookmarkStart w:id="439" w:name="_Toc468698373"/>
      <w:r>
        <w:t>Compilation table</w:t>
      </w:r>
      <w:bookmarkEnd w:id="438"/>
      <w:bookmarkEnd w:id="43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Residential Tenancies Act 1987</w:t>
            </w:r>
          </w:p>
        </w:tc>
        <w:tc>
          <w:tcPr>
            <w:tcW w:w="1134" w:type="dxa"/>
          </w:tcPr>
          <w:p>
            <w:pPr>
              <w:pStyle w:val="nTable"/>
              <w:spacing w:after="40"/>
            </w:pPr>
            <w:r>
              <w:t>128 of 1987</w:t>
            </w:r>
          </w:p>
        </w:tc>
        <w:tc>
          <w:tcPr>
            <w:tcW w:w="1135" w:type="dxa"/>
          </w:tcPr>
          <w:p>
            <w:pPr>
              <w:pStyle w:val="nTable"/>
              <w:spacing w:after="40"/>
            </w:pPr>
            <w:r>
              <w:t>21 Jan 1988</w:t>
            </w:r>
          </w:p>
        </w:tc>
        <w:tc>
          <w:tcPr>
            <w:tcW w:w="2551" w:type="dxa"/>
          </w:tcPr>
          <w:p>
            <w:pPr>
              <w:pStyle w:val="nTable"/>
              <w:spacing w:after="40"/>
            </w:pPr>
            <w:r>
              <w:t>s. 1 and 2: 21 Jan 1988;</w:t>
            </w:r>
            <w:r>
              <w:br/>
              <w:t xml:space="preserve">Act other than s. 1 and 2: 1 Oct 1989 (see s. 2 and </w:t>
            </w:r>
            <w:r>
              <w:rPr>
                <w:i/>
              </w:rPr>
              <w:t>Gazette</w:t>
            </w:r>
            <w:r>
              <w:t xml:space="preserve"> 18 Aug 1989 p. 2748)</w:t>
            </w:r>
          </w:p>
        </w:tc>
      </w:tr>
      <w:tr>
        <w:trPr>
          <w:cantSplit/>
        </w:trPr>
        <w:tc>
          <w:tcPr>
            <w:tcW w:w="2268" w:type="dxa"/>
          </w:tcPr>
          <w:p>
            <w:pPr>
              <w:pStyle w:val="nTable"/>
              <w:spacing w:after="40"/>
            </w:pPr>
            <w:r>
              <w:rPr>
                <w:i/>
              </w:rPr>
              <w:t>Residential Tenancies Amendment Act 1988</w:t>
            </w:r>
          </w:p>
        </w:tc>
        <w:tc>
          <w:tcPr>
            <w:tcW w:w="1134" w:type="dxa"/>
          </w:tcPr>
          <w:p>
            <w:pPr>
              <w:pStyle w:val="nTable"/>
              <w:spacing w:after="40"/>
            </w:pPr>
            <w:r>
              <w:t>50 of 1988</w:t>
            </w:r>
          </w:p>
        </w:tc>
        <w:tc>
          <w:tcPr>
            <w:tcW w:w="1135" w:type="dxa"/>
          </w:tcPr>
          <w:p>
            <w:pPr>
              <w:pStyle w:val="nTable"/>
              <w:spacing w:after="40"/>
            </w:pPr>
            <w:r>
              <w:t>8 Dec 1988</w:t>
            </w:r>
          </w:p>
        </w:tc>
        <w:tc>
          <w:tcPr>
            <w:tcW w:w="2551" w:type="dxa"/>
          </w:tcPr>
          <w:p>
            <w:pPr>
              <w:pStyle w:val="nTable"/>
              <w:spacing w:after="40"/>
            </w:pPr>
            <w:r>
              <w:t>8 Dec 1988 (see s. 2)</w:t>
            </w:r>
          </w:p>
        </w:tc>
      </w:tr>
      <w:tr>
        <w:trPr>
          <w:cantSplit/>
        </w:trPr>
        <w:tc>
          <w:tcPr>
            <w:tcW w:w="2268" w:type="dxa"/>
          </w:tcPr>
          <w:p>
            <w:pPr>
              <w:pStyle w:val="nTable"/>
              <w:spacing w:after="40"/>
            </w:pPr>
            <w:r>
              <w:rPr>
                <w:i/>
              </w:rPr>
              <w:t>Financial Administration Legislation Amendment Act 1993</w:t>
            </w:r>
            <w:r>
              <w:t xml:space="preserve"> s. 11</w:t>
            </w:r>
          </w:p>
        </w:tc>
        <w:tc>
          <w:tcPr>
            <w:tcW w:w="1134" w:type="dxa"/>
          </w:tcPr>
          <w:p>
            <w:pPr>
              <w:pStyle w:val="nTable"/>
              <w:spacing w:after="40"/>
            </w:pPr>
            <w:r>
              <w:t>6 of 1993</w:t>
            </w:r>
          </w:p>
        </w:tc>
        <w:tc>
          <w:tcPr>
            <w:tcW w:w="1135"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pPr>
            <w:r>
              <w:rPr>
                <w:i/>
              </w:rPr>
              <w:t>Acts Amendment (Ministry of Justice) Act 1993</w:t>
            </w:r>
            <w:r>
              <w:t xml:space="preserve"> Pt. 17</w:t>
            </w:r>
            <w:r>
              <w:rPr>
                <w:snapToGrid w:val="0"/>
              </w:rPr>
              <w:t> </w:t>
            </w:r>
            <w:r>
              <w:rPr>
                <w:snapToGrid w:val="0"/>
                <w:vertAlign w:val="superscript"/>
              </w:rPr>
              <w:t>3</w:t>
            </w:r>
          </w:p>
        </w:tc>
        <w:tc>
          <w:tcPr>
            <w:tcW w:w="1134" w:type="dxa"/>
          </w:tcPr>
          <w:p>
            <w:pPr>
              <w:pStyle w:val="nTable"/>
              <w:spacing w:after="40"/>
            </w:pPr>
            <w:r>
              <w:t>31 of 1993</w:t>
            </w:r>
          </w:p>
        </w:tc>
        <w:tc>
          <w:tcPr>
            <w:tcW w:w="1135"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4" w:type="dxa"/>
          </w:tcPr>
          <w:p>
            <w:pPr>
              <w:pStyle w:val="nTable"/>
              <w:spacing w:after="40"/>
            </w:pPr>
            <w:r>
              <w:t>34 of 1995</w:t>
            </w:r>
          </w:p>
        </w:tc>
        <w:tc>
          <w:tcPr>
            <w:tcW w:w="1135" w:type="dxa"/>
          </w:tcPr>
          <w:p>
            <w:pPr>
              <w:pStyle w:val="nTable"/>
              <w:spacing w:after="40"/>
            </w:pPr>
            <w:r>
              <w:t>29 Sep 1995</w:t>
            </w:r>
          </w:p>
        </w:tc>
        <w:tc>
          <w:tcPr>
            <w:tcW w:w="2551" w:type="dxa"/>
          </w:tcPr>
          <w:p>
            <w:pPr>
              <w:pStyle w:val="nTable"/>
              <w:spacing w:after="40"/>
            </w:pPr>
            <w:r>
              <w:t>1 Jul 1997 (see s. 2 and </w:t>
            </w:r>
            <w:r>
              <w:rPr>
                <w:i/>
              </w:rPr>
              <w:t>Gazette</w:t>
            </w:r>
            <w:r>
              <w:t xml:space="preserve"> 20 Jun 1997 p. 2805)</w:t>
            </w:r>
          </w:p>
        </w:tc>
      </w:tr>
      <w:tr>
        <w:trPr>
          <w:cantSplit/>
        </w:trPr>
        <w:tc>
          <w:tcPr>
            <w:tcW w:w="2268" w:type="dxa"/>
          </w:tcPr>
          <w:p>
            <w:pPr>
              <w:pStyle w:val="nTable"/>
              <w:spacing w:after="40"/>
              <w:rPr>
                <w:i/>
              </w:rPr>
            </w:pPr>
            <w:r>
              <w:rPr>
                <w:i/>
              </w:rPr>
              <w:t>Real Estate Legislation Amendment Act 1995</w:t>
            </w:r>
            <w:r>
              <w:t xml:space="preserve"> Pt. 3 </w:t>
            </w:r>
            <w:r>
              <w:rPr>
                <w:snapToGrid w:val="0"/>
                <w:vertAlign w:val="superscript"/>
              </w:rPr>
              <w:t>4,</w:t>
            </w:r>
            <w:r>
              <w:rPr>
                <w:vertAlign w:val="superscript"/>
              </w:rPr>
              <w:t> 5</w:t>
            </w:r>
          </w:p>
        </w:tc>
        <w:tc>
          <w:tcPr>
            <w:tcW w:w="1134" w:type="dxa"/>
          </w:tcPr>
          <w:p>
            <w:pPr>
              <w:pStyle w:val="nTable"/>
              <w:spacing w:after="40"/>
            </w:pPr>
            <w:r>
              <w:t>59 of 1995</w:t>
            </w:r>
          </w:p>
        </w:tc>
        <w:tc>
          <w:tcPr>
            <w:tcW w:w="1135" w:type="dxa"/>
          </w:tcPr>
          <w:p>
            <w:pPr>
              <w:pStyle w:val="nTable"/>
              <w:spacing w:after="40"/>
            </w:pPr>
            <w:r>
              <w:t>20 Dec 1995</w:t>
            </w:r>
          </w:p>
        </w:tc>
        <w:tc>
          <w:tcPr>
            <w:tcW w:w="2551" w:type="dxa"/>
          </w:tcPr>
          <w:p>
            <w:pPr>
              <w:pStyle w:val="nTable"/>
              <w:spacing w:after="40"/>
            </w:pPr>
            <w:r>
              <w:t>Pt. 3 other than s. 46 and 52: 1 Jul 1996 (see s. 2 and </w:t>
            </w:r>
            <w:r>
              <w:rPr>
                <w:i/>
              </w:rPr>
              <w:t>Gazette</w:t>
            </w:r>
            <w:r>
              <w:t xml:space="preserve"> 25 Jun 1996 p. 2902);</w:t>
            </w:r>
            <w:r>
              <w:br/>
              <w:t xml:space="preserve">s. 46 and 52: 5 Apr 2007 (see s. 2 and </w:t>
            </w:r>
            <w:r>
              <w:rPr>
                <w:i/>
                <w:iCs/>
              </w:rPr>
              <w:t xml:space="preserve">Gazette </w:t>
            </w:r>
            <w:r>
              <w:t>30 Mar 2007</w:t>
            </w:r>
            <w:r>
              <w:rPr>
                <w:iCs/>
              </w:rPr>
              <w:t xml:space="preserve"> </w:t>
            </w:r>
            <w:r>
              <w:t>p. 1451)</w:t>
            </w:r>
          </w:p>
        </w:tc>
      </w:tr>
      <w:tr>
        <w:trPr>
          <w:cantSplit/>
        </w:trPr>
        <w:tc>
          <w:tcPr>
            <w:tcW w:w="2268" w:type="dxa"/>
          </w:tcPr>
          <w:p>
            <w:pPr>
              <w:pStyle w:val="nTable"/>
              <w:keepNext/>
              <w:keepLines/>
              <w:spacing w:after="40"/>
            </w:pPr>
            <w:r>
              <w:rPr>
                <w:i/>
              </w:rPr>
              <w:t>Water Agencies Restructure (Transitional and Consequential Provisions) Act 1995</w:t>
            </w:r>
            <w:r>
              <w:t xml:space="preserve"> s. 188</w:t>
            </w:r>
          </w:p>
        </w:tc>
        <w:tc>
          <w:tcPr>
            <w:tcW w:w="1134" w:type="dxa"/>
          </w:tcPr>
          <w:p>
            <w:pPr>
              <w:pStyle w:val="nTable"/>
              <w:keepNext/>
              <w:keepLines/>
              <w:spacing w:after="40"/>
            </w:pPr>
            <w:r>
              <w:t>73 of 1995</w:t>
            </w:r>
          </w:p>
        </w:tc>
        <w:tc>
          <w:tcPr>
            <w:tcW w:w="1135" w:type="dxa"/>
          </w:tcPr>
          <w:p>
            <w:pPr>
              <w:pStyle w:val="nTable"/>
              <w:keepNext/>
              <w:keepLines/>
              <w:spacing w:after="40"/>
            </w:pPr>
            <w:r>
              <w:t>27 Dec 1995</w:t>
            </w:r>
          </w:p>
        </w:tc>
        <w:tc>
          <w:tcPr>
            <w:tcW w:w="2551" w:type="dxa"/>
          </w:tcPr>
          <w:p>
            <w:pPr>
              <w:pStyle w:val="nTable"/>
              <w:keepNext/>
              <w:keepLines/>
              <w:spacing w:after="40"/>
            </w:pPr>
            <w:r>
              <w:t xml:space="preserve">1 Jan 1996 (see s. 2(2) and </w:t>
            </w:r>
            <w:r>
              <w:rPr>
                <w:i/>
              </w:rPr>
              <w:t>Gazette</w:t>
            </w:r>
            <w:r>
              <w:t xml:space="preserve"> 29 Dec 1995 p. 6291)</w:t>
            </w:r>
          </w:p>
        </w:tc>
      </w:tr>
      <w:tr>
        <w:trPr>
          <w:cantSplit/>
        </w:trPr>
        <w:tc>
          <w:tcPr>
            <w:tcW w:w="7088" w:type="dxa"/>
            <w:gridSpan w:val="4"/>
          </w:tcPr>
          <w:p>
            <w:pPr>
              <w:pStyle w:val="nTable"/>
              <w:keepNext/>
              <w:keepLines/>
              <w:spacing w:after="40"/>
            </w:pPr>
            <w:r>
              <w:rPr>
                <w:b/>
              </w:rPr>
              <w:t xml:space="preserve">Reprint of the </w:t>
            </w:r>
            <w:r>
              <w:rPr>
                <w:b/>
                <w:i/>
              </w:rPr>
              <w:t xml:space="preserve">Residential Tenancies Act 1987 </w:t>
            </w:r>
            <w:r>
              <w:rPr>
                <w:b/>
              </w:rPr>
              <w:t>as at 15 Mar 1996</w:t>
            </w:r>
            <w:r>
              <w:t xml:space="preserve"> (includes amendments listed above except those in the </w:t>
            </w:r>
            <w:r>
              <w:rPr>
                <w:i/>
              </w:rPr>
              <w:t>Real Estate Legislation Amendment Act 1995</w:t>
            </w:r>
            <w:r>
              <w:t xml:space="preserve">) (correction in </w:t>
            </w:r>
            <w:r>
              <w:rPr>
                <w:i/>
              </w:rPr>
              <w:t>Gazette</w:t>
            </w:r>
            <w:r>
              <w:t xml:space="preserve"> 6 Dec 1996 p. 6725)</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pPr>
            <w:r>
              <w:rPr>
                <w:i/>
              </w:rPr>
              <w:t>Statutes (Repeals and Minor Amendments) Act 1997</w:t>
            </w:r>
            <w:r>
              <w:t xml:space="preserve"> s. 39(10)</w:t>
            </w:r>
          </w:p>
        </w:tc>
        <w:tc>
          <w:tcPr>
            <w:tcW w:w="1134"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cantSplit/>
        </w:trPr>
        <w:tc>
          <w:tcPr>
            <w:tcW w:w="7088" w:type="dxa"/>
            <w:gridSpan w:val="4"/>
          </w:tcPr>
          <w:p>
            <w:pPr>
              <w:pStyle w:val="nTable"/>
              <w:keepLines/>
              <w:spacing w:after="40"/>
            </w:pPr>
            <w:r>
              <w:rPr>
                <w:b/>
              </w:rPr>
              <w:t xml:space="preserve">Reprint of the </w:t>
            </w:r>
            <w:r>
              <w:rPr>
                <w:b/>
                <w:i/>
              </w:rPr>
              <w:t xml:space="preserve">Residential Tenancies Act 1987 </w:t>
            </w:r>
            <w:r>
              <w:rPr>
                <w:b/>
              </w:rPr>
              <w:t>as at 22 Jan 1999</w:t>
            </w:r>
            <w:r>
              <w:t xml:space="preserve"> (includes amendments listed above except those in the </w:t>
            </w:r>
            <w:r>
              <w:rPr>
                <w:i/>
              </w:rPr>
              <w:t>Real Estate Legislation Amendment Act 1995</w:t>
            </w:r>
            <w:r>
              <w:rPr>
                <w:iCs/>
              </w:rPr>
              <w:t xml:space="preserve"> s. 46 and 52</w:t>
            </w:r>
            <w:r>
              <w:t>)</w:t>
            </w:r>
          </w:p>
        </w:tc>
      </w:tr>
      <w:tr>
        <w:trPr>
          <w:cantSplit/>
        </w:trPr>
        <w:tc>
          <w:tcPr>
            <w:tcW w:w="2268" w:type="dxa"/>
          </w:tcPr>
          <w:p>
            <w:pPr>
              <w:pStyle w:val="nTable"/>
              <w:spacing w:after="40"/>
            </w:pPr>
            <w:r>
              <w:rPr>
                <w:i/>
              </w:rPr>
              <w:t>Acts Amendment and Repeal (Financial Sector Reform) Act 1999</w:t>
            </w:r>
            <w:r>
              <w:t xml:space="preserve"> s. 100</w:t>
            </w:r>
          </w:p>
        </w:tc>
        <w:tc>
          <w:tcPr>
            <w:tcW w:w="1134" w:type="dxa"/>
          </w:tcPr>
          <w:p>
            <w:pPr>
              <w:pStyle w:val="nTable"/>
              <w:spacing w:after="40"/>
            </w:pPr>
            <w:r>
              <w:t>26 of 1999</w:t>
            </w:r>
          </w:p>
        </w:tc>
        <w:tc>
          <w:tcPr>
            <w:tcW w:w="1135" w:type="dxa"/>
          </w:tcPr>
          <w:p>
            <w:pPr>
              <w:pStyle w:val="nTable"/>
              <w:spacing w:after="40"/>
            </w:pPr>
            <w:r>
              <w:t>29 Jun 1999</w:t>
            </w:r>
          </w:p>
        </w:tc>
        <w:tc>
          <w:tcPr>
            <w:tcW w:w="2551" w:type="dxa"/>
          </w:tcPr>
          <w:p>
            <w:pPr>
              <w:pStyle w:val="nTable"/>
              <w:spacing w:after="40"/>
            </w:pPr>
            <w:r>
              <w:t xml:space="preserve">1 Jul 1999 (see s. 2(1) and </w:t>
            </w:r>
            <w:r>
              <w:rPr>
                <w:i/>
              </w:rPr>
              <w:t>Gazette</w:t>
            </w:r>
            <w:r>
              <w:t xml:space="preserve"> 30 Jun 1999 p. 2905)</w:t>
            </w:r>
          </w:p>
        </w:tc>
      </w:tr>
      <w:tr>
        <w:trPr>
          <w:cantSplit/>
        </w:trPr>
        <w:tc>
          <w:tcPr>
            <w:tcW w:w="2268" w:type="dxa"/>
          </w:tcPr>
          <w:p>
            <w:pPr>
              <w:pStyle w:val="nTable"/>
              <w:spacing w:after="40"/>
              <w:rPr>
                <w:i/>
              </w:rPr>
            </w:pPr>
            <w:r>
              <w:rPr>
                <w:i/>
              </w:rPr>
              <w:t>Corporations (Consequential Amendments) Act 2001</w:t>
            </w:r>
            <w:r>
              <w:t xml:space="preserve"> s. 220</w:t>
            </w:r>
          </w:p>
        </w:tc>
        <w:tc>
          <w:tcPr>
            <w:tcW w:w="1134"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rPr>
                <w:i/>
              </w:rPr>
            </w:pPr>
            <w:r>
              <w:rPr>
                <w:i/>
              </w:rPr>
              <w:t xml:space="preserve">Taxation Administration (Consequential Provisions) Act 2002 </w:t>
            </w:r>
            <w:r>
              <w:t>s. 21</w:t>
            </w:r>
            <w:r>
              <w:rPr>
                <w:vertAlign w:val="superscript"/>
              </w:rPr>
              <w:t> 6</w:t>
            </w:r>
          </w:p>
        </w:tc>
        <w:tc>
          <w:tcPr>
            <w:tcW w:w="1134" w:type="dxa"/>
          </w:tcPr>
          <w:p>
            <w:pPr>
              <w:pStyle w:val="nTable"/>
              <w:spacing w:after="40"/>
            </w:pPr>
            <w:r>
              <w:t>45 of 2002</w:t>
            </w:r>
          </w:p>
        </w:tc>
        <w:tc>
          <w:tcPr>
            <w:tcW w:w="1135"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pPr>
            <w:r>
              <w:rPr>
                <w:i/>
              </w:rPr>
              <w:t>Acts Amendment and Repeal (Courts and Legal Practice) Act 2003</w:t>
            </w:r>
            <w:r>
              <w:t xml:space="preserve"> s. 61</w:t>
            </w:r>
          </w:p>
        </w:tc>
        <w:tc>
          <w:tcPr>
            <w:tcW w:w="1134"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Pt. 16</w:t>
            </w:r>
          </w:p>
        </w:tc>
        <w:tc>
          <w:tcPr>
            <w:tcW w:w="1134"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7088" w:type="dxa"/>
            <w:gridSpan w:val="4"/>
          </w:tcPr>
          <w:p>
            <w:pPr>
              <w:pStyle w:val="nTable"/>
              <w:spacing w:after="40"/>
              <w:rPr>
                <w:snapToGrid w:val="0"/>
              </w:rPr>
            </w:pPr>
            <w:r>
              <w:rPr>
                <w:b/>
              </w:rPr>
              <w:t xml:space="preserve">Reprint 3: The </w:t>
            </w:r>
            <w:r>
              <w:rPr>
                <w:b/>
                <w:i/>
              </w:rPr>
              <w:t xml:space="preserve">Residential Tenancies Act 1987 </w:t>
            </w:r>
            <w:r>
              <w:rPr>
                <w:b/>
              </w:rPr>
              <w:t>as at 27 May 2005</w:t>
            </w:r>
            <w:r>
              <w:t xml:space="preserve"> (includes amendments listed above except those in the </w:t>
            </w:r>
            <w:r>
              <w:rPr>
                <w:i/>
              </w:rPr>
              <w:t>Real Estate Legislation Amendment Act 1995</w:t>
            </w:r>
            <w:r>
              <w:rPr>
                <w:iCs/>
              </w:rPr>
              <w:t xml:space="preserve"> s. 46 and 52</w:t>
            </w:r>
            <w:r>
              <w:t>)</w:t>
            </w:r>
          </w:p>
        </w:tc>
      </w:tr>
      <w:tr>
        <w:tc>
          <w:tcPr>
            <w:tcW w:w="2268" w:type="dxa"/>
          </w:tcPr>
          <w:p>
            <w:pPr>
              <w:pStyle w:val="nTable"/>
              <w:spacing w:after="40"/>
              <w:rPr>
                <w:snapToGrid w:val="0"/>
                <w:vertAlign w:val="superscript"/>
              </w:rPr>
            </w:pPr>
            <w:r>
              <w:rPr>
                <w:i/>
                <w:snapToGrid w:val="0"/>
              </w:rPr>
              <w:t>Limitation Legislation Amendment and Repeal Act 2005</w:t>
            </w:r>
            <w:r>
              <w:rPr>
                <w:snapToGrid w:val="0"/>
              </w:rPr>
              <w:t xml:space="preserve"> s. 23</w:t>
            </w:r>
          </w:p>
        </w:tc>
        <w:tc>
          <w:tcPr>
            <w:tcW w:w="1134" w:type="dxa"/>
          </w:tcPr>
          <w:p>
            <w:pPr>
              <w:pStyle w:val="nTable"/>
              <w:spacing w:after="40"/>
              <w:rPr>
                <w:snapToGrid w:val="0"/>
              </w:rPr>
            </w:pPr>
            <w:r>
              <w:rPr>
                <w:snapToGrid w:val="0"/>
              </w:rPr>
              <w:t>20 of 2005</w:t>
            </w:r>
          </w:p>
        </w:tc>
        <w:tc>
          <w:tcPr>
            <w:tcW w:w="1135" w:type="dxa"/>
          </w:tcPr>
          <w:p>
            <w:pPr>
              <w:pStyle w:val="nTable"/>
              <w:spacing w:after="40"/>
            </w:pPr>
            <w:r>
              <w:t>15 Nov 2005</w:t>
            </w:r>
          </w:p>
        </w:tc>
        <w:tc>
          <w:tcPr>
            <w:tcW w:w="2551" w:type="dxa"/>
          </w:tcPr>
          <w:p>
            <w:pPr>
              <w:pStyle w:val="nTable"/>
              <w:spacing w:after="40"/>
              <w:rPr>
                <w:snapToGrid w:val="0"/>
              </w:rPr>
            </w:pPr>
            <w:r>
              <w:rPr>
                <w:snapToGrid w:val="0"/>
              </w:rPr>
              <w:t>15 Nov 2005 (see s. 2)</w:t>
            </w:r>
          </w:p>
        </w:tc>
      </w:tr>
      <w:tr>
        <w:tc>
          <w:tcPr>
            <w:tcW w:w="2268" w:type="dxa"/>
          </w:tcPr>
          <w:p>
            <w:pPr>
              <w:pStyle w:val="nTable"/>
              <w:spacing w:after="40"/>
              <w:rPr>
                <w:snapToGrid w:val="0"/>
                <w:vertAlign w:val="superscript"/>
              </w:rPr>
            </w:pPr>
            <w:r>
              <w:rPr>
                <w:i/>
                <w:snapToGrid w:val="0"/>
              </w:rPr>
              <w:t>Machinery of Government (Miscellaneous Amendments) Act 2006</w:t>
            </w:r>
            <w:r>
              <w:rPr>
                <w:snapToGrid w:val="0"/>
              </w:rPr>
              <w:t xml:space="preserve"> Pt. 4 Div. 20 </w:t>
            </w:r>
            <w:r>
              <w:rPr>
                <w:snapToGrid w:val="0"/>
                <w:vertAlign w:val="superscript"/>
              </w:rPr>
              <w:t>7</w:t>
            </w:r>
          </w:p>
        </w:tc>
        <w:tc>
          <w:tcPr>
            <w:tcW w:w="1134"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c>
          <w:tcPr>
            <w:tcW w:w="2268" w:type="dxa"/>
          </w:tcPr>
          <w:p>
            <w:pPr>
              <w:pStyle w:val="nTable"/>
              <w:spacing w:after="40"/>
              <w:rPr>
                <w:iCs/>
                <w:snapToGrid w:val="0"/>
              </w:rPr>
            </w:pPr>
            <w:r>
              <w:rPr>
                <w:i/>
                <w:snapToGrid w:val="0"/>
              </w:rPr>
              <w:t>Residential Parks (Long</w:t>
            </w:r>
            <w:r>
              <w:rPr>
                <w:i/>
                <w:snapToGrid w:val="0"/>
              </w:rPr>
              <w:noBreakHyphen/>
              <w:t>stay Tenants) Act 2006</w:t>
            </w:r>
            <w:r>
              <w:rPr>
                <w:iCs/>
                <w:snapToGrid w:val="0"/>
              </w:rPr>
              <w:t xml:space="preserve"> s. 98</w:t>
            </w:r>
          </w:p>
        </w:tc>
        <w:tc>
          <w:tcPr>
            <w:tcW w:w="1134" w:type="dxa"/>
          </w:tcPr>
          <w:p>
            <w:pPr>
              <w:pStyle w:val="nTable"/>
              <w:spacing w:after="40"/>
              <w:rPr>
                <w:snapToGrid w:val="0"/>
              </w:rPr>
            </w:pPr>
            <w:r>
              <w:rPr>
                <w:snapToGrid w:val="0"/>
              </w:rPr>
              <w:t>32 of 2006</w:t>
            </w:r>
          </w:p>
        </w:tc>
        <w:tc>
          <w:tcPr>
            <w:tcW w:w="1135" w:type="dxa"/>
          </w:tcPr>
          <w:p>
            <w:pPr>
              <w:pStyle w:val="nTable"/>
              <w:spacing w:after="40"/>
            </w:pPr>
            <w:r>
              <w:t>4 Jul 2006</w:t>
            </w:r>
          </w:p>
        </w:tc>
        <w:tc>
          <w:tcPr>
            <w:tcW w:w="2551" w:type="dxa"/>
          </w:tcPr>
          <w:p>
            <w:pPr>
              <w:pStyle w:val="nTable"/>
              <w:spacing w:after="40"/>
              <w:rPr>
                <w:snapToGrid w:val="0"/>
              </w:rPr>
            </w:pPr>
            <w:r>
              <w:rPr>
                <w:snapToGrid w:val="0"/>
              </w:rPr>
              <w:t xml:space="preserve">3 Aug 2007 (see s. 2 and </w:t>
            </w:r>
            <w:r>
              <w:rPr>
                <w:i/>
                <w:iCs/>
                <w:snapToGrid w:val="0"/>
              </w:rPr>
              <w:t>Gazette</w:t>
            </w:r>
            <w:r>
              <w:rPr>
                <w:snapToGrid w:val="0"/>
              </w:rPr>
              <w:t xml:space="preserve"> 1 Aug 2007 p. 3835)</w:t>
            </w:r>
          </w:p>
        </w:tc>
      </w:tr>
      <w:tr>
        <w:tc>
          <w:tcPr>
            <w:tcW w:w="2268" w:type="dxa"/>
          </w:tcPr>
          <w:p>
            <w:pPr>
              <w:pStyle w:val="nTable"/>
              <w:spacing w:after="40"/>
              <w:rPr>
                <w:i/>
                <w:snapToGrid w:val="0"/>
              </w:rPr>
            </w:pPr>
            <w:r>
              <w:rPr>
                <w:i/>
                <w:snapToGrid w:val="0"/>
              </w:rPr>
              <w:t>Consumer Protection Legislation Amendment and Repeal Act 2006</w:t>
            </w:r>
            <w:r>
              <w:rPr>
                <w:iCs/>
                <w:snapToGrid w:val="0"/>
              </w:rPr>
              <w:t xml:space="preserve"> Pt. 9</w:t>
            </w:r>
          </w:p>
        </w:tc>
        <w:tc>
          <w:tcPr>
            <w:tcW w:w="1134" w:type="dxa"/>
          </w:tcPr>
          <w:p>
            <w:pPr>
              <w:pStyle w:val="nTable"/>
              <w:spacing w:after="40"/>
              <w:rPr>
                <w:snapToGrid w:val="0"/>
              </w:rPr>
            </w:pPr>
            <w:r>
              <w:rPr>
                <w:snapToGrid w:val="0"/>
              </w:rPr>
              <w:t>69 of 2006</w:t>
            </w:r>
          </w:p>
        </w:tc>
        <w:tc>
          <w:tcPr>
            <w:tcW w:w="1135" w:type="dxa"/>
          </w:tcPr>
          <w:p>
            <w:pPr>
              <w:pStyle w:val="nTable"/>
              <w:spacing w:after="40"/>
            </w:pPr>
            <w:r>
              <w:t>13 Dec 2006</w:t>
            </w:r>
          </w:p>
        </w:tc>
        <w:tc>
          <w:tcPr>
            <w:tcW w:w="2551" w:type="dxa"/>
          </w:tcPr>
          <w:p>
            <w:pPr>
              <w:pStyle w:val="nTable"/>
              <w:spacing w:after="40"/>
              <w:rPr>
                <w:snapToGrid w:val="0"/>
              </w:rPr>
            </w:pPr>
            <w:r>
              <w:rPr>
                <w:snapToGrid w:val="0"/>
              </w:rPr>
              <w:t xml:space="preserve">14 Jul 2007 (see s. 2 and </w:t>
            </w:r>
            <w:r>
              <w:rPr>
                <w:i/>
                <w:iCs/>
                <w:snapToGrid w:val="0"/>
              </w:rPr>
              <w:t>Gazette</w:t>
            </w:r>
            <w:r>
              <w:rPr>
                <w:snapToGrid w:val="0"/>
              </w:rPr>
              <w:t xml:space="preserve"> 13 Jul 2007 p. 3453)</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and Sch. 1 cl. 149</w:t>
            </w:r>
          </w:p>
        </w:tc>
        <w:tc>
          <w:tcPr>
            <w:tcW w:w="1134"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rPr>
              <w:t xml:space="preserve">Reprint 4: The </w:t>
            </w:r>
            <w:r>
              <w:rPr>
                <w:b/>
                <w:i/>
              </w:rPr>
              <w:t xml:space="preserve">Residential Tenancies Act 1987 </w:t>
            </w:r>
            <w:r>
              <w:rPr>
                <w:b/>
              </w:rPr>
              <w:t>as at 20 Jul 2007</w:t>
            </w:r>
            <w:r>
              <w:t xml:space="preserve"> (includes amendments listed above except those in the </w:t>
            </w:r>
            <w:r>
              <w:rPr>
                <w:i/>
                <w:snapToGrid w:val="0"/>
              </w:rPr>
              <w:t>Residential Parks (Long</w:t>
            </w:r>
            <w:r>
              <w:rPr>
                <w:i/>
                <w:snapToGrid w:val="0"/>
              </w:rPr>
              <w:noBreakHyphen/>
              <w:t>stay Tenants) Act 2006</w:t>
            </w:r>
            <w:r>
              <w:t>)</w:t>
            </w:r>
          </w:p>
        </w:tc>
      </w:tr>
      <w:tr>
        <w:tc>
          <w:tcPr>
            <w:tcW w:w="2268" w:type="dxa"/>
          </w:tcPr>
          <w:p>
            <w:pPr>
              <w:pStyle w:val="nTable"/>
              <w:spacing w:after="40"/>
              <w:rPr>
                <w:i/>
                <w:snapToGrid w:val="0"/>
              </w:rPr>
            </w:pPr>
            <w:r>
              <w:rPr>
                <w:i/>
                <w:iCs/>
                <w:snapToGrid w:val="0"/>
              </w:rPr>
              <w:t>Legal Profession Act 2008</w:t>
            </w:r>
            <w:r>
              <w:rPr>
                <w:snapToGrid w:val="0"/>
              </w:rPr>
              <w:t xml:space="preserve"> s. 698</w:t>
            </w:r>
          </w:p>
        </w:tc>
        <w:tc>
          <w:tcPr>
            <w:tcW w:w="1134" w:type="dxa"/>
          </w:tcPr>
          <w:p>
            <w:pPr>
              <w:pStyle w:val="nTable"/>
              <w:spacing w:after="40"/>
              <w:rPr>
                <w:snapToGrid w:val="0"/>
              </w:rPr>
            </w:pPr>
            <w:r>
              <w:rPr>
                <w:snapToGrid w:val="0"/>
              </w:rP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29</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noProof/>
                <w:snapToGrid w:val="0"/>
              </w:rPr>
              <w:t>Acts Amendment (Fair Trading) Act 2010</w:t>
            </w:r>
            <w:r>
              <w:rPr>
                <w:iCs/>
                <w:noProof/>
                <w:snapToGrid w:val="0"/>
              </w:rPr>
              <w:t xml:space="preserve"> s. 189</w:t>
            </w:r>
          </w:p>
        </w:tc>
        <w:tc>
          <w:tcPr>
            <w:tcW w:w="1134" w:type="dxa"/>
          </w:tcPr>
          <w:p>
            <w:pPr>
              <w:pStyle w:val="nTable"/>
              <w:spacing w:after="40"/>
              <w:rPr>
                <w:snapToGrid w:val="0"/>
              </w:rPr>
            </w:pPr>
            <w:r>
              <w:t>58 of 2010</w:t>
            </w:r>
          </w:p>
        </w:tc>
        <w:tc>
          <w:tcPr>
            <w:tcW w:w="1135" w:type="dxa"/>
          </w:tcPr>
          <w:p>
            <w:pPr>
              <w:pStyle w:val="nTable"/>
              <w:spacing w:after="40"/>
              <w:rPr>
                <w:snapToGrid w:val="0"/>
              </w:rPr>
            </w:pPr>
            <w:r>
              <w:t>8 Dec 2010</w:t>
            </w:r>
          </w:p>
        </w:tc>
        <w:tc>
          <w:tcPr>
            <w:tcW w:w="2551" w:type="dxa"/>
          </w:tcPr>
          <w:p>
            <w:pPr>
              <w:pStyle w:val="nTable"/>
              <w:spacing w:after="40"/>
              <w:rPr>
                <w:snapToGrid w:val="0"/>
              </w:rPr>
            </w:pPr>
            <w:r>
              <w:t xml:space="preserve">1 Jan 2011 (see s. 2(c) and </w:t>
            </w:r>
            <w:r>
              <w:rPr>
                <w:i/>
                <w:iCs/>
              </w:rPr>
              <w:t>Gazette</w:t>
            </w:r>
            <w:r>
              <w:t xml:space="preserve"> 24 Dec 2010 p. 6805)</w:t>
            </w:r>
          </w:p>
        </w:tc>
      </w:tr>
      <w:tr>
        <w:trPr>
          <w:cantSplit/>
        </w:trPr>
        <w:tc>
          <w:tcPr>
            <w:tcW w:w="2268" w:type="dxa"/>
            <w:shd w:val="clear" w:color="auto" w:fill="auto"/>
          </w:tcPr>
          <w:p>
            <w:pPr>
              <w:pStyle w:val="nTable"/>
              <w:spacing w:after="40"/>
              <w:ind w:right="113"/>
              <w:rPr>
                <w:rFonts w:ascii="Arial" w:hAnsi="Arial"/>
                <w:i/>
                <w:noProof/>
                <w:snapToGrid w:val="0"/>
              </w:rPr>
            </w:pPr>
            <w:r>
              <w:rPr>
                <w:i/>
                <w:snapToGrid w:val="0"/>
              </w:rPr>
              <w:t>Residential Tenancies Amendment Act 2011</w:t>
            </w:r>
          </w:p>
        </w:tc>
        <w:tc>
          <w:tcPr>
            <w:tcW w:w="1134" w:type="dxa"/>
            <w:shd w:val="clear" w:color="auto" w:fill="auto"/>
          </w:tcPr>
          <w:p>
            <w:pPr>
              <w:pStyle w:val="nTable"/>
              <w:spacing w:after="40"/>
            </w:pPr>
            <w:r>
              <w:rPr>
                <w:snapToGrid w:val="0"/>
              </w:rPr>
              <w:t>60 of 2011</w:t>
            </w:r>
          </w:p>
        </w:tc>
        <w:tc>
          <w:tcPr>
            <w:tcW w:w="1135" w:type="dxa"/>
            <w:shd w:val="clear" w:color="auto" w:fill="auto"/>
          </w:tcPr>
          <w:p>
            <w:pPr>
              <w:pStyle w:val="nTable"/>
              <w:spacing w:after="40"/>
            </w:pPr>
            <w:r>
              <w:t>14 Dec 2011</w:t>
            </w:r>
          </w:p>
        </w:tc>
        <w:tc>
          <w:tcPr>
            <w:tcW w:w="2551" w:type="dxa"/>
            <w:shd w:val="clear" w:color="auto" w:fill="auto"/>
          </w:tcPr>
          <w:p>
            <w:pPr>
              <w:pStyle w:val="nTable"/>
              <w:spacing w:after="40"/>
              <w:rPr>
                <w:rFonts w:ascii="Arial" w:hAnsi="Arial"/>
              </w:rPr>
            </w:pPr>
            <w:r>
              <w:rPr>
                <w:snapToGrid w:val="0"/>
              </w:rPr>
              <w:t xml:space="preserve">s. 1 and 2: </w:t>
            </w:r>
            <w:r>
              <w:t>14 Dec 2011 (see s. 2(a));</w:t>
            </w:r>
            <w:r>
              <w:br/>
            </w:r>
            <w:r>
              <w:rPr>
                <w:snapToGrid w:val="0"/>
              </w:rPr>
              <w:t xml:space="preserve">s. 5(2) </w:t>
            </w:r>
            <w:r>
              <w:t xml:space="preserve">(to the extent that it inserts the definition of </w:t>
            </w:r>
            <w:r>
              <w:rPr>
                <w:b/>
                <w:i/>
              </w:rPr>
              <w:t>lessor</w:t>
            </w:r>
            <w:r>
              <w:t>)</w:t>
            </w:r>
            <w:r>
              <w:rPr>
                <w:snapToGrid w:val="0"/>
              </w:rPr>
              <w:t xml:space="preserve">, 42(1) and (2), 45(1), 57, 58, 60, 69, 88, 89 </w:t>
            </w:r>
            <w:r>
              <w:t>(to the extent that it amends s. 71) and 90</w:t>
            </w:r>
            <w:r>
              <w:noBreakHyphen/>
              <w:t xml:space="preserve">95: 30 Jul 2012 (see s. 2(b) and </w:t>
            </w:r>
            <w:r>
              <w:rPr>
                <w:i/>
              </w:rPr>
              <w:t>Gazette</w:t>
            </w:r>
            <w:r>
              <w:t xml:space="preserve"> 27 Jul 2012 p. 3663);</w:t>
            </w:r>
            <w:r>
              <w:br/>
            </w:r>
            <w:r>
              <w:rPr>
                <w:snapToGrid w:val="0"/>
              </w:rPr>
              <w:t xml:space="preserve">s. 3-5 (except to the extent that it inserts the definition of </w:t>
            </w:r>
            <w:r>
              <w:rPr>
                <w:b/>
                <w:i/>
                <w:snapToGrid w:val="0"/>
              </w:rPr>
              <w:t>lessor</w:t>
            </w:r>
            <w:r>
              <w:rPr>
                <w:snapToGrid w:val="0"/>
              </w:rPr>
              <w:t>), 6-41, 42(3), 43-44, 45(2), 46-56, 59, 61-68, 70</w:t>
            </w:r>
            <w:r>
              <w:rPr>
                <w:snapToGrid w:val="0"/>
              </w:rPr>
              <w:noBreakHyphen/>
              <w:t xml:space="preserve">87, 89 (except to the extent that it amends s. 71) and Pt. 4 (s. 96): 1 Jul 2013 (see s. 2(b) and </w:t>
            </w:r>
            <w:r>
              <w:rPr>
                <w:i/>
                <w:snapToGrid w:val="0"/>
              </w:rPr>
              <w:t>Gazette</w:t>
            </w:r>
            <w:r>
              <w:rPr>
                <w:snapToGrid w:val="0"/>
              </w:rPr>
              <w:t xml:space="preserve"> 3 May 2013 p. 1735)</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 xml:space="preserve">Residential Tenancies Act 1987 </w:t>
            </w:r>
            <w:r>
              <w:rPr>
                <w:b/>
              </w:rPr>
              <w:t>as at 19 Jul 2013</w:t>
            </w:r>
            <w:r>
              <w:t xml:space="preserve"> (includes amendments listed above)</w:t>
            </w:r>
          </w:p>
        </w:tc>
      </w:tr>
      <w:tr>
        <w:trPr>
          <w:cantSplit/>
        </w:trPr>
        <w:tc>
          <w:tcPr>
            <w:tcW w:w="2268" w:type="dxa"/>
            <w:shd w:val="clear" w:color="auto" w:fill="auto"/>
          </w:tcPr>
          <w:p>
            <w:pPr>
              <w:pStyle w:val="nTable"/>
              <w:spacing w:after="40"/>
              <w:ind w:right="113"/>
              <w:rPr>
                <w:rFonts w:ascii="Arial" w:hAnsi="Arial"/>
                <w:i/>
                <w:noProof/>
                <w:snapToGrid w:val="0"/>
              </w:rPr>
            </w:pPr>
            <w:r>
              <w:rPr>
                <w:i/>
              </w:rPr>
              <w:t>Dog Amendment Act 2013</w:t>
            </w:r>
            <w:r>
              <w:t xml:space="preserve"> Pt. 3</w:t>
            </w:r>
          </w:p>
        </w:tc>
        <w:tc>
          <w:tcPr>
            <w:tcW w:w="1134" w:type="dxa"/>
            <w:shd w:val="clear" w:color="auto" w:fill="auto"/>
          </w:tcPr>
          <w:p>
            <w:pPr>
              <w:pStyle w:val="nTable"/>
              <w:spacing w:after="40"/>
            </w:pPr>
            <w:r>
              <w:t>18 of 2013</w:t>
            </w:r>
          </w:p>
        </w:tc>
        <w:tc>
          <w:tcPr>
            <w:tcW w:w="1135" w:type="dxa"/>
            <w:shd w:val="clear" w:color="auto" w:fill="auto"/>
          </w:tcPr>
          <w:p>
            <w:pPr>
              <w:pStyle w:val="nTable"/>
              <w:spacing w:after="40"/>
            </w:pPr>
            <w:r>
              <w:t>29 Oct 2013</w:t>
            </w:r>
          </w:p>
        </w:tc>
        <w:tc>
          <w:tcPr>
            <w:tcW w:w="2551" w:type="dxa"/>
            <w:shd w:val="clear" w:color="auto" w:fill="auto"/>
          </w:tcPr>
          <w:p>
            <w:pPr>
              <w:pStyle w:val="nTable"/>
              <w:spacing w:after="40"/>
              <w:rPr>
                <w:rFonts w:ascii="Arial" w:hAnsi="Arial"/>
              </w:rPr>
            </w:pPr>
            <w:r>
              <w:t xml:space="preserve">1 Nov 2013 (see s. 2(b) and </w:t>
            </w:r>
            <w:r>
              <w:rPr>
                <w:i/>
              </w:rPr>
              <w:t>Gazette</w:t>
            </w:r>
            <w:r>
              <w:t xml:space="preserve"> 31 Oct 2013 p. 4829)</w:t>
            </w:r>
          </w:p>
        </w:tc>
      </w:tr>
      <w:tr>
        <w:trPr>
          <w:cantSplit/>
        </w:trPr>
        <w:tc>
          <w:tcPr>
            <w:tcW w:w="2268" w:type="dxa"/>
            <w:shd w:val="clear" w:color="auto" w:fill="auto"/>
          </w:tcPr>
          <w:p>
            <w:pPr>
              <w:pStyle w:val="nTable"/>
              <w:spacing w:after="40"/>
              <w:ind w:right="113"/>
              <w:rPr>
                <w:i/>
              </w:rPr>
            </w:pPr>
            <w:r>
              <w:rPr>
                <w:i/>
                <w:snapToGrid w:val="0"/>
              </w:rPr>
              <w:t>Statutes (Repeals and Minor Amendments) Act 2014</w:t>
            </w:r>
            <w:r>
              <w:rPr>
                <w:snapToGrid w:val="0"/>
              </w:rPr>
              <w:t xml:space="preserve"> s. 5</w:t>
            </w:r>
          </w:p>
        </w:tc>
        <w:tc>
          <w:tcPr>
            <w:tcW w:w="1134" w:type="dxa"/>
            <w:shd w:val="clear" w:color="auto" w:fill="auto"/>
          </w:tcPr>
          <w:p>
            <w:pPr>
              <w:pStyle w:val="nTable"/>
              <w:spacing w:after="40"/>
            </w:pPr>
            <w:r>
              <w:t>17 of 2014</w:t>
            </w:r>
          </w:p>
        </w:tc>
        <w:tc>
          <w:tcPr>
            <w:tcW w:w="1135" w:type="dxa"/>
            <w:shd w:val="clear" w:color="auto" w:fill="auto"/>
          </w:tcPr>
          <w:p>
            <w:pPr>
              <w:pStyle w:val="nTable"/>
              <w:spacing w:after="40"/>
            </w:pPr>
            <w:r>
              <w:t>2 Jul 2014</w:t>
            </w:r>
          </w:p>
        </w:tc>
        <w:tc>
          <w:tcPr>
            <w:tcW w:w="2551" w:type="dxa"/>
            <w:shd w:val="clear" w:color="auto" w:fill="auto"/>
          </w:tcPr>
          <w:p>
            <w:pPr>
              <w:pStyle w:val="nTable"/>
              <w:spacing w:after="40"/>
            </w:pPr>
            <w:r>
              <w:t xml:space="preserve">6 Sep 2014 (see s. 2(b) and </w:t>
            </w:r>
            <w:r>
              <w:rPr>
                <w:i/>
              </w:rPr>
              <w:t>Gazette</w:t>
            </w:r>
            <w:r>
              <w:t xml:space="preserve"> 5 Sep 2014 p. 3213)</w:t>
            </w:r>
          </w:p>
        </w:tc>
      </w:tr>
      <w:tr>
        <w:trPr>
          <w:cantSplit/>
        </w:trPr>
        <w:tc>
          <w:tcPr>
            <w:tcW w:w="2268" w:type="dxa"/>
            <w:shd w:val="clear" w:color="auto" w:fill="auto"/>
          </w:tcPr>
          <w:p>
            <w:pPr>
              <w:pStyle w:val="nTable"/>
              <w:spacing w:after="40"/>
              <w:ind w:right="113"/>
              <w:rPr>
                <w:i/>
                <w:snapToGrid w:val="0"/>
              </w:rPr>
            </w:pPr>
            <w:r>
              <w:rPr>
                <w:i/>
                <w:snapToGrid w:val="0"/>
              </w:rPr>
              <w:t>Consumer Protection Legislation Amendment Act 2014</w:t>
            </w:r>
            <w:r>
              <w:rPr>
                <w:snapToGrid w:val="0"/>
              </w:rPr>
              <w:t xml:space="preserve"> Pt. 12</w:t>
            </w:r>
          </w:p>
        </w:tc>
        <w:tc>
          <w:tcPr>
            <w:tcW w:w="1134" w:type="dxa"/>
            <w:shd w:val="clear" w:color="auto" w:fill="auto"/>
          </w:tcPr>
          <w:p>
            <w:pPr>
              <w:pStyle w:val="nTable"/>
              <w:spacing w:after="40"/>
            </w:pPr>
            <w:r>
              <w:rPr>
                <w:snapToGrid w:val="0"/>
              </w:rPr>
              <w:t>23 of 2014</w:t>
            </w:r>
          </w:p>
        </w:tc>
        <w:tc>
          <w:tcPr>
            <w:tcW w:w="1135" w:type="dxa"/>
            <w:shd w:val="clear" w:color="auto" w:fill="auto"/>
          </w:tcPr>
          <w:p>
            <w:pPr>
              <w:pStyle w:val="nTable"/>
              <w:spacing w:after="40"/>
            </w:pPr>
            <w:r>
              <w:rPr>
                <w:snapToGrid w:val="0"/>
              </w:rPr>
              <w:t>9 Oct 2014</w:t>
            </w:r>
          </w:p>
        </w:tc>
        <w:tc>
          <w:tcPr>
            <w:tcW w:w="2551"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7088" w:type="dxa"/>
            <w:gridSpan w:val="4"/>
            <w:tcBorders>
              <w:bottom w:val="single" w:sz="8" w:space="0" w:color="auto"/>
            </w:tcBorders>
            <w:shd w:val="clear" w:color="auto" w:fill="auto"/>
          </w:tcPr>
          <w:p>
            <w:pPr>
              <w:pStyle w:val="nTable"/>
              <w:spacing w:after="40"/>
              <w:rPr>
                <w:snapToGrid w:val="0"/>
              </w:rPr>
            </w:pPr>
            <w:r>
              <w:rPr>
                <w:b/>
              </w:rPr>
              <w:t xml:space="preserve">Reprint 6: The </w:t>
            </w:r>
            <w:r>
              <w:rPr>
                <w:b/>
                <w:i/>
              </w:rPr>
              <w:t xml:space="preserve">Residential Tenancies Act 1987 </w:t>
            </w:r>
            <w:r>
              <w:rPr>
                <w:b/>
              </w:rPr>
              <w:t>as at 6 Feb 2015</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0" w:name="_Toc468698374"/>
      <w:r>
        <w:t>Provisions that have not come into operation</w:t>
      </w:r>
      <w:bookmarkEnd w:id="4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Residential Tenancies Amendment Act 2016</w:t>
            </w:r>
            <w:r>
              <w:t xml:space="preserve"> s. 3</w:t>
            </w:r>
            <w:r>
              <w:noBreakHyphen/>
              <w:t>7</w:t>
            </w:r>
            <w:r>
              <w:rPr>
                <w:vertAlign w:val="superscript"/>
              </w:rPr>
              <w:t> 8</w:t>
            </w:r>
          </w:p>
        </w:tc>
        <w:tc>
          <w:tcPr>
            <w:tcW w:w="1134" w:type="dxa"/>
          </w:tcPr>
          <w:p>
            <w:pPr>
              <w:pStyle w:val="nTable"/>
              <w:spacing w:after="40"/>
            </w:pPr>
            <w:r>
              <w:t>42 of 2016</w:t>
            </w:r>
          </w:p>
        </w:tc>
        <w:tc>
          <w:tcPr>
            <w:tcW w:w="1134" w:type="dxa"/>
          </w:tcPr>
          <w:p>
            <w:pPr>
              <w:pStyle w:val="nTable"/>
              <w:spacing w:after="40"/>
            </w:pPr>
            <w:r>
              <w:t>1 Dec 2016</w:t>
            </w:r>
          </w:p>
        </w:tc>
        <w:tc>
          <w:tcPr>
            <w:tcW w:w="2552" w:type="dxa"/>
          </w:tcPr>
          <w:p>
            <w:pPr>
              <w:pStyle w:val="nTable"/>
              <w:spacing w:after="40"/>
            </w:pPr>
            <w: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7</w:t>
      </w:r>
      <w:r>
        <w:tab/>
        <w:t xml:space="preserve">The </w:t>
      </w:r>
      <w:r>
        <w:rPr>
          <w:i/>
        </w:rPr>
        <w:t>Machinery of Government (Miscellaneous Amendments) Act 2006</w:t>
      </w:r>
      <w:r>
        <w:t xml:space="preserve"> Pt. 4 Div. 23 is a transitional provision that is of no further effect.</w:t>
      </w:r>
    </w:p>
    <w:p>
      <w:pPr>
        <w:pStyle w:val="nSubsection"/>
        <w:keepNext/>
        <w:keepLines/>
      </w:pPr>
      <w:r>
        <w:rPr>
          <w:vertAlign w:val="superscript"/>
        </w:rPr>
        <w:t>8</w:t>
      </w:r>
      <w:r>
        <w:tab/>
        <w:t xml:space="preserve">On the date as at which this compilation was prepared, the </w:t>
      </w:r>
      <w:r>
        <w:rPr>
          <w:i/>
        </w:rPr>
        <w:t>Residential Tenancies Amendment Act 2016</w:t>
      </w:r>
      <w:r>
        <w:t xml:space="preserve"> s. 3</w:t>
      </w:r>
      <w:r>
        <w:noBreakHyphen/>
        <w:t>7 had not come into operation.  They read as follows:</w:t>
      </w:r>
    </w:p>
    <w:p>
      <w:pPr>
        <w:pStyle w:val="BlankOpen"/>
      </w:pPr>
    </w:p>
    <w:p>
      <w:pPr>
        <w:pStyle w:val="nzHeading5"/>
        <w:rPr>
          <w:snapToGrid w:val="0"/>
        </w:rPr>
      </w:pPr>
      <w:bookmarkStart w:id="441" w:name="_Toc433810945"/>
      <w:r>
        <w:rPr>
          <w:rStyle w:val="CharSectno"/>
        </w:rPr>
        <w:t>3</w:t>
      </w:r>
      <w:r>
        <w:rPr>
          <w:snapToGrid w:val="0"/>
        </w:rPr>
        <w:t>.</w:t>
      </w:r>
      <w:r>
        <w:rPr>
          <w:snapToGrid w:val="0"/>
        </w:rPr>
        <w:tab/>
        <w:t>Act amended</w:t>
      </w:r>
      <w:bookmarkEnd w:id="441"/>
    </w:p>
    <w:p>
      <w:pPr>
        <w:pStyle w:val="nzSubsection"/>
      </w:pPr>
      <w:r>
        <w:tab/>
      </w:r>
      <w:r>
        <w:tab/>
        <w:t xml:space="preserve">This Act amends the </w:t>
      </w:r>
      <w:r>
        <w:rPr>
          <w:i/>
        </w:rPr>
        <w:t>Residential Tenancies Act 1987</w:t>
      </w:r>
      <w:r>
        <w:t>.</w:t>
      </w:r>
    </w:p>
    <w:p>
      <w:pPr>
        <w:pStyle w:val="nzHeading5"/>
      </w:pPr>
      <w:bookmarkStart w:id="442" w:name="_Toc433810946"/>
      <w:r>
        <w:rPr>
          <w:rStyle w:val="CharSectno"/>
        </w:rPr>
        <w:t>4</w:t>
      </w:r>
      <w:r>
        <w:t>.</w:t>
      </w:r>
      <w:r>
        <w:tab/>
        <w:t>Section 46 amended</w:t>
      </w:r>
      <w:bookmarkEnd w:id="442"/>
    </w:p>
    <w:p>
      <w:pPr>
        <w:pStyle w:val="nzSubsection"/>
      </w:pPr>
      <w:r>
        <w:tab/>
        <w:t>(1)</w:t>
      </w:r>
      <w:r>
        <w:tab/>
        <w:t>In section 46(1) insert in alphabetical order:</w:t>
      </w:r>
    </w:p>
    <w:p>
      <w:pPr>
        <w:pStyle w:val="BlankOpen"/>
      </w:pPr>
    </w:p>
    <w:p>
      <w:pPr>
        <w:pStyle w:val="nzDefstart"/>
      </w:pPr>
      <w:r>
        <w:tab/>
      </w:r>
      <w:r>
        <w:rPr>
          <w:rStyle w:val="CharDefText"/>
        </w:rPr>
        <w:t>notice</w:t>
      </w:r>
      <w:r>
        <w:t xml:space="preserve"> means notice in a form approved by the Commissioner;</w:t>
      </w:r>
    </w:p>
    <w:p>
      <w:pPr>
        <w:pStyle w:val="BlankClose"/>
      </w:pPr>
    </w:p>
    <w:p>
      <w:pPr>
        <w:pStyle w:val="nzSubsection"/>
      </w:pPr>
      <w:r>
        <w:tab/>
        <w:t>(2)</w:t>
      </w:r>
      <w:r>
        <w:tab/>
        <w:t>In section 46(4) delete “before the lessor gives notice under subsection (2) of a proposed entry to the premises,” and insert:</w:t>
      </w:r>
    </w:p>
    <w:p>
      <w:pPr>
        <w:pStyle w:val="BlankOpen"/>
      </w:pPr>
    </w:p>
    <w:p>
      <w:pPr>
        <w:pStyle w:val="nzSubsection"/>
      </w:pPr>
      <w:r>
        <w:tab/>
      </w:r>
      <w:r>
        <w:tab/>
        <w:t>if it would unduly inconvenience the tenant for the lessor to enter the premises as specified in a notice given under subsection (2),</w:t>
      </w:r>
    </w:p>
    <w:p>
      <w:pPr>
        <w:pStyle w:val="BlankClose"/>
      </w:pPr>
    </w:p>
    <w:p>
      <w:pPr>
        <w:pStyle w:val="nzHeading5"/>
      </w:pPr>
      <w:bookmarkStart w:id="443" w:name="_Toc433810947"/>
      <w:r>
        <w:rPr>
          <w:rStyle w:val="CharSectno"/>
        </w:rPr>
        <w:t>5</w:t>
      </w:r>
      <w:r>
        <w:t>.</w:t>
      </w:r>
      <w:r>
        <w:tab/>
        <w:t>Section 79 amended</w:t>
      </w:r>
      <w:bookmarkEnd w:id="443"/>
    </w:p>
    <w:p>
      <w:pPr>
        <w:pStyle w:val="nzSubsection"/>
      </w:pPr>
      <w:r>
        <w:tab/>
        <w:t>(1)</w:t>
      </w:r>
      <w:r>
        <w:tab/>
        <w:t>In section 79(2) delete the Penalty and insert:</w:t>
      </w:r>
    </w:p>
    <w:p>
      <w:pPr>
        <w:pStyle w:val="BlankOpen"/>
      </w:pPr>
    </w:p>
    <w:p>
      <w:pPr>
        <w:pStyle w:val="nzPenstart"/>
      </w:pPr>
      <w:r>
        <w:tab/>
        <w:t>Penalty for this subsection: a fine of $5 000.</w:t>
      </w:r>
    </w:p>
    <w:p>
      <w:pPr>
        <w:pStyle w:val="BlankClose"/>
      </w:pPr>
    </w:p>
    <w:p>
      <w:pPr>
        <w:pStyle w:val="nzSubsection"/>
      </w:pPr>
      <w:r>
        <w:tab/>
        <w:t>(2)</w:t>
      </w:r>
      <w:r>
        <w:tab/>
        <w:t>Delete section 79(3) and insert:</w:t>
      </w:r>
    </w:p>
    <w:p>
      <w:pPr>
        <w:pStyle w:val="BlankOpen"/>
      </w:pPr>
    </w:p>
    <w:p>
      <w:pPr>
        <w:pStyle w:val="nzSubsection"/>
      </w:pPr>
      <w:r>
        <w:tab/>
        <w:t>(3)</w:t>
      </w:r>
      <w:r>
        <w:tab/>
        <w:t xml:space="preserve">A lessor who stores goods under subsection (2) must cause notice in or to the effect of the form approved by the Commissioner for the purposes of this subsection — </w:t>
      </w:r>
    </w:p>
    <w:p>
      <w:pPr>
        <w:pStyle w:val="nzIndenta"/>
      </w:pPr>
      <w:r>
        <w:tab/>
        <w:t>(a)</w:t>
      </w:r>
      <w:r>
        <w:tab/>
        <w:t>to be given to the tenant within 7 days after the day on which the goods were stored; or</w:t>
      </w:r>
    </w:p>
    <w:p>
      <w:pPr>
        <w:pStyle w:val="nzIndenta"/>
      </w:pPr>
      <w:r>
        <w:tab/>
        <w:t>(b)</w:t>
      </w:r>
      <w:r>
        <w:tab/>
        <w:t xml:space="preserve">to be — </w:t>
      </w:r>
    </w:p>
    <w:p>
      <w:pPr>
        <w:pStyle w:val="nzIndenti"/>
      </w:pPr>
      <w:r>
        <w:tab/>
        <w:t>(i)</w:t>
      </w:r>
      <w:r>
        <w:tab/>
        <w:t>made publicly available in any manner prescribed for the purposes of this paragraph, including (without limitation) by means of a website within 7 days after the day on which the goods were stored; and</w:t>
      </w:r>
    </w:p>
    <w:p>
      <w:pPr>
        <w:pStyle w:val="nzIndenti"/>
      </w:pPr>
      <w:r>
        <w:tab/>
        <w:t>(ii)</w:t>
      </w:r>
      <w:r>
        <w:tab/>
        <w:t>posted in a prominent position on the premises that were subject to the former agreement within 9 days after the day on which the goods were stored.</w:t>
      </w:r>
    </w:p>
    <w:p>
      <w:pPr>
        <w:pStyle w:val="nzPenstart"/>
      </w:pPr>
      <w:r>
        <w:tab/>
        <w:t>Penalty for this subsection: a fine of $5 000.</w:t>
      </w:r>
    </w:p>
    <w:p>
      <w:pPr>
        <w:pStyle w:val="BlankClose"/>
      </w:pPr>
    </w:p>
    <w:p>
      <w:pPr>
        <w:pStyle w:val="nzHeading5"/>
      </w:pPr>
      <w:bookmarkStart w:id="444" w:name="_Toc433810948"/>
      <w:r>
        <w:rPr>
          <w:rStyle w:val="CharSectno"/>
        </w:rPr>
        <w:t>6</w:t>
      </w:r>
      <w:r>
        <w:t>.</w:t>
      </w:r>
      <w:r>
        <w:tab/>
        <w:t>Section 85 amended</w:t>
      </w:r>
      <w:bookmarkEnd w:id="444"/>
    </w:p>
    <w:p>
      <w:pPr>
        <w:pStyle w:val="nzSubsection"/>
        <w:keepNext/>
      </w:pPr>
      <w:r>
        <w:tab/>
        <w:t>(1)</w:t>
      </w:r>
      <w:r>
        <w:tab/>
        <w:t>In section 85(1):</w:t>
      </w:r>
    </w:p>
    <w:p>
      <w:pPr>
        <w:pStyle w:val="nzIndenta"/>
        <w:keepNext/>
      </w:pPr>
      <w:r>
        <w:tab/>
        <w:t>(a)</w:t>
      </w:r>
      <w:r>
        <w:tab/>
        <w:t>in paragraph (b) delete “business.” and insert:</w:t>
      </w:r>
    </w:p>
    <w:p>
      <w:pPr>
        <w:pStyle w:val="BlankOpen"/>
      </w:pPr>
    </w:p>
    <w:p>
      <w:pPr>
        <w:pStyle w:val="nzIndenta"/>
      </w:pPr>
      <w:r>
        <w:tab/>
      </w:r>
      <w:r>
        <w:tab/>
        <w:t>business; or</w:t>
      </w:r>
    </w:p>
    <w:p>
      <w:pPr>
        <w:pStyle w:val="BlankClose"/>
      </w:pPr>
    </w:p>
    <w:p>
      <w:pPr>
        <w:pStyle w:val="nzIndenta"/>
      </w:pPr>
      <w:r>
        <w:tab/>
        <w:t>(b)</w:t>
      </w:r>
      <w:r>
        <w:tab/>
        <w:t>after paragraph (b) insert:</w:t>
      </w:r>
    </w:p>
    <w:p>
      <w:pPr>
        <w:pStyle w:val="BlankOpen"/>
      </w:pPr>
    </w:p>
    <w:p>
      <w:pPr>
        <w:pStyle w:val="nzIndenta"/>
      </w:pPr>
      <w:r>
        <w:tab/>
        <w:t>(c)</w:t>
      </w:r>
      <w:r>
        <w:tab/>
        <w:t>with the consent of that person or in other circumstances specified in the regulations, be given or served by electronic means in accordance with the regulations.</w:t>
      </w:r>
    </w:p>
    <w:p>
      <w:pPr>
        <w:pStyle w:val="BlankClose"/>
      </w:pPr>
    </w:p>
    <w:p>
      <w:pPr>
        <w:pStyle w:val="nzSubsection"/>
      </w:pPr>
      <w:r>
        <w:tab/>
        <w:t>(2)</w:t>
      </w:r>
      <w:r>
        <w:tab/>
        <w:t>In section 85(3):</w:t>
      </w:r>
    </w:p>
    <w:p>
      <w:pPr>
        <w:pStyle w:val="nzIndenta"/>
      </w:pPr>
      <w:r>
        <w:tab/>
        <w:t>(a)</w:t>
      </w:r>
      <w:r>
        <w:tab/>
        <w:t>delete “Any notice or document required or authorised to be given under this Act to any person whose address is unknown” and insert:</w:t>
      </w:r>
    </w:p>
    <w:p>
      <w:pPr>
        <w:pStyle w:val="BlankOpen"/>
      </w:pPr>
    </w:p>
    <w:p>
      <w:pPr>
        <w:pStyle w:val="nzIndenta"/>
      </w:pPr>
      <w:r>
        <w:tab/>
      </w:r>
      <w:r>
        <w:tab/>
        <w:t>If a notice or document required or authorised to be given under this Act cannot be given or sent to a person in accordance with subsection (1), it</w:t>
      </w:r>
    </w:p>
    <w:p>
      <w:pPr>
        <w:pStyle w:val="BlankClose"/>
      </w:pPr>
    </w:p>
    <w:p>
      <w:pPr>
        <w:pStyle w:val="nzIndenta"/>
      </w:pPr>
      <w:r>
        <w:tab/>
        <w:t>(b)</w:t>
      </w:r>
      <w:r>
        <w:tab/>
        <w:t xml:space="preserve">in paragraph (a) after “throughout” insert — </w:t>
      </w:r>
    </w:p>
    <w:p>
      <w:pPr>
        <w:pStyle w:val="BlankOpen"/>
      </w:pPr>
    </w:p>
    <w:p>
      <w:pPr>
        <w:pStyle w:val="nzIndenta"/>
      </w:pPr>
      <w:r>
        <w:tab/>
      </w:r>
      <w:r>
        <w:tab/>
        <w:t>all, or most of,</w:t>
      </w:r>
    </w:p>
    <w:p>
      <w:pPr>
        <w:pStyle w:val="BlankClose"/>
      </w:pPr>
    </w:p>
    <w:p>
      <w:pPr>
        <w:pStyle w:val="nzIndenta"/>
      </w:pPr>
      <w:r>
        <w:tab/>
        <w:t>(c)</w:t>
      </w:r>
      <w:r>
        <w:tab/>
        <w:t>in paragraph (b) delete “effected.” and insert:</w:t>
      </w:r>
    </w:p>
    <w:p>
      <w:pPr>
        <w:pStyle w:val="BlankOpen"/>
      </w:pPr>
    </w:p>
    <w:p>
      <w:pPr>
        <w:pStyle w:val="nzIndenta"/>
      </w:pPr>
      <w:r>
        <w:tab/>
      </w:r>
      <w:r>
        <w:tab/>
        <w:t>effected; or</w:t>
      </w:r>
    </w:p>
    <w:p>
      <w:pPr>
        <w:pStyle w:val="BlankClose"/>
      </w:pPr>
    </w:p>
    <w:p>
      <w:pPr>
        <w:pStyle w:val="nzIndenta"/>
      </w:pPr>
      <w:r>
        <w:tab/>
        <w:t>(d)</w:t>
      </w:r>
      <w:r>
        <w:tab/>
        <w:t>after paragraph (b) insert:</w:t>
      </w:r>
    </w:p>
    <w:p>
      <w:pPr>
        <w:pStyle w:val="BlankOpen"/>
      </w:pPr>
    </w:p>
    <w:p>
      <w:pPr>
        <w:pStyle w:val="nzIndenta"/>
      </w:pPr>
      <w:r>
        <w:tab/>
        <w:t>(c)</w:t>
      </w:r>
      <w:r>
        <w:tab/>
        <w:t>it is made publicly available in any manner prescribed for the purposes of this paragraph, including (without limitation) by means of a website.</w:t>
      </w:r>
    </w:p>
    <w:p>
      <w:pPr>
        <w:pStyle w:val="BlankClose"/>
      </w:pPr>
    </w:p>
    <w:p>
      <w:pPr>
        <w:pStyle w:val="nzHeading5"/>
      </w:pPr>
      <w:bookmarkStart w:id="445" w:name="_Toc433810949"/>
      <w:r>
        <w:rPr>
          <w:rStyle w:val="CharSectno"/>
        </w:rPr>
        <w:t>7</w:t>
      </w:r>
      <w:r>
        <w:t>.</w:t>
      </w:r>
      <w:r>
        <w:tab/>
        <w:t>Schedule 1 clause 8 amended</w:t>
      </w:r>
      <w:bookmarkEnd w:id="445"/>
    </w:p>
    <w:p>
      <w:pPr>
        <w:pStyle w:val="nzSubsection"/>
        <w:keepNext/>
      </w:pPr>
      <w:r>
        <w:tab/>
        <w:t>(1)</w:t>
      </w:r>
      <w:r>
        <w:tab/>
        <w:t>In clause 8(3) delete “</w:t>
      </w:r>
      <w:r>
        <w:rPr>
          <w:sz w:val="22"/>
          <w:szCs w:val="22"/>
        </w:rPr>
        <w:t>prescribed form,</w:t>
      </w:r>
      <w:r>
        <w:t>” and insert:</w:t>
      </w:r>
    </w:p>
    <w:p>
      <w:pPr>
        <w:pStyle w:val="BlankOpen"/>
      </w:pPr>
    </w:p>
    <w:p>
      <w:pPr>
        <w:pStyle w:val="nzSubsection"/>
      </w:pPr>
      <w:r>
        <w:tab/>
      </w:r>
      <w:r>
        <w:tab/>
      </w:r>
      <w:r>
        <w:rPr>
          <w:sz w:val="22"/>
          <w:szCs w:val="22"/>
        </w:rPr>
        <w:t>form approved by the Minister,</w:t>
      </w:r>
    </w:p>
    <w:p>
      <w:pPr>
        <w:pStyle w:val="BlankClose"/>
      </w:pPr>
    </w:p>
    <w:p>
      <w:pPr>
        <w:pStyle w:val="nzSubsection"/>
      </w:pPr>
      <w:r>
        <w:tab/>
        <w:t>(2)</w:t>
      </w:r>
      <w:r>
        <w:tab/>
        <w:t>In clause 8(4)(b) delete “</w:t>
      </w:r>
      <w:r>
        <w:rPr>
          <w:sz w:val="22"/>
          <w:szCs w:val="22"/>
        </w:rPr>
        <w:t>prescribed form</w:t>
      </w:r>
      <w:r>
        <w:t>” and insert:</w:t>
      </w:r>
    </w:p>
    <w:p>
      <w:pPr>
        <w:pStyle w:val="BlankOpen"/>
      </w:pPr>
    </w:p>
    <w:p>
      <w:pPr>
        <w:pStyle w:val="nzSubsection"/>
      </w:pPr>
      <w:r>
        <w:tab/>
      </w:r>
      <w:r>
        <w:tab/>
      </w:r>
      <w:r>
        <w:rPr>
          <w:sz w:val="22"/>
          <w:szCs w:val="22"/>
        </w:rPr>
        <w:t>form approved by the Minister</w:t>
      </w:r>
    </w:p>
    <w:p>
      <w:pPr>
        <w:pStyle w:val="BlankClose"/>
        <w:keepNext/>
      </w:pPr>
    </w:p>
    <w:p>
      <w:pPr>
        <w:pStyle w:val="BlankClose"/>
        <w:keepNext/>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rPr>
          <w:sz w:val="28"/>
        </w:rPr>
      </w:pPr>
      <w:bookmarkStart w:id="447" w:name="_Toc435029129"/>
      <w:bookmarkStart w:id="448" w:name="_Toc468698375"/>
      <w:r>
        <w:rPr>
          <w:sz w:val="28"/>
        </w:rPr>
        <w:t>Defined terms</w:t>
      </w:r>
      <w:bookmarkEnd w:id="447"/>
      <w:bookmarkEnd w:id="4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AFI</w:t>
      </w:r>
      <w:r>
        <w:tab/>
        <w:t>92</w:t>
      </w:r>
    </w:p>
    <w:p>
      <w:pPr>
        <w:pStyle w:val="DefinedTerms"/>
      </w:pPr>
      <w:r>
        <w:t>agent</w:t>
      </w:r>
      <w:r>
        <w:tab/>
        <w:t>22(6), 82A</w:t>
      </w:r>
    </w:p>
    <w:p>
      <w:pPr>
        <w:pStyle w:val="DefinedTerms"/>
      </w:pPr>
      <w:r>
        <w:t>agreement</w:t>
      </w:r>
      <w:r>
        <w:tab/>
        <w:t>70A(1), 71D(1), 72(1A)</w:t>
      </w:r>
    </w:p>
    <w:p>
      <w:pPr>
        <w:pStyle w:val="DefinedTerms"/>
      </w:pPr>
      <w:r>
        <w:t>applicant</w:t>
      </w:r>
      <w:r>
        <w:tab/>
        <w:t>82C(1), 82D(1)</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first tenant</w:t>
      </w:r>
      <w:r>
        <w:tab/>
        <w:t>17A(1)</w:t>
      </w:r>
    </w:p>
    <w:p>
      <w:pPr>
        <w:pStyle w:val="DefinedTerms"/>
      </w:pPr>
      <w:r>
        <w:t>former agreement</w:t>
      </w:r>
      <w:r>
        <w:tab/>
        <w:t>31B(1)</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31B(1)</w:t>
      </w:r>
    </w:p>
    <w:p>
      <w:pPr>
        <w:pStyle w:val="DefinedTerms"/>
      </w:pPr>
      <w:r>
        <w:t>notice</w:t>
      </w:r>
      <w:r>
        <w:tab/>
        <w:t>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urgent repairs</w:t>
      </w:r>
      <w:r>
        <w:tab/>
        <w:t>43(1)</w:t>
      </w:r>
    </w:p>
    <w:p>
      <w:pPr>
        <w:rPr>
          <w:rFonts w:ascii="Arial" w:hAnsi="Arial" w:cs="Arial"/>
          <w:szCs w:val="24"/>
        </w:rPr>
      </w:pPr>
    </w:p>
    <w:p>
      <w:pPr>
        <w:rPr>
          <w:rFonts w:ascii="Arial" w:hAnsi="Arial" w:cs="Arial"/>
          <w:szCs w:val="24"/>
        </w:rPr>
        <w:sectPr>
          <w:headerReference w:type="even" r:id="rId34"/>
          <w:headerReference w:type="default" r:id="rId35"/>
          <w:pgSz w:w="11907" w:h="16840" w:code="9"/>
          <w:pgMar w:top="2381" w:right="2409" w:bottom="3543" w:left="2409" w:header="720" w:footer="3380" w:gutter="0"/>
          <w:cols w:space="720"/>
          <w:noEndnote/>
          <w:docGrid w:linePitch="326"/>
        </w:sectPr>
      </w:pPr>
    </w:p>
    <w:p>
      <w:pPr>
        <w:rPr>
          <w:rFonts w:ascii="Arial" w:hAnsi="Arial" w:cs="Arial"/>
          <w:szCs w:val="24"/>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121</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137</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3" w:name="Schedule"/>
    <w:bookmarkEnd w:id="4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46" w:name="Compilation"/>
    <w:bookmarkEnd w:id="44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9" w:name="DefinedTerms"/>
    <w:bookmarkEnd w:id="44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0" w:name="Coversheet"/>
    <w:bookmarkEnd w:id="45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Residential Tenancies Act 1987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912F0D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512"/>
    <w:docVar w:name="WAFER_20140115163133" w:val="RemoveTocBookmarks,RemoveUnusedBookmarks,RemoveLanguageTags,UsedStyles,ResetPageSize,UpdateArrangement"/>
    <w:docVar w:name="WAFER_20140115163133_GUID" w:val="be5bd3f4-7d6b-4602-b9a0-b814f4da9c24"/>
    <w:docVar w:name="WAFER_20140306140159" w:val="RemoveTocBookmarks,RemoveUnusedBookmarks,RemoveLanguageTags,UsedStyles,ResetPageSize"/>
    <w:docVar w:name="WAFER_20140306140159_GUID" w:val="99f7eac0-a43b-4f4f-9a79-9fab35100957"/>
    <w:docVar w:name="WAFER_20140306140933" w:val="RemoveTocBookmarks,RunningHeaders"/>
    <w:docVar w:name="WAFER_20140306140933_GUID" w:val="8111e4d9-7fd9-4759-9224-56b4cb352552"/>
    <w:docVar w:name="WAFER_20141015123116" w:val="RemoveTocBookmarks,RemoveUnusedBookmarks,RemoveLanguageTags,UsedStyles,ResetPageSize,UpdateArrangement"/>
    <w:docVar w:name="WAFER_20141015123116_GUID" w:val="6578ad09-a1d6-4d4d-9cc4-d8edb897b7e1"/>
    <w:docVar w:name="WAFER_20141119103506" w:val="RemoveTocBookmarks,RunningHeaders"/>
    <w:docVar w:name="WAFER_20141119103506_GUID" w:val="93cd9326-4f41-4fd0-a045-fab23df6c6c5"/>
    <w:docVar w:name="WAFER_20150130080541" w:val="RemoveTocBookmarks,RemoveUnusedBookmarks,RemoveLanguageTags,UsedStyles,RemoveTrackChanges"/>
    <w:docVar w:name="WAFER_20150130080541_GUID" w:val="b51bef14-6dad-41b9-acf9-09ed77241533"/>
    <w:docVar w:name="WAFER_20150130080553" w:val="RemoveTocBookmarks,RemoveLanguageTags,RemoveTrackChanges,RunningHeaders"/>
    <w:docVar w:name="WAFER_20150130080553_GUID" w:val="1dff9b56-5a5c-4800-9836-171d41d3f7a7"/>
    <w:docVar w:name="WAFER_20150213171452" w:val="RemoveTocBookmarks,RemoveLanguageTags,RemoveTrackChanges,RunningHeaders"/>
    <w:docVar w:name="WAFER_20150213171452_GUID" w:val="17220775-b678-4ead-9a82-8c502c6caa64"/>
    <w:docVar w:name="WAFER_20150721143430" w:val="ResetPageSize,UpdateArrangement,UpdateNTable"/>
    <w:docVar w:name="WAFER_20150721143430_GUID" w:val="57abcb2b-ded5-4855-bb35-34285295664f"/>
    <w:docVar w:name="WAFER_20151111175512" w:val="UpdateStyles,UsedStyles"/>
    <w:docVar w:name="WAFER_20151111175512_GUID" w:val="32225b76-d2e6-436c-9037-6d5f6924280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AEA44-6529-4836-8999-2A0EC72F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148</Pages>
  <Words>38176</Words>
  <Characters>179051</Characters>
  <Application>Microsoft Office Word</Application>
  <DocSecurity>0</DocSecurity>
  <Lines>4711</Lines>
  <Paragraphs>2617</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1987 - 06-b0-01</dc:title>
  <dc:subject/>
  <dc:creator/>
  <cp:keywords/>
  <dc:description/>
  <cp:lastModifiedBy>svcMRProcess</cp:lastModifiedBy>
  <cp:revision>4</cp:revision>
  <cp:lastPrinted>2015-02-09T03:16:00Z</cp:lastPrinted>
  <dcterms:created xsi:type="dcterms:W3CDTF">2018-09-07T23:39:00Z</dcterms:created>
  <dcterms:modified xsi:type="dcterms:W3CDTF">2018-09-07T23:40:00Z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DocumentType">
    <vt:lpwstr>Act</vt:lpwstr>
  </property>
  <property fmtid="{D5CDD505-2E9C-101B-9397-08002B2CF9AE}" pid="4" name="OwlsUID">
    <vt:i4>693</vt:i4>
  </property>
  <property fmtid="{D5CDD505-2E9C-101B-9397-08002B2CF9AE}" pid="5" name="ReprintNo">
    <vt:lpwstr>6</vt:lpwstr>
  </property>
  <property fmtid="{D5CDD505-2E9C-101B-9397-08002B2CF9AE}" pid="6" name="ReprintedAsAt">
    <vt:filetime>2015-02-05T16:00:00Z</vt:filetime>
  </property>
  <property fmtid="{D5CDD505-2E9C-101B-9397-08002B2CF9AE}" pid="7" name="AsAtDate">
    <vt:lpwstr>01 Dec 2016</vt:lpwstr>
  </property>
  <property fmtid="{D5CDD505-2E9C-101B-9397-08002B2CF9AE}" pid="8" name="Suffix">
    <vt:lpwstr>06-b0-01</vt:lpwstr>
  </property>
  <property fmtid="{D5CDD505-2E9C-101B-9397-08002B2CF9AE}" pid="9" name="CommencementDate">
    <vt:lpwstr>20161201</vt:lpwstr>
  </property>
</Properties>
</file>