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Settlement Agents Act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_Toc468701043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_Toc468701044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_Toc468701045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settlement agent</w:t>
      </w:r>
      <w:r>
        <w:tab/>
      </w:r>
      <w:r>
        <w:fldChar w:fldCharType="begin"/>
      </w:r>
      <w:r>
        <w:instrText xml:space="preserve"> PAGEREF _Toc468701046 \h </w:instrText>
      </w:r>
      <w:r>
        <w:fldChar w:fldCharType="separate"/>
      </w:r>
      <w:r>
        <w:t>6</w:t>
      </w:r>
      <w:r>
        <w:fldChar w:fldCharType="end"/>
      </w:r>
    </w:p>
    <w:p>
      <w:pPr>
        <w:pStyle w:val="TOC8"/>
        <w:rPr>
          <w:rFonts w:asciiTheme="minorHAnsi" w:eastAsiaTheme="minorEastAsia" w:hAnsiTheme="minorHAnsi" w:cstheme="minorBidi"/>
          <w:szCs w:val="22"/>
        </w:rPr>
      </w:pPr>
      <w:r>
        <w:t>22.</w:t>
      </w:r>
      <w:r>
        <w:tab/>
        <w:t>Powers of investigation</w:t>
      </w:r>
      <w:r>
        <w:tab/>
      </w:r>
      <w:r>
        <w:fldChar w:fldCharType="begin"/>
      </w:r>
      <w:r>
        <w:instrText xml:space="preserve"> PAGEREF _Toc468701047 \h </w:instrText>
      </w:r>
      <w:r>
        <w:fldChar w:fldCharType="separate"/>
      </w:r>
      <w:r>
        <w:t>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review by SAT</w:t>
      </w:r>
      <w:r>
        <w:tab/>
      </w:r>
      <w:r>
        <w:fldChar w:fldCharType="begin"/>
      </w:r>
      <w:r>
        <w:instrText xml:space="preserve"> PAGEREF _Toc468701048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III — Licensing</w:t>
      </w:r>
    </w:p>
    <w:p>
      <w:pPr>
        <w:pStyle w:val="TOC8"/>
        <w:rPr>
          <w:rFonts w:asciiTheme="minorHAnsi" w:eastAsiaTheme="minorEastAsia" w:hAnsiTheme="minorHAnsi" w:cstheme="minorBidi"/>
          <w:szCs w:val="22"/>
        </w:rPr>
      </w:pPr>
      <w:r>
        <w:t>24</w:t>
      </w:r>
      <w:r>
        <w:rPr>
          <w:snapToGrid w:val="0"/>
        </w:rPr>
        <w:t>.</w:t>
      </w:r>
      <w:r>
        <w:rPr>
          <w:snapToGrid w:val="0"/>
        </w:rPr>
        <w:tab/>
        <w:t>Applications for licences</w:t>
      </w:r>
      <w:r>
        <w:tab/>
      </w:r>
      <w:r>
        <w:fldChar w:fldCharType="begin"/>
      </w:r>
      <w:r>
        <w:instrText xml:space="preserve"> PAGEREF _Toc468701050 \h </w:instrText>
      </w:r>
      <w:r>
        <w:fldChar w:fldCharType="separate"/>
      </w:r>
      <w:r>
        <w:t>10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Settlement agents must be licensed</w:t>
      </w:r>
      <w:r>
        <w:tab/>
      </w:r>
      <w:r>
        <w:fldChar w:fldCharType="begin"/>
      </w:r>
      <w:r>
        <w:instrText xml:space="preserve"> PAGEREF _Toc468701051 \h </w:instrText>
      </w:r>
      <w:r>
        <w:fldChar w:fldCharType="separate"/>
      </w:r>
      <w:r>
        <w:t>10</w:t>
      </w:r>
      <w:r>
        <w:fldChar w:fldCharType="end"/>
      </w:r>
    </w:p>
    <w:p>
      <w:pPr>
        <w:pStyle w:val="TOC8"/>
        <w:rPr>
          <w:rFonts w:asciiTheme="minorHAnsi" w:eastAsiaTheme="minorEastAsia" w:hAnsiTheme="minorHAnsi" w:cstheme="minorBidi"/>
          <w:szCs w:val="22"/>
        </w:rPr>
      </w:pPr>
      <w:r>
        <w:t>26A</w:t>
      </w:r>
      <w:r>
        <w:rPr>
          <w:snapToGrid w:val="0"/>
        </w:rPr>
        <w:t xml:space="preserve">. </w:t>
      </w:r>
      <w:r>
        <w:rPr>
          <w:snapToGrid w:val="0"/>
        </w:rPr>
        <w:tab/>
        <w:t>Licensed real estate agent may be exempted for certain settlements</w:t>
      </w:r>
      <w:r>
        <w:tab/>
      </w:r>
      <w:r>
        <w:fldChar w:fldCharType="begin"/>
      </w:r>
      <w:r>
        <w:instrText xml:space="preserve"> PAGEREF _Toc468701052 \h </w:instrText>
      </w:r>
      <w:r>
        <w:fldChar w:fldCharType="separate"/>
      </w:r>
      <w:r>
        <w:t>11</w:t>
      </w:r>
      <w:r>
        <w:fldChar w:fldCharType="end"/>
      </w:r>
    </w:p>
    <w:p>
      <w:pPr>
        <w:pStyle w:val="TOC8"/>
        <w:rPr>
          <w:rFonts w:asciiTheme="minorHAnsi" w:eastAsiaTheme="minorEastAsia" w:hAnsiTheme="minorHAnsi" w:cstheme="minorBidi"/>
          <w:szCs w:val="22"/>
        </w:rPr>
      </w:pPr>
      <w:r>
        <w:t>26B</w:t>
      </w:r>
      <w:r>
        <w:rPr>
          <w:snapToGrid w:val="0"/>
        </w:rPr>
        <w:t xml:space="preserve">. </w:t>
      </w:r>
      <w:r>
        <w:rPr>
          <w:snapToGrid w:val="0"/>
        </w:rPr>
        <w:tab/>
        <w:t>Licensed business agent may be exempted for certain settlements</w:t>
      </w:r>
      <w:r>
        <w:tab/>
      </w:r>
      <w:r>
        <w:fldChar w:fldCharType="begin"/>
      </w:r>
      <w:r>
        <w:instrText xml:space="preserve"> PAGEREF _Toc468701053 \h </w:instrText>
      </w:r>
      <w:r>
        <w:fldChar w:fldCharType="separate"/>
      </w:r>
      <w:r>
        <w:t>13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Natural persons, licensing of</w:t>
      </w:r>
      <w:r>
        <w:tab/>
      </w:r>
      <w:r>
        <w:fldChar w:fldCharType="begin"/>
      </w:r>
      <w:r>
        <w:instrText xml:space="preserve"> PAGEREF _Toc468701054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Firms, licensing of</w:t>
      </w:r>
      <w:r>
        <w:tab/>
      </w:r>
      <w:r>
        <w:fldChar w:fldCharType="begin"/>
      </w:r>
      <w:r>
        <w:instrText xml:space="preserve"> PAGEREF _Toc468701055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Bodies corporate, licensing of</w:t>
      </w:r>
      <w:r>
        <w:tab/>
      </w:r>
      <w:r>
        <w:fldChar w:fldCharType="begin"/>
      </w:r>
      <w:r>
        <w:instrText xml:space="preserve"> PAGEREF _Toc468701056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 effect of</w:t>
      </w:r>
      <w:r>
        <w:tab/>
      </w:r>
      <w:r>
        <w:fldChar w:fldCharType="begin"/>
      </w:r>
      <w:r>
        <w:instrText xml:space="preserve"> PAGEREF _Toc468701057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Triennial certificates, grant and renewal of</w:t>
      </w:r>
      <w:r>
        <w:tab/>
      </w:r>
      <w:r>
        <w:fldChar w:fldCharType="begin"/>
      </w:r>
      <w:r>
        <w:instrText xml:space="preserve"> PAGEREF _Toc468701058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Triennial certificates, late renewal of</w:t>
      </w:r>
      <w:r>
        <w:tab/>
      </w:r>
      <w:r>
        <w:fldChar w:fldCharType="begin"/>
      </w:r>
      <w:r>
        <w:instrText xml:space="preserve"> PAGEREF _Toc468701059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Triennial certificates expired for over a year, applications to renew</w:t>
      </w:r>
      <w:r>
        <w:tab/>
      </w:r>
      <w:r>
        <w:fldChar w:fldCharType="begin"/>
      </w:r>
      <w:r>
        <w:instrText xml:space="preserve"> PAGEREF _Toc468701060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Conditions on licences and triennial certificates</w:t>
      </w:r>
      <w:r>
        <w:tab/>
      </w:r>
      <w:r>
        <w:fldChar w:fldCharType="begin"/>
      </w:r>
      <w:r>
        <w:instrText xml:space="preserve"> PAGEREF _Toc468701061 \h </w:instrText>
      </w:r>
      <w:r>
        <w:fldChar w:fldCharType="separate"/>
      </w:r>
      <w:r>
        <w:t>22</w:t>
      </w:r>
      <w:r>
        <w:fldChar w:fldCharType="end"/>
      </w:r>
    </w:p>
    <w:p>
      <w:pPr>
        <w:pStyle w:val="TOC8"/>
        <w:rPr>
          <w:rFonts w:asciiTheme="minorHAnsi" w:eastAsiaTheme="minorEastAsia" w:hAnsiTheme="minorHAnsi" w:cstheme="minorBidi"/>
          <w:szCs w:val="22"/>
        </w:rPr>
      </w:pPr>
      <w:r>
        <w:t>34A</w:t>
      </w:r>
      <w:r>
        <w:rPr>
          <w:snapToGrid w:val="0"/>
        </w:rPr>
        <w:t>.</w:t>
      </w:r>
      <w:r>
        <w:tab/>
        <w:t>Commissioner may grant licence or triennial certificate without notice to applicant</w:t>
      </w:r>
      <w:r>
        <w:tab/>
      </w:r>
      <w:r>
        <w:fldChar w:fldCharType="begin"/>
      </w:r>
      <w:r>
        <w:instrText xml:space="preserve"> PAGEREF _Toc468701062 \h </w:instrText>
      </w:r>
      <w:r>
        <w:fldChar w:fldCharType="separate"/>
      </w:r>
      <w:r>
        <w:t>22</w:t>
      </w:r>
      <w:r>
        <w:fldChar w:fldCharType="end"/>
      </w:r>
    </w:p>
    <w:p>
      <w:pPr>
        <w:pStyle w:val="TOC8"/>
        <w:rPr>
          <w:rFonts w:asciiTheme="minorHAnsi" w:eastAsiaTheme="minorEastAsia" w:hAnsiTheme="minorHAnsi" w:cstheme="minorBidi"/>
          <w:szCs w:val="22"/>
        </w:rPr>
      </w:pPr>
      <w:r>
        <w:t>34B.</w:t>
      </w:r>
      <w:r>
        <w:tab/>
        <w:t>SAT may suspend licence in some cases</w:t>
      </w:r>
      <w:r>
        <w:tab/>
      </w:r>
      <w:r>
        <w:fldChar w:fldCharType="begin"/>
      </w:r>
      <w:r>
        <w:instrText xml:space="preserve"> PAGEREF _Toc468701063 \h </w:instrText>
      </w:r>
      <w:r>
        <w:fldChar w:fldCharType="separate"/>
      </w:r>
      <w:r>
        <w:t>22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Fidelity insurance and professional indemnity insurance for licensees</w:t>
      </w:r>
      <w:r>
        <w:tab/>
      </w:r>
      <w:r>
        <w:fldChar w:fldCharType="begin"/>
      </w:r>
      <w:r>
        <w:instrText xml:space="preserve"> PAGEREF _Toc468701064 \h </w:instrText>
      </w:r>
      <w:r>
        <w:fldChar w:fldCharType="separate"/>
      </w:r>
      <w:r>
        <w:t>23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Licensees to notify Commissioner of certain changes</w:t>
      </w:r>
      <w:r>
        <w:tab/>
      </w:r>
      <w:r>
        <w:fldChar w:fldCharType="begin"/>
      </w:r>
      <w:r>
        <w:instrText xml:space="preserve"> PAGEREF _Toc468701065 \h </w:instrText>
      </w:r>
      <w:r>
        <w:fldChar w:fldCharType="separate"/>
      </w:r>
      <w:r>
        <w:t>25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Registered office of licensee</w:t>
      </w:r>
      <w:r>
        <w:tab/>
      </w:r>
      <w:r>
        <w:fldChar w:fldCharType="begin"/>
      </w:r>
      <w:r>
        <w:instrText xml:space="preserve"> PAGEREF _Toc468701066 \h </w:instrText>
      </w:r>
      <w:r>
        <w:fldChar w:fldCharType="separate"/>
      </w:r>
      <w:r>
        <w:t>26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Branch office of licensee</w:t>
      </w:r>
      <w:r>
        <w:tab/>
      </w:r>
      <w:r>
        <w:fldChar w:fldCharType="begin"/>
      </w:r>
      <w:r>
        <w:instrText xml:space="preserve"> PAGEREF _Toc468701067 \h </w:instrText>
      </w:r>
      <w:r>
        <w:fldChar w:fldCharType="separate"/>
      </w:r>
      <w:r>
        <w:t>27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Triennial certificates, contents of</w:t>
      </w:r>
      <w:r>
        <w:tab/>
      </w:r>
      <w:r>
        <w:fldChar w:fldCharType="begin"/>
      </w:r>
      <w:r>
        <w:instrText xml:space="preserve"> PAGEREF _Toc468701068 \h </w:instrText>
      </w:r>
      <w:r>
        <w:fldChar w:fldCharType="separate"/>
      </w:r>
      <w:r>
        <w:t>27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Licence and triennial certificate not transferable etc.</w:t>
      </w:r>
      <w:r>
        <w:tab/>
      </w:r>
      <w:r>
        <w:fldChar w:fldCharType="begin"/>
      </w:r>
      <w:r>
        <w:instrText xml:space="preserve"> PAGEREF _Toc468701069 \h </w:instrText>
      </w:r>
      <w:r>
        <w:fldChar w:fldCharType="separate"/>
      </w:r>
      <w:r>
        <w:t>28</w:t>
      </w:r>
      <w:r>
        <w:fldChar w:fldCharType="end"/>
      </w:r>
    </w:p>
    <w:p>
      <w:pPr>
        <w:pStyle w:val="TOC8"/>
        <w:rPr>
          <w:rFonts w:asciiTheme="minorHAnsi" w:eastAsiaTheme="minorEastAsia" w:hAnsiTheme="minorHAnsi" w:cstheme="minorBidi"/>
          <w:szCs w:val="22"/>
        </w:rPr>
      </w:pPr>
      <w:r>
        <w:t>41A.</w:t>
      </w:r>
      <w:r>
        <w:tab/>
        <w:t>Duplicate licence or triennial certificate</w:t>
      </w:r>
      <w:r>
        <w:tab/>
      </w:r>
      <w:r>
        <w:fldChar w:fldCharType="begin"/>
      </w:r>
      <w:r>
        <w:instrText xml:space="preserve"> PAGEREF _Toc468701070 \h </w:instrText>
      </w:r>
      <w:r>
        <w:fldChar w:fldCharType="separate"/>
      </w:r>
      <w:r>
        <w:t>28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Use of business names by licensees</w:t>
      </w:r>
      <w:r>
        <w:tab/>
      </w:r>
      <w:r>
        <w:fldChar w:fldCharType="begin"/>
      </w:r>
      <w:r>
        <w:instrText xml:space="preserve"> PAGEREF _Toc468701071 \h </w:instrText>
      </w:r>
      <w:r>
        <w:fldChar w:fldCharType="separate"/>
      </w:r>
      <w:r>
        <w:t>28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Notices to be exhibited at offices; particulars to appear on documents</w:t>
      </w:r>
      <w:r>
        <w:tab/>
      </w:r>
      <w:r>
        <w:fldChar w:fldCharType="begin"/>
      </w:r>
      <w:r>
        <w:instrText xml:space="preserve"> PAGEREF _Toc468701072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IV — Controls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43</w:t>
      </w:r>
      <w:r>
        <w:rPr>
          <w:snapToGrid w:val="0"/>
        </w:rPr>
        <w:t>.</w:t>
      </w:r>
      <w:r>
        <w:rPr>
          <w:snapToGrid w:val="0"/>
        </w:rPr>
        <w:tab/>
        <w:t>Remuneration of settlement agents</w:t>
      </w:r>
      <w:r>
        <w:tab/>
      </w:r>
      <w:r>
        <w:fldChar w:fldCharType="begin"/>
      </w:r>
      <w:r>
        <w:instrText xml:space="preserve"> PAGEREF _Toc468701075 \h </w:instrText>
      </w:r>
      <w:r>
        <w:fldChar w:fldCharType="separate"/>
      </w:r>
      <w:r>
        <w:t>30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Maximum remuneration, disputes over remuneration etc.</w:t>
      </w:r>
      <w:r>
        <w:tab/>
      </w:r>
      <w:r>
        <w:fldChar w:fldCharType="begin"/>
      </w:r>
      <w:r>
        <w:instrText xml:space="preserve"> PAGEREF _Toc468701076 \h </w:instrText>
      </w:r>
      <w:r>
        <w:fldChar w:fldCharType="separate"/>
      </w:r>
      <w:r>
        <w:t>32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Records and premises, licensees’ duties as to</w:t>
      </w:r>
      <w:r>
        <w:tab/>
      </w:r>
      <w:r>
        <w:fldChar w:fldCharType="begin"/>
      </w:r>
      <w:r>
        <w:instrText xml:space="preserve"> PAGEREF _Toc468701077 \h </w:instrText>
      </w:r>
      <w:r>
        <w:fldChar w:fldCharType="separate"/>
      </w:r>
      <w:r>
        <w:t>34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Real estate settlement agents, functions of</w:t>
      </w:r>
      <w:r>
        <w:tab/>
      </w:r>
      <w:r>
        <w:fldChar w:fldCharType="begin"/>
      </w:r>
      <w:r>
        <w:instrText xml:space="preserve"> PAGEREF _Toc468701078 \h </w:instrText>
      </w:r>
      <w:r>
        <w:fldChar w:fldCharType="separate"/>
      </w:r>
      <w:r>
        <w:t>34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Business settlement agents, functions of</w:t>
      </w:r>
      <w:r>
        <w:tab/>
      </w:r>
      <w:r>
        <w:fldChar w:fldCharType="begin"/>
      </w:r>
      <w:r>
        <w:instrText xml:space="preserve"> PAGEREF _Toc468701079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Trust accounts</w:t>
      </w:r>
    </w:p>
    <w:p>
      <w:pPr>
        <w:pStyle w:val="TOC8"/>
        <w:rPr>
          <w:rFonts w:asciiTheme="minorHAnsi" w:eastAsiaTheme="minorEastAsia" w:hAnsiTheme="minorHAnsi" w:cstheme="minorBidi"/>
          <w:szCs w:val="22"/>
        </w:rPr>
      </w:pPr>
      <w:r>
        <w:t>48</w:t>
      </w:r>
      <w:r>
        <w:rPr>
          <w:snapToGrid w:val="0"/>
        </w:rPr>
        <w:t>.</w:t>
      </w:r>
      <w:r>
        <w:rPr>
          <w:snapToGrid w:val="0"/>
        </w:rPr>
        <w:tab/>
        <w:t>Terms used</w:t>
      </w:r>
      <w:r>
        <w:tab/>
      </w:r>
      <w:r>
        <w:fldChar w:fldCharType="begin"/>
      </w:r>
      <w:r>
        <w:instrText xml:space="preserve"> PAGEREF _Toc468701081 \h </w:instrText>
      </w:r>
      <w:r>
        <w:fldChar w:fldCharType="separate"/>
      </w:r>
      <w:r>
        <w:t>37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Trust accounts etc. of licensees</w:t>
      </w:r>
      <w:r>
        <w:tab/>
      </w:r>
      <w:r>
        <w:fldChar w:fldCharType="begin"/>
      </w:r>
      <w:r>
        <w:instrText xml:space="preserve"> PAGEREF _Toc468701082 \h </w:instrText>
      </w:r>
      <w:r>
        <w:fldChar w:fldCharType="separate"/>
      </w:r>
      <w:r>
        <w:t>38</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t>Client may ask settlement agent for separate trust account</w:t>
      </w:r>
      <w:r>
        <w:tab/>
      </w:r>
      <w:r>
        <w:fldChar w:fldCharType="begin"/>
      </w:r>
      <w:r>
        <w:instrText xml:space="preserve"> PAGEREF _Toc468701083 \h </w:instrText>
      </w:r>
      <w:r>
        <w:fldChar w:fldCharType="separate"/>
      </w:r>
      <w:r>
        <w:t>40</w:t>
      </w:r>
      <w:r>
        <w:fldChar w:fldCharType="end"/>
      </w:r>
    </w:p>
    <w:p>
      <w:pPr>
        <w:pStyle w:val="TOC8"/>
        <w:rPr>
          <w:rFonts w:asciiTheme="minorHAnsi" w:eastAsiaTheme="minorEastAsia" w:hAnsiTheme="minorHAnsi" w:cstheme="minorBidi"/>
          <w:szCs w:val="22"/>
        </w:rPr>
      </w:pPr>
      <w:r>
        <w:t>49B</w:t>
      </w:r>
      <w:r>
        <w:rPr>
          <w:snapToGrid w:val="0"/>
        </w:rPr>
        <w:t xml:space="preserve">. </w:t>
      </w:r>
      <w:r>
        <w:rPr>
          <w:snapToGrid w:val="0"/>
        </w:rPr>
        <w:tab/>
        <w:t>Interest on trust accounts</w:t>
      </w:r>
      <w:r>
        <w:tab/>
      </w:r>
      <w:r>
        <w:fldChar w:fldCharType="begin"/>
      </w:r>
      <w:r>
        <w:instrText xml:space="preserve"> PAGEREF _Toc468701084 \h </w:instrText>
      </w:r>
      <w:r>
        <w:fldChar w:fldCharType="separate"/>
      </w:r>
      <w:r>
        <w:t>41</w:t>
      </w:r>
      <w:r>
        <w:fldChar w:fldCharType="end"/>
      </w:r>
    </w:p>
    <w:p>
      <w:pPr>
        <w:pStyle w:val="TOC8"/>
        <w:rPr>
          <w:rFonts w:asciiTheme="minorHAnsi" w:eastAsiaTheme="minorEastAsia" w:hAnsiTheme="minorHAnsi" w:cstheme="minorBidi"/>
          <w:szCs w:val="22"/>
        </w:rPr>
      </w:pPr>
      <w:r>
        <w:t>49C</w:t>
      </w:r>
      <w:r>
        <w:rPr>
          <w:snapToGrid w:val="0"/>
        </w:rPr>
        <w:t xml:space="preserve">. </w:t>
      </w:r>
      <w:r>
        <w:rPr>
          <w:snapToGrid w:val="0"/>
        </w:rPr>
        <w:tab/>
        <w:t>Settlement agents to give Commissioner information about trust accounts</w:t>
      </w:r>
      <w:r>
        <w:tab/>
      </w:r>
      <w:r>
        <w:fldChar w:fldCharType="begin"/>
      </w:r>
      <w:r>
        <w:instrText xml:space="preserve"> PAGEREF _Toc468701085 \h </w:instrText>
      </w:r>
      <w:r>
        <w:fldChar w:fldCharType="separate"/>
      </w:r>
      <w:r>
        <w:t>42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Receipts, accounts etc. by settlement agents</w:t>
      </w:r>
      <w:r>
        <w:tab/>
      </w:r>
      <w:r>
        <w:fldChar w:fldCharType="begin"/>
      </w:r>
      <w:r>
        <w:instrText xml:space="preserve"> PAGEREF _Toc468701086 \h </w:instrText>
      </w:r>
      <w:r>
        <w:fldChar w:fldCharType="separate"/>
      </w:r>
      <w:r>
        <w:t>42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Audits of trust accounts</w:t>
      </w:r>
      <w:r>
        <w:tab/>
      </w:r>
      <w:r>
        <w:fldChar w:fldCharType="begin"/>
      </w:r>
      <w:r>
        <w:instrText xml:space="preserve"> PAGEREF _Toc468701087 \h </w:instrText>
      </w:r>
      <w:r>
        <w:fldChar w:fldCharType="separate"/>
      </w:r>
      <w:r>
        <w:t>43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Date of audit, Commissioner may change</w:t>
      </w:r>
      <w:r>
        <w:tab/>
      </w:r>
      <w:r>
        <w:fldChar w:fldCharType="begin"/>
      </w:r>
      <w:r>
        <w:instrText xml:space="preserve"> PAGEREF _Toc468701088 \h </w:instrText>
      </w:r>
      <w:r>
        <w:fldChar w:fldCharType="separate"/>
      </w:r>
      <w:r>
        <w:t>45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Auditors, qualification and approval of</w:t>
      </w:r>
      <w:r>
        <w:tab/>
      </w:r>
      <w:r>
        <w:fldChar w:fldCharType="begin"/>
      </w:r>
      <w:r>
        <w:instrText xml:space="preserve"> PAGEREF _Toc468701089 \h </w:instrText>
      </w:r>
      <w:r>
        <w:fldChar w:fldCharType="separate"/>
      </w:r>
      <w:r>
        <w:t>46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Auditors, appointment of</w:t>
      </w:r>
      <w:r>
        <w:tab/>
      </w:r>
      <w:r>
        <w:fldChar w:fldCharType="begin"/>
      </w:r>
      <w:r>
        <w:instrText xml:space="preserve"> PAGEREF _Toc468701090 \h </w:instrText>
      </w:r>
      <w:r>
        <w:fldChar w:fldCharType="separate"/>
      </w:r>
      <w:r>
        <w:t>46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Audit of business carried on at more than one place, directions as to</w:t>
      </w:r>
      <w:r>
        <w:tab/>
      </w:r>
      <w:r>
        <w:fldChar w:fldCharType="begin"/>
      </w:r>
      <w:r>
        <w:instrText xml:space="preserve"> PAGEREF _Toc468701091 \h </w:instrText>
      </w:r>
      <w:r>
        <w:fldChar w:fldCharType="separate"/>
      </w:r>
      <w:r>
        <w:t>47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Approvals etc. under this Division, Commissioner’s power to cancel etc.</w:t>
      </w:r>
      <w:r>
        <w:tab/>
      </w:r>
      <w:r>
        <w:fldChar w:fldCharType="begin"/>
      </w:r>
      <w:r>
        <w:instrText xml:space="preserve"> PAGEREF _Toc468701092 \h </w:instrText>
      </w:r>
      <w:r>
        <w:fldChar w:fldCharType="separate"/>
      </w:r>
      <w:r>
        <w:t>47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Audits, settlement agents’ duties and auditors’ powers as to</w:t>
      </w:r>
      <w:r>
        <w:tab/>
      </w:r>
      <w:r>
        <w:fldChar w:fldCharType="begin"/>
      </w:r>
      <w:r>
        <w:instrText xml:space="preserve"> PAGEREF _Toc468701093 \h </w:instrText>
      </w:r>
      <w:r>
        <w:fldChar w:fldCharType="separate"/>
      </w:r>
      <w:r>
        <w:t>47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Audits, bankers’ duties as to</w:t>
      </w:r>
      <w:r>
        <w:tab/>
      </w:r>
      <w:r>
        <w:fldChar w:fldCharType="begin"/>
      </w:r>
      <w:r>
        <w:instrText xml:space="preserve"> PAGEREF _Toc468701094 \h </w:instrText>
      </w:r>
      <w:r>
        <w:fldChar w:fldCharType="separate"/>
      </w:r>
      <w:r>
        <w:t>48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Auditors’ reports, content of</w:t>
      </w:r>
      <w:r>
        <w:tab/>
      </w:r>
      <w:r>
        <w:fldChar w:fldCharType="begin"/>
      </w:r>
      <w:r>
        <w:instrText xml:space="preserve"> PAGEREF _Toc468701095 \h </w:instrText>
      </w:r>
      <w:r>
        <w:fldChar w:fldCharType="separate"/>
      </w:r>
      <w:r>
        <w:t>48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Moneys etc. held on trust, statement of by settlement agents</w:t>
      </w:r>
      <w:r>
        <w:tab/>
      </w:r>
      <w:r>
        <w:fldChar w:fldCharType="begin"/>
      </w:r>
      <w:r>
        <w:instrText xml:space="preserve"> PAGEREF _Toc468701096 \h </w:instrText>
      </w:r>
      <w:r>
        <w:fldChar w:fldCharType="separate"/>
      </w:r>
      <w:r>
        <w:t>49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Auditor’s report to report breaches of law etc.</w:t>
      </w:r>
      <w:r>
        <w:tab/>
      </w:r>
      <w:r>
        <w:fldChar w:fldCharType="begin"/>
      </w:r>
      <w:r>
        <w:instrText xml:space="preserve"> PAGEREF _Toc468701097 \h </w:instrText>
      </w:r>
      <w:r>
        <w:fldChar w:fldCharType="separate"/>
      </w:r>
      <w:r>
        <w:t>50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Auditors’ duty of confidentiality</w:t>
      </w:r>
      <w:r>
        <w:tab/>
      </w:r>
      <w:r>
        <w:fldChar w:fldCharType="begin"/>
      </w:r>
      <w:r>
        <w:instrText xml:space="preserve"> PAGEREF _Toc468701098 \h </w:instrText>
      </w:r>
      <w:r>
        <w:fldChar w:fldCharType="separate"/>
      </w:r>
      <w:r>
        <w:t>50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Right of some persons to information in auditors’ reports</w:t>
      </w:r>
      <w:r>
        <w:tab/>
      </w:r>
      <w:r>
        <w:fldChar w:fldCharType="begin"/>
      </w:r>
      <w:r>
        <w:instrText xml:space="preserve"> PAGEREF _Toc468701099 \h </w:instrText>
      </w:r>
      <w:r>
        <w:fldChar w:fldCharType="separate"/>
      </w:r>
      <w:r>
        <w:t>50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Offences under this Division</w:t>
      </w:r>
      <w:r>
        <w:tab/>
      </w:r>
      <w:r>
        <w:fldChar w:fldCharType="begin"/>
      </w:r>
      <w:r>
        <w:instrText xml:space="preserve"> PAGEREF _Toc468701100 \h </w:instrText>
      </w:r>
      <w:r>
        <w:fldChar w:fldCharType="separate"/>
      </w:r>
      <w:r>
        <w:t>51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Auditors’ remuneration</w:t>
      </w:r>
      <w:r>
        <w:tab/>
      </w:r>
      <w:r>
        <w:fldChar w:fldCharType="begin"/>
      </w:r>
      <w:r>
        <w:instrText xml:space="preserve"> PAGEREF _Toc468701101 \h </w:instrText>
      </w:r>
      <w:r>
        <w:fldChar w:fldCharType="separate"/>
      </w:r>
      <w:r>
        <w:t>51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Settlement agents with no accounts to audit</w:t>
      </w:r>
      <w:r>
        <w:tab/>
      </w:r>
      <w:r>
        <w:fldChar w:fldCharType="begin"/>
      </w:r>
      <w:r>
        <w:instrText xml:space="preserve"> PAGEREF _Toc468701102 \h </w:instrText>
      </w:r>
      <w:r>
        <w:fldChar w:fldCharType="separate"/>
      </w:r>
      <w:r>
        <w:t>51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Accounts of firm or body corporate or settlement agent with branch office, effect of audits as to</w:t>
      </w:r>
      <w:r>
        <w:tab/>
      </w:r>
      <w:r>
        <w:fldChar w:fldCharType="begin"/>
      </w:r>
      <w:r>
        <w:instrText xml:space="preserve"> PAGEREF _Toc468701103 \h </w:instrText>
      </w:r>
      <w:r>
        <w:fldChar w:fldCharType="separate"/>
      </w:r>
      <w:r>
        <w:t>52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Audit of trust account, Commissioner may do</w:t>
      </w:r>
      <w:r>
        <w:tab/>
      </w:r>
      <w:r>
        <w:fldChar w:fldCharType="begin"/>
      </w:r>
      <w:r>
        <w:instrText xml:space="preserve"> PAGEREF _Toc468701104 \h </w:instrText>
      </w:r>
      <w:r>
        <w:fldChar w:fldCharType="separate"/>
      </w:r>
      <w:r>
        <w:t>52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Settlement agent to allow Commissioner’s auditor etc. to inspect accounts etc.</w:t>
      </w:r>
      <w:r>
        <w:tab/>
      </w:r>
      <w:r>
        <w:fldChar w:fldCharType="begin"/>
      </w:r>
      <w:r>
        <w:instrText xml:space="preserve"> PAGEREF _Toc468701105 \h </w:instrText>
      </w:r>
      <w:r>
        <w:fldChar w:fldCharType="separate"/>
      </w:r>
      <w:r>
        <w:t>53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Cost of audit done under s. 69</w:t>
      </w:r>
      <w:r>
        <w:tab/>
      </w:r>
      <w:r>
        <w:fldChar w:fldCharType="begin"/>
      </w:r>
      <w:r>
        <w:instrText xml:space="preserve"> PAGEREF _Toc468701106 \h </w:instrText>
      </w:r>
      <w:r>
        <w:fldChar w:fldCharType="separate"/>
      </w:r>
      <w:r>
        <w:t>53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Application of s. 63 to certain persons</w:t>
      </w:r>
      <w:r>
        <w:tab/>
      </w:r>
      <w:r>
        <w:fldChar w:fldCharType="begin"/>
      </w:r>
      <w:r>
        <w:instrText xml:space="preserve"> PAGEREF _Toc468701107 \h </w:instrText>
      </w:r>
      <w:r>
        <w:fldChar w:fldCharType="separate"/>
      </w:r>
      <w:r>
        <w:t>53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Restraining bank etc. from dealing with settlement agent’s account, SAT’s powers as to</w:t>
      </w:r>
      <w:r>
        <w:tab/>
      </w:r>
      <w:r>
        <w:fldChar w:fldCharType="begin"/>
      </w:r>
      <w:r>
        <w:instrText xml:space="preserve"> PAGEREF _Toc468701108 \h </w:instrText>
      </w:r>
      <w:r>
        <w:fldChar w:fldCharType="separate"/>
      </w:r>
      <w:r>
        <w:t>54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Suspension of settlement agents, appointment of supervisors etc., SAT’s powers as to</w:t>
      </w:r>
      <w:r>
        <w:tab/>
      </w:r>
      <w:r>
        <w:fldChar w:fldCharType="begin"/>
      </w:r>
      <w:r>
        <w:instrText xml:space="preserve"> PAGEREF _Toc468701109 \h </w:instrText>
      </w:r>
      <w:r>
        <w:fldChar w:fldCharType="separate"/>
      </w:r>
      <w:r>
        <w:t>55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Effect of s. 74 orders appointing supervisor</w:t>
      </w:r>
      <w:r>
        <w:tab/>
      </w:r>
      <w:r>
        <w:fldChar w:fldCharType="begin"/>
      </w:r>
      <w:r>
        <w:instrText xml:space="preserve"> PAGEREF _Toc468701110 \h </w:instrText>
      </w:r>
      <w:r>
        <w:fldChar w:fldCharType="separate"/>
      </w:r>
      <w:r>
        <w:t>57</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Supervisors’ duties</w:t>
      </w:r>
      <w:r>
        <w:tab/>
      </w:r>
      <w:r>
        <w:fldChar w:fldCharType="begin"/>
      </w:r>
      <w:r>
        <w:instrText xml:space="preserve"> PAGEREF _Toc468701111 \h </w:instrText>
      </w:r>
      <w:r>
        <w:fldChar w:fldCharType="separate"/>
      </w:r>
      <w:r>
        <w:t>58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Hindering etc. supervisors, offence</w:t>
      </w:r>
      <w:r>
        <w:tab/>
      </w:r>
      <w:r>
        <w:fldChar w:fldCharType="begin"/>
      </w:r>
      <w:r>
        <w:instrText xml:space="preserve"> PAGEREF _Toc468701112 \h </w:instrText>
      </w:r>
      <w:r>
        <w:fldChar w:fldCharType="separate"/>
      </w:r>
      <w:r>
        <w:t>59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Discharge or variation of s. 73 or 74 order</w:t>
      </w:r>
      <w:r>
        <w:tab/>
      </w:r>
      <w:r>
        <w:fldChar w:fldCharType="begin"/>
      </w:r>
      <w:r>
        <w:instrText xml:space="preserve"> PAGEREF _Toc468701113 \h </w:instrText>
      </w:r>
      <w:r>
        <w:fldChar w:fldCharType="separate"/>
      </w:r>
      <w:r>
        <w:t>60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SAT’s additional powers as to s. 73, 74 or 78 orders</w:t>
      </w:r>
      <w:r>
        <w:tab/>
      </w:r>
      <w:r>
        <w:fldChar w:fldCharType="begin"/>
      </w:r>
      <w:r>
        <w:instrText xml:space="preserve"> PAGEREF _Toc468701114 \h </w:instrText>
      </w:r>
      <w:r>
        <w:fldChar w:fldCharType="separate"/>
      </w:r>
      <w:r>
        <w:t>60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Service of s. 73, 74, 78 and 79 orders; penalty for breach of</w:t>
      </w:r>
      <w:r>
        <w:tab/>
      </w:r>
      <w:r>
        <w:fldChar w:fldCharType="begin"/>
      </w:r>
      <w:r>
        <w:instrText xml:space="preserve"> PAGEREF _Toc468701115 \h </w:instrText>
      </w:r>
      <w:r>
        <w:fldChar w:fldCharType="separate"/>
      </w:r>
      <w:r>
        <w:t>61</w:t>
      </w:r>
      <w:r>
        <w:fldChar w:fldCharType="end"/>
      </w:r>
    </w:p>
    <w:p>
      <w:pPr>
        <w:pStyle w:val="TOC8"/>
        <w:rPr>
          <w:rFonts w:asciiTheme="minorHAnsi" w:eastAsiaTheme="minorEastAsia" w:hAnsiTheme="minorHAnsi" w:cstheme="minorBidi"/>
          <w:szCs w:val="22"/>
        </w:rPr>
      </w:pPr>
      <w:r>
        <w:t>81.</w:t>
      </w:r>
      <w:r>
        <w:tab/>
        <w:t>Banks etc., duty to disclose certain accounts etc. if required to by authorised person</w:t>
      </w:r>
      <w:r>
        <w:tab/>
      </w:r>
      <w:r>
        <w:fldChar w:fldCharType="begin"/>
      </w:r>
      <w:r>
        <w:instrText xml:space="preserve"> PAGEREF _Toc468701116 \h </w:instrText>
      </w:r>
      <w:r>
        <w:fldChar w:fldCharType="separate"/>
      </w:r>
      <w:r>
        <w:t>63</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 xml:space="preserve">Information </w:t>
      </w:r>
      <w:r>
        <w:t>about</w:t>
      </w:r>
      <w:r>
        <w:rPr>
          <w:snapToGrid w:val="0"/>
        </w:rPr>
        <w:t xml:space="preserve"> trust accounts, Commissioner’s power to obtain</w:t>
      </w:r>
      <w:r>
        <w:tab/>
      </w:r>
      <w:r>
        <w:fldChar w:fldCharType="begin"/>
      </w:r>
      <w:r>
        <w:instrText xml:space="preserve"> PAGEREF _Toc468701117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Discipline</w:t>
      </w:r>
    </w:p>
    <w:p>
      <w:pPr>
        <w:pStyle w:val="TOC8"/>
        <w:rPr>
          <w:rFonts w:asciiTheme="minorHAnsi" w:eastAsiaTheme="minorEastAsia" w:hAnsiTheme="minorHAnsi" w:cstheme="minorBidi"/>
          <w:szCs w:val="22"/>
        </w:rPr>
      </w:pPr>
      <w:r>
        <w:t>82</w:t>
      </w:r>
      <w:r>
        <w:rPr>
          <w:snapToGrid w:val="0"/>
        </w:rPr>
        <w:t>.</w:t>
      </w:r>
      <w:r>
        <w:rPr>
          <w:snapToGrid w:val="0"/>
        </w:rPr>
        <w:tab/>
        <w:t>Code of conduct for settlement agents</w:t>
      </w:r>
      <w:r>
        <w:tab/>
      </w:r>
      <w:r>
        <w:fldChar w:fldCharType="begin"/>
      </w:r>
      <w:r>
        <w:instrText xml:space="preserve"> PAGEREF _Toc468701119 \h </w:instrText>
      </w:r>
      <w:r>
        <w:fldChar w:fldCharType="separate"/>
      </w:r>
      <w:r>
        <w:t>65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Disciplinary action by SAT, alleging cause for</w:t>
      </w:r>
      <w:r>
        <w:tab/>
      </w:r>
      <w:r>
        <w:fldChar w:fldCharType="begin"/>
      </w:r>
      <w:r>
        <w:instrText xml:space="preserve"> PAGEREF _Toc468701120 \h </w:instrText>
      </w:r>
      <w:r>
        <w:fldChar w:fldCharType="separate"/>
      </w:r>
      <w:r>
        <w:t>66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Disciplinary action, SAT’s powers as to</w:t>
      </w:r>
      <w:r>
        <w:tab/>
      </w:r>
      <w:r>
        <w:fldChar w:fldCharType="begin"/>
      </w:r>
      <w:r>
        <w:instrText xml:space="preserve"> PAGEREF _Toc468701121 \h </w:instrText>
      </w:r>
      <w:r>
        <w:fldChar w:fldCharType="separate"/>
      </w:r>
      <w:r>
        <w:t>66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Offences that cause licence and triennial certificate to be cancelled</w:t>
      </w:r>
      <w:r>
        <w:tab/>
      </w:r>
      <w:r>
        <w:fldChar w:fldCharType="begin"/>
      </w:r>
      <w:r>
        <w:instrText xml:space="preserve"> PAGEREF _Toc468701122 \h </w:instrText>
      </w:r>
      <w:r>
        <w:fldChar w:fldCharType="separate"/>
      </w:r>
      <w:r>
        <w:t>67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Persons with cancelled licences etc., offences by and in respect of</w:t>
      </w:r>
      <w:r>
        <w:tab/>
      </w:r>
      <w:r>
        <w:fldChar w:fldCharType="begin"/>
      </w:r>
      <w:r>
        <w:instrText xml:space="preserve"> PAGEREF _Toc468701123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V — Fidelity Guarantee Account</w:t>
      </w:r>
    </w:p>
    <w:p>
      <w:pPr>
        <w:pStyle w:val="TOC8"/>
        <w:rPr>
          <w:rFonts w:asciiTheme="minorHAnsi" w:eastAsiaTheme="minorEastAsia" w:hAnsiTheme="minorHAnsi" w:cstheme="minorBidi"/>
          <w:szCs w:val="22"/>
        </w:rPr>
      </w:pPr>
      <w:r>
        <w:t>87.</w:t>
      </w:r>
      <w:r>
        <w:tab/>
        <w:t>Account established; administration of Account</w:t>
      </w:r>
      <w:r>
        <w:tab/>
      </w:r>
      <w:r>
        <w:fldChar w:fldCharType="begin"/>
      </w:r>
      <w:r>
        <w:instrText xml:space="preserve"> PAGEREF _Toc468701125 \h </w:instrText>
      </w:r>
      <w:r>
        <w:fldChar w:fldCharType="separate"/>
      </w:r>
      <w:r>
        <w:t>70</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 xml:space="preserve">Moneys to be credited to </w:t>
      </w:r>
      <w:r>
        <w:t>Account</w:t>
      </w:r>
      <w:r>
        <w:tab/>
      </w:r>
      <w:r>
        <w:fldChar w:fldCharType="begin"/>
      </w:r>
      <w:r>
        <w:instrText xml:space="preserve"> PAGEREF _Toc468701126 \h </w:instrText>
      </w:r>
      <w:r>
        <w:fldChar w:fldCharType="separate"/>
      </w:r>
      <w:r>
        <w:t>70</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 xml:space="preserve">Investment of moneys in </w:t>
      </w:r>
      <w:r>
        <w:t>Account</w:t>
      </w:r>
      <w:r>
        <w:tab/>
      </w:r>
      <w:r>
        <w:fldChar w:fldCharType="begin"/>
      </w:r>
      <w:r>
        <w:instrText xml:space="preserve"> PAGEREF _Toc468701127 \h </w:instrText>
      </w:r>
      <w:r>
        <w:fldChar w:fldCharType="separate"/>
      </w:r>
      <w:r>
        <w:t>71</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 xml:space="preserve">Expenditure from </w:t>
      </w:r>
      <w:r>
        <w:t>Account</w:t>
      </w:r>
      <w:r>
        <w:tab/>
      </w:r>
      <w:r>
        <w:fldChar w:fldCharType="begin"/>
      </w:r>
      <w:r>
        <w:instrText xml:space="preserve"> PAGEREF _Toc468701128 \h </w:instrText>
      </w:r>
      <w:r>
        <w:fldChar w:fldCharType="separate"/>
      </w:r>
      <w:r>
        <w:t>71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 xml:space="preserve">Payments to </w:t>
      </w:r>
      <w:r>
        <w:t>Account by applicants for licences etc.</w:t>
      </w:r>
      <w:r>
        <w:tab/>
      </w:r>
      <w:r>
        <w:fldChar w:fldCharType="begin"/>
      </w:r>
      <w:r>
        <w:instrText xml:space="preserve"> PAGEREF _Toc468701129 \h </w:instrText>
      </w:r>
      <w:r>
        <w:fldChar w:fldCharType="separate"/>
      </w:r>
      <w:r>
        <w:t>72</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 xml:space="preserve">Purpose of </w:t>
      </w:r>
      <w:r>
        <w:t>Account; making claims against Account</w:t>
      </w:r>
      <w:r>
        <w:tab/>
      </w:r>
      <w:r>
        <w:fldChar w:fldCharType="begin"/>
      </w:r>
      <w:r>
        <w:instrText xml:space="preserve"> PAGEREF _Toc468701130 \h </w:instrText>
      </w:r>
      <w:r>
        <w:fldChar w:fldCharType="separate"/>
      </w:r>
      <w:r>
        <w:t>72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Levies for Account against certificate holders</w:t>
      </w:r>
      <w:r>
        <w:tab/>
      </w:r>
      <w:r>
        <w:fldChar w:fldCharType="begin"/>
      </w:r>
      <w:r>
        <w:instrText xml:space="preserve"> PAGEREF _Toc468701131 \h </w:instrText>
      </w:r>
      <w:r>
        <w:fldChar w:fldCharType="separate"/>
      </w:r>
      <w:r>
        <w:t>73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 xml:space="preserve">Claims against </w:t>
      </w:r>
      <w:r>
        <w:t>Account; recovery from Account</w:t>
      </w:r>
      <w:r>
        <w:tab/>
      </w:r>
      <w:r>
        <w:fldChar w:fldCharType="begin"/>
      </w:r>
      <w:r>
        <w:instrText xml:space="preserve"> PAGEREF _Toc468701132 \h </w:instrText>
      </w:r>
      <w:r>
        <w:fldChar w:fldCharType="separate"/>
      </w:r>
      <w:r>
        <w:t>73</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 xml:space="preserve">Defences to claims against </w:t>
      </w:r>
      <w:r>
        <w:t>Account</w:t>
      </w:r>
      <w:r>
        <w:tab/>
      </w:r>
      <w:r>
        <w:fldChar w:fldCharType="begin"/>
      </w:r>
      <w:r>
        <w:instrText xml:space="preserve"> PAGEREF _Toc468701133 \h </w:instrText>
      </w:r>
      <w:r>
        <w:fldChar w:fldCharType="separate"/>
      </w:r>
      <w:r>
        <w:t>75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Subrogation of rights of claimant against Account</w:t>
      </w:r>
      <w:r>
        <w:tab/>
      </w:r>
      <w:r>
        <w:fldChar w:fldCharType="begin"/>
      </w:r>
      <w:r>
        <w:instrText xml:space="preserve"> PAGEREF _Toc468701134 \h </w:instrText>
      </w:r>
      <w:r>
        <w:fldChar w:fldCharType="separate"/>
      </w:r>
      <w:r>
        <w:t>75</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 xml:space="preserve">Insufficiency in </w:t>
      </w:r>
      <w:r>
        <w:t>Account</w:t>
      </w:r>
      <w:r>
        <w:tab/>
      </w:r>
      <w:r>
        <w:fldChar w:fldCharType="begin"/>
      </w:r>
      <w:r>
        <w:instrText xml:space="preserve"> PAGEREF _Toc468701135 \h </w:instrText>
      </w:r>
      <w:r>
        <w:fldChar w:fldCharType="separate"/>
      </w:r>
      <w:r>
        <w:t>75</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State may insure against claims</w:t>
      </w:r>
      <w:r>
        <w:tab/>
      </w:r>
      <w:r>
        <w:fldChar w:fldCharType="begin"/>
      </w:r>
      <w:r>
        <w:instrText xml:space="preserve"> PAGEREF _Toc468701136 \h </w:instrText>
      </w:r>
      <w:r>
        <w:fldChar w:fldCharType="separate"/>
      </w:r>
      <w:r>
        <w:t>76</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Application of insurance money</w:t>
      </w:r>
      <w:r>
        <w:tab/>
      </w:r>
      <w:r>
        <w:fldChar w:fldCharType="begin"/>
      </w:r>
      <w:r>
        <w:instrText xml:space="preserve"> PAGEREF _Toc468701137 \h </w:instrText>
      </w:r>
      <w:r>
        <w:fldChar w:fldCharType="separate"/>
      </w:r>
      <w:r>
        <w:t>77</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Advertising for claims in relation to defaulting licensee</w:t>
      </w:r>
      <w:r>
        <w:tab/>
      </w:r>
      <w:r>
        <w:fldChar w:fldCharType="begin"/>
      </w:r>
      <w:r>
        <w:instrText xml:space="preserve"> PAGEREF _Toc468701138 \h </w:instrText>
      </w:r>
      <w:r>
        <w:fldChar w:fldCharType="separate"/>
      </w:r>
      <w:r>
        <w:t>77</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Documents etc. to support claims, CEO may require</w:t>
      </w:r>
      <w:r>
        <w:tab/>
      </w:r>
      <w:r>
        <w:fldChar w:fldCharType="begin"/>
      </w:r>
      <w:r>
        <w:instrText xml:space="preserve"> PAGEREF _Toc468701139 \h </w:instrText>
      </w:r>
      <w:r>
        <w:fldChar w:fldCharType="separate"/>
      </w:r>
      <w:r>
        <w:t>78</w:t>
      </w:r>
      <w:r>
        <w:fldChar w:fldCharType="end"/>
      </w:r>
    </w:p>
    <w:p>
      <w:pPr>
        <w:pStyle w:val="TOC8"/>
        <w:rPr>
          <w:rFonts w:asciiTheme="minorHAnsi" w:eastAsiaTheme="minorEastAsia" w:hAnsiTheme="minorHAnsi" w:cstheme="minorBidi"/>
          <w:szCs w:val="22"/>
        </w:rPr>
      </w:pPr>
      <w:r>
        <w:t>102AA.</w:t>
      </w:r>
      <w:r>
        <w:tab/>
        <w:t>Commissioner may investigate claims against Fidelity Account</w:t>
      </w:r>
      <w:r>
        <w:tab/>
      </w:r>
      <w:r>
        <w:fldChar w:fldCharType="begin"/>
      </w:r>
      <w:r>
        <w:instrText xml:space="preserve"> PAGEREF _Toc468701140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VA — Education and General Purpose Account</w:t>
      </w:r>
    </w:p>
    <w:p>
      <w:pPr>
        <w:pStyle w:val="TOC8"/>
        <w:rPr>
          <w:rFonts w:asciiTheme="minorHAnsi" w:eastAsiaTheme="minorEastAsia" w:hAnsiTheme="minorHAnsi" w:cstheme="minorBidi"/>
          <w:szCs w:val="22"/>
        </w:rPr>
      </w:pPr>
      <w:r>
        <w:t>102A</w:t>
      </w:r>
      <w:r>
        <w:rPr>
          <w:snapToGrid w:val="0"/>
        </w:rPr>
        <w:t xml:space="preserve">. </w:t>
      </w:r>
      <w:r>
        <w:rPr>
          <w:snapToGrid w:val="0"/>
        </w:rPr>
        <w:tab/>
        <w:t>Account established; administration of account</w:t>
      </w:r>
      <w:r>
        <w:tab/>
      </w:r>
      <w:r>
        <w:fldChar w:fldCharType="begin"/>
      </w:r>
      <w:r>
        <w:instrText xml:space="preserve"> PAGEREF _Toc468701142 \h </w:instrText>
      </w:r>
      <w:r>
        <w:fldChar w:fldCharType="separate"/>
      </w:r>
      <w:r>
        <w:t>79</w:t>
      </w:r>
      <w:r>
        <w:fldChar w:fldCharType="end"/>
      </w:r>
    </w:p>
    <w:p>
      <w:pPr>
        <w:pStyle w:val="TOC8"/>
        <w:rPr>
          <w:rFonts w:asciiTheme="minorHAnsi" w:eastAsiaTheme="minorEastAsia" w:hAnsiTheme="minorHAnsi" w:cstheme="minorBidi"/>
          <w:szCs w:val="22"/>
        </w:rPr>
      </w:pPr>
      <w:r>
        <w:t>102B</w:t>
      </w:r>
      <w:r>
        <w:rPr>
          <w:snapToGrid w:val="0"/>
        </w:rPr>
        <w:t xml:space="preserve">. </w:t>
      </w:r>
      <w:r>
        <w:rPr>
          <w:snapToGrid w:val="0"/>
        </w:rPr>
        <w:tab/>
        <w:t>Moneys to be credited to a</w:t>
      </w:r>
      <w:r>
        <w:t>ccount</w:t>
      </w:r>
      <w:r>
        <w:tab/>
      </w:r>
      <w:r>
        <w:fldChar w:fldCharType="begin"/>
      </w:r>
      <w:r>
        <w:instrText xml:space="preserve"> PAGEREF _Toc468701143 \h </w:instrText>
      </w:r>
      <w:r>
        <w:fldChar w:fldCharType="separate"/>
      </w:r>
      <w:r>
        <w:t>79</w:t>
      </w:r>
      <w:r>
        <w:fldChar w:fldCharType="end"/>
      </w:r>
    </w:p>
    <w:p>
      <w:pPr>
        <w:pStyle w:val="TOC8"/>
        <w:rPr>
          <w:rFonts w:asciiTheme="minorHAnsi" w:eastAsiaTheme="minorEastAsia" w:hAnsiTheme="minorHAnsi" w:cstheme="minorBidi"/>
          <w:szCs w:val="22"/>
        </w:rPr>
      </w:pPr>
      <w:r>
        <w:t>102C</w:t>
      </w:r>
      <w:r>
        <w:rPr>
          <w:snapToGrid w:val="0"/>
        </w:rPr>
        <w:t xml:space="preserve">. </w:t>
      </w:r>
      <w:r>
        <w:rPr>
          <w:snapToGrid w:val="0"/>
        </w:rPr>
        <w:tab/>
        <w:t>Expenditure from a</w:t>
      </w:r>
      <w:r>
        <w:t>ccount</w:t>
      </w:r>
      <w:r>
        <w:tab/>
      </w:r>
      <w:r>
        <w:fldChar w:fldCharType="begin"/>
      </w:r>
      <w:r>
        <w:instrText xml:space="preserve"> PAGEREF _Toc468701144 \h </w:instrText>
      </w:r>
      <w:r>
        <w:fldChar w:fldCharType="separate"/>
      </w:r>
      <w:r>
        <w:t>80</w:t>
      </w:r>
      <w:r>
        <w:fldChar w:fldCharType="end"/>
      </w:r>
    </w:p>
    <w:p>
      <w:pPr>
        <w:pStyle w:val="TOC8"/>
        <w:rPr>
          <w:rFonts w:asciiTheme="minorHAnsi" w:eastAsiaTheme="minorEastAsia" w:hAnsiTheme="minorHAnsi" w:cstheme="minorBidi"/>
          <w:szCs w:val="22"/>
        </w:rPr>
      </w:pPr>
      <w:r>
        <w:t>102D</w:t>
      </w:r>
      <w:r>
        <w:rPr>
          <w:snapToGrid w:val="0"/>
        </w:rPr>
        <w:t xml:space="preserve">. </w:t>
      </w:r>
      <w:r>
        <w:rPr>
          <w:snapToGrid w:val="0"/>
        </w:rPr>
        <w:tab/>
        <w:t>Investment of moneys in a</w:t>
      </w:r>
      <w:r>
        <w:t>ccount</w:t>
      </w:r>
      <w:r>
        <w:tab/>
      </w:r>
      <w:r>
        <w:fldChar w:fldCharType="begin"/>
      </w:r>
      <w:r>
        <w:instrText xml:space="preserve"> PAGEREF _Toc468701145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VI — Settlement Agents Interest Account</w:t>
      </w:r>
    </w:p>
    <w:p>
      <w:pPr>
        <w:pStyle w:val="TOC8"/>
        <w:rPr>
          <w:rFonts w:asciiTheme="minorHAnsi" w:eastAsiaTheme="minorEastAsia" w:hAnsiTheme="minorHAnsi" w:cstheme="minorBidi"/>
          <w:szCs w:val="22"/>
        </w:rPr>
      </w:pPr>
      <w:r>
        <w:t>103</w:t>
      </w:r>
      <w:r>
        <w:rPr>
          <w:snapToGrid w:val="0"/>
        </w:rPr>
        <w:t>.</w:t>
      </w:r>
      <w:r>
        <w:rPr>
          <w:snapToGrid w:val="0"/>
        </w:rPr>
        <w:tab/>
        <w:t>Account established; administration of account</w:t>
      </w:r>
      <w:r>
        <w:tab/>
      </w:r>
      <w:r>
        <w:fldChar w:fldCharType="begin"/>
      </w:r>
      <w:r>
        <w:instrText xml:space="preserve"> PAGEREF _Toc468701147 \h </w:instrText>
      </w:r>
      <w:r>
        <w:fldChar w:fldCharType="separate"/>
      </w:r>
      <w:r>
        <w:t>82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Moneys to be credited to a</w:t>
      </w:r>
      <w:r>
        <w:t>ccount</w:t>
      </w:r>
      <w:r>
        <w:tab/>
      </w:r>
      <w:r>
        <w:fldChar w:fldCharType="begin"/>
      </w:r>
      <w:r>
        <w:instrText xml:space="preserve"> PAGEREF _Toc468701148 \h </w:instrText>
      </w:r>
      <w:r>
        <w:fldChar w:fldCharType="separate"/>
      </w:r>
      <w:r>
        <w:t>82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Expenditure from a</w:t>
      </w:r>
      <w:r>
        <w:t>ccount</w:t>
      </w:r>
      <w:r>
        <w:tab/>
      </w:r>
      <w:r>
        <w:fldChar w:fldCharType="begin"/>
      </w:r>
      <w:r>
        <w:instrText xml:space="preserve"> PAGEREF _Toc468701149 \h </w:instrText>
      </w:r>
      <w:r>
        <w:fldChar w:fldCharType="separate"/>
      </w:r>
      <w:r>
        <w:t>83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Investment of moneys in a</w:t>
      </w:r>
      <w:r>
        <w:t>ccount</w:t>
      </w:r>
      <w:r>
        <w:tab/>
      </w:r>
      <w:r>
        <w:fldChar w:fldCharType="begin"/>
      </w:r>
      <w:r>
        <w:instrText xml:space="preserve"> PAGEREF _Toc468701150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110</w:t>
      </w:r>
      <w:r>
        <w:rPr>
          <w:snapToGrid w:val="0"/>
        </w:rPr>
        <w:t>.</w:t>
      </w:r>
      <w:r>
        <w:rPr>
          <w:snapToGrid w:val="0"/>
        </w:rPr>
        <w:tab/>
        <w:t>Registers of licensees etc., Commissioner to keep etc.</w:t>
      </w:r>
      <w:r>
        <w:tab/>
      </w:r>
      <w:r>
        <w:fldChar w:fldCharType="begin"/>
      </w:r>
      <w:r>
        <w:instrText xml:space="preserve"> PAGEREF _Toc468701152 \h </w:instrText>
      </w:r>
      <w:r>
        <w:fldChar w:fldCharType="separate"/>
      </w:r>
      <w:r>
        <w:t>84</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Commissioner’s certificate</w:t>
      </w:r>
      <w:r>
        <w:tab/>
      </w:r>
      <w:r>
        <w:fldChar w:fldCharType="begin"/>
      </w:r>
      <w:r>
        <w:instrText xml:space="preserve"> PAGEREF _Toc468701153 \h </w:instrText>
      </w:r>
      <w:r>
        <w:fldChar w:fldCharType="separate"/>
      </w:r>
      <w:r>
        <w:t>84</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Annual report by department</w:t>
      </w:r>
      <w:r>
        <w:tab/>
      </w:r>
      <w:r>
        <w:fldChar w:fldCharType="begin"/>
      </w:r>
      <w:r>
        <w:instrText xml:space="preserve"> PAGEREF _Toc468701154 \h </w:instrText>
      </w:r>
      <w:r>
        <w:fldChar w:fldCharType="separate"/>
      </w:r>
      <w:r>
        <w:t>85</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Reports by Commissioner to Minister</w:t>
      </w:r>
      <w:r>
        <w:tab/>
      </w:r>
      <w:r>
        <w:fldChar w:fldCharType="begin"/>
      </w:r>
      <w:r>
        <w:instrText xml:space="preserve"> PAGEREF _Toc468701155 \h </w:instrText>
      </w:r>
      <w:r>
        <w:fldChar w:fldCharType="separate"/>
      </w:r>
      <w:r>
        <w:t>85</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Refunds of fees, Commissioner’s powers as to</w:t>
      </w:r>
      <w:r>
        <w:tab/>
      </w:r>
      <w:r>
        <w:fldChar w:fldCharType="begin"/>
      </w:r>
      <w:r>
        <w:instrText xml:space="preserve"> PAGEREF _Toc468701156 \h </w:instrText>
      </w:r>
      <w:r>
        <w:fldChar w:fldCharType="separate"/>
      </w:r>
      <w:r>
        <w:t>86</w:t>
      </w:r>
      <w:r>
        <w:fldChar w:fldCharType="end"/>
      </w:r>
    </w:p>
    <w:p>
      <w:pPr>
        <w:pStyle w:val="TOC8"/>
        <w:rPr>
          <w:rFonts w:asciiTheme="minorHAnsi" w:eastAsiaTheme="minorEastAsia" w:hAnsiTheme="minorHAnsi" w:cstheme="minorBidi"/>
          <w:szCs w:val="22"/>
        </w:rPr>
      </w:pPr>
      <w:r>
        <w:t>115.</w:t>
      </w:r>
      <w:r>
        <w:tab/>
        <w:t>Protection from personal liability</w:t>
      </w:r>
      <w:r>
        <w:tab/>
      </w:r>
      <w:r>
        <w:fldChar w:fldCharType="begin"/>
      </w:r>
      <w:r>
        <w:instrText xml:space="preserve"> PAGEREF _Toc468701157 \h </w:instrText>
      </w:r>
      <w:r>
        <w:fldChar w:fldCharType="separate"/>
      </w:r>
      <w:r>
        <w:t>86</w:t>
      </w:r>
      <w:r>
        <w:fldChar w:fldCharType="end"/>
      </w:r>
    </w:p>
    <w:p>
      <w:pPr>
        <w:pStyle w:val="TOC8"/>
        <w:rPr>
          <w:rFonts w:asciiTheme="minorHAnsi" w:eastAsiaTheme="minorEastAsia" w:hAnsiTheme="minorHAnsi" w:cstheme="minorBidi"/>
          <w:szCs w:val="22"/>
        </w:rPr>
      </w:pPr>
      <w:r>
        <w:t>116.</w:t>
      </w:r>
      <w:r>
        <w:tab/>
        <w:t>Confidentiality of information officially obtained</w:t>
      </w:r>
      <w:r>
        <w:tab/>
      </w:r>
      <w:r>
        <w:fldChar w:fldCharType="begin"/>
      </w:r>
      <w:r>
        <w:instrText xml:space="preserve"> PAGEREF _Toc468701158 \h </w:instrText>
      </w:r>
      <w:r>
        <w:fldChar w:fldCharType="separate"/>
      </w:r>
      <w:r>
        <w:t>86</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Liability of directors of body corporate for defalcations</w:t>
      </w:r>
      <w:r>
        <w:tab/>
      </w:r>
      <w:r>
        <w:fldChar w:fldCharType="begin"/>
      </w:r>
      <w:r>
        <w:instrText xml:space="preserve"> PAGEREF _Toc468701159 \h </w:instrText>
      </w:r>
      <w:r>
        <w:fldChar w:fldCharType="separate"/>
      </w:r>
      <w:r>
        <w:t>86</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Other rights and remedies not affected by this Act</w:t>
      </w:r>
      <w:r>
        <w:tab/>
      </w:r>
      <w:r>
        <w:fldChar w:fldCharType="begin"/>
      </w:r>
      <w:r>
        <w:instrText xml:space="preserve"> PAGEREF _Toc468701160 \h </w:instrText>
      </w:r>
      <w:r>
        <w:fldChar w:fldCharType="separate"/>
      </w:r>
      <w:r>
        <w:t>86</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Rights conferred by Act cannot be waived</w:t>
      </w:r>
      <w:r>
        <w:tab/>
      </w:r>
      <w:r>
        <w:fldChar w:fldCharType="begin"/>
      </w:r>
      <w:r>
        <w:instrText xml:space="preserve"> PAGEREF _Toc468701161 \h </w:instrText>
      </w:r>
      <w:r>
        <w:fldChar w:fldCharType="separate"/>
      </w:r>
      <w:r>
        <w:t>87</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General penalty for offences</w:t>
      </w:r>
      <w:r>
        <w:tab/>
      </w:r>
      <w:r>
        <w:fldChar w:fldCharType="begin"/>
      </w:r>
      <w:r>
        <w:instrText xml:space="preserve"> PAGEREF _Toc468701162 \h </w:instrText>
      </w:r>
      <w:r>
        <w:fldChar w:fldCharType="separate"/>
      </w:r>
      <w:r>
        <w:t>87</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Proceedings for offences</w:t>
      </w:r>
      <w:r>
        <w:tab/>
      </w:r>
      <w:r>
        <w:fldChar w:fldCharType="begin"/>
      </w:r>
      <w:r>
        <w:instrText xml:space="preserve"> PAGEREF _Toc468701163 \h </w:instrText>
      </w:r>
      <w:r>
        <w:fldChar w:fldCharType="separate"/>
      </w:r>
      <w:r>
        <w:t>87</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Forms</w:t>
      </w:r>
      <w:r>
        <w:tab/>
      </w:r>
      <w:r>
        <w:fldChar w:fldCharType="begin"/>
      </w:r>
      <w:r>
        <w:instrText xml:space="preserve"> PAGEREF _Toc468701164 \h </w:instrText>
      </w:r>
      <w:r>
        <w:fldChar w:fldCharType="separate"/>
      </w:r>
      <w:r>
        <w:t>87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Regulations</w:t>
      </w:r>
      <w:r>
        <w:tab/>
      </w:r>
      <w:r>
        <w:fldChar w:fldCharType="begin"/>
      </w:r>
      <w:r>
        <w:instrText xml:space="preserve"> PAGEREF _Toc468701165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VIII — Savings and transitional</w:t>
      </w:r>
    </w:p>
    <w:p>
      <w:pPr>
        <w:pStyle w:val="TOC8"/>
        <w:rPr>
          <w:rFonts w:asciiTheme="minorHAnsi" w:eastAsiaTheme="minorEastAsia" w:hAnsiTheme="minorHAnsi" w:cstheme="minorBidi"/>
          <w:szCs w:val="22"/>
        </w:rPr>
      </w:pPr>
      <w:r>
        <w:t>124.</w:t>
      </w:r>
      <w:r>
        <w:tab/>
        <w:t>Terms used</w:t>
      </w:r>
      <w:r>
        <w:tab/>
      </w:r>
      <w:r>
        <w:fldChar w:fldCharType="begin"/>
      </w:r>
      <w:r>
        <w:instrText xml:space="preserve"> PAGEREF _Toc468701167 \h </w:instrText>
      </w:r>
      <w:r>
        <w:fldChar w:fldCharType="separate"/>
      </w:r>
      <w:r>
        <w:t>90</w:t>
      </w:r>
      <w:r>
        <w:fldChar w:fldCharType="end"/>
      </w:r>
    </w:p>
    <w:p>
      <w:pPr>
        <w:pStyle w:val="TOC8"/>
        <w:rPr>
          <w:rFonts w:asciiTheme="minorHAnsi" w:eastAsiaTheme="minorEastAsia" w:hAnsiTheme="minorHAnsi" w:cstheme="minorBidi"/>
          <w:szCs w:val="22"/>
        </w:rPr>
      </w:pPr>
      <w:r>
        <w:t>125.</w:t>
      </w:r>
      <w:r>
        <w:tab/>
        <w:t>Former Board abolished</w:t>
      </w:r>
      <w:r>
        <w:tab/>
      </w:r>
      <w:r>
        <w:fldChar w:fldCharType="begin"/>
      </w:r>
      <w:r>
        <w:instrText xml:space="preserve"> PAGEREF _Toc468701168 \h </w:instrText>
      </w:r>
      <w:r>
        <w:fldChar w:fldCharType="separate"/>
      </w:r>
      <w:r>
        <w:t>90</w:t>
      </w:r>
      <w:r>
        <w:fldChar w:fldCharType="end"/>
      </w:r>
    </w:p>
    <w:p>
      <w:pPr>
        <w:pStyle w:val="TOC8"/>
        <w:rPr>
          <w:rFonts w:asciiTheme="minorHAnsi" w:eastAsiaTheme="minorEastAsia" w:hAnsiTheme="minorHAnsi" w:cstheme="minorBidi"/>
          <w:szCs w:val="22"/>
        </w:rPr>
      </w:pPr>
      <w:r>
        <w:t>126.</w:t>
      </w:r>
      <w:r>
        <w:tab/>
        <w:t>References to former Board</w:t>
      </w:r>
      <w:r>
        <w:tab/>
      </w:r>
      <w:r>
        <w:fldChar w:fldCharType="begin"/>
      </w:r>
      <w:r>
        <w:instrText xml:space="preserve"> PAGEREF _Toc468701169 \h </w:instrText>
      </w:r>
      <w:r>
        <w:fldChar w:fldCharType="separate"/>
      </w:r>
      <w:r>
        <w:t>90</w:t>
      </w:r>
      <w:r>
        <w:fldChar w:fldCharType="end"/>
      </w:r>
    </w:p>
    <w:p>
      <w:pPr>
        <w:pStyle w:val="TOC8"/>
        <w:rPr>
          <w:rFonts w:asciiTheme="minorHAnsi" w:eastAsiaTheme="minorEastAsia" w:hAnsiTheme="minorHAnsi" w:cstheme="minorBidi"/>
          <w:szCs w:val="22"/>
        </w:rPr>
      </w:pPr>
      <w:r>
        <w:t>127.</w:t>
      </w:r>
      <w:r>
        <w:tab/>
        <w:t>Immunity continues</w:t>
      </w:r>
      <w:r>
        <w:tab/>
      </w:r>
      <w:r>
        <w:fldChar w:fldCharType="begin"/>
      </w:r>
      <w:r>
        <w:instrText xml:space="preserve"> PAGEREF _Toc468701170 \h </w:instrText>
      </w:r>
      <w:r>
        <w:fldChar w:fldCharType="separate"/>
      </w:r>
      <w:r>
        <w:t>91</w:t>
      </w:r>
      <w:r>
        <w:fldChar w:fldCharType="end"/>
      </w:r>
    </w:p>
    <w:p>
      <w:pPr>
        <w:pStyle w:val="TOC8"/>
        <w:rPr>
          <w:rFonts w:asciiTheme="minorHAnsi" w:eastAsiaTheme="minorEastAsia" w:hAnsiTheme="minorHAnsi" w:cstheme="minorBidi"/>
          <w:szCs w:val="22"/>
        </w:rPr>
      </w:pPr>
      <w:r>
        <w:t>128.</w:t>
      </w:r>
      <w:r>
        <w:tab/>
        <w:t>Notices and rules made by former Board</w:t>
      </w:r>
      <w:r>
        <w:tab/>
      </w:r>
      <w:r>
        <w:fldChar w:fldCharType="begin"/>
      </w:r>
      <w:r>
        <w:instrText xml:space="preserve"> PAGEREF _Toc468701171 \h </w:instrText>
      </w:r>
      <w:r>
        <w:fldChar w:fldCharType="separate"/>
      </w:r>
      <w:r>
        <w:t>91</w:t>
      </w:r>
      <w:r>
        <w:fldChar w:fldCharType="end"/>
      </w:r>
    </w:p>
    <w:p>
      <w:pPr>
        <w:pStyle w:val="TOC8"/>
        <w:rPr>
          <w:rFonts w:asciiTheme="minorHAnsi" w:eastAsiaTheme="minorEastAsia" w:hAnsiTheme="minorHAnsi" w:cstheme="minorBidi"/>
          <w:szCs w:val="22"/>
        </w:rPr>
      </w:pPr>
      <w:r>
        <w:t>129.</w:t>
      </w:r>
      <w:r>
        <w:tab/>
        <w:t>References to former Registrar</w:t>
      </w:r>
      <w:r>
        <w:tab/>
      </w:r>
      <w:r>
        <w:fldChar w:fldCharType="begin"/>
      </w:r>
      <w:r>
        <w:instrText xml:space="preserve"> PAGEREF _Toc468701172 \h </w:instrText>
      </w:r>
      <w:r>
        <w:fldChar w:fldCharType="separate"/>
      </w:r>
      <w:r>
        <w:t>91</w:t>
      </w:r>
      <w:r>
        <w:fldChar w:fldCharType="end"/>
      </w:r>
    </w:p>
    <w:p>
      <w:pPr>
        <w:pStyle w:val="TOC8"/>
        <w:rPr>
          <w:rFonts w:asciiTheme="minorHAnsi" w:eastAsiaTheme="minorEastAsia" w:hAnsiTheme="minorHAnsi" w:cstheme="minorBidi"/>
          <w:szCs w:val="22"/>
        </w:rPr>
      </w:pPr>
      <w:r>
        <w:t>130.</w:t>
      </w:r>
      <w:r>
        <w:tab/>
        <w:t>Unfinished investigations by former Board</w:t>
      </w:r>
      <w:r>
        <w:tab/>
      </w:r>
      <w:r>
        <w:fldChar w:fldCharType="begin"/>
      </w:r>
      <w:r>
        <w:instrText xml:space="preserve"> PAGEREF _Toc468701173 \h </w:instrText>
      </w:r>
      <w:r>
        <w:fldChar w:fldCharType="separate"/>
      </w:r>
      <w:r>
        <w:t>92</w:t>
      </w:r>
      <w:r>
        <w:fldChar w:fldCharType="end"/>
      </w:r>
    </w:p>
    <w:p>
      <w:pPr>
        <w:pStyle w:val="TOC8"/>
        <w:rPr>
          <w:rFonts w:asciiTheme="minorHAnsi" w:eastAsiaTheme="minorEastAsia" w:hAnsiTheme="minorHAnsi" w:cstheme="minorBidi"/>
          <w:szCs w:val="22"/>
        </w:rPr>
      </w:pPr>
      <w:r>
        <w:t>131.</w:t>
      </w:r>
      <w:r>
        <w:tab/>
        <w:t>Unfinished proceedings by former Board</w:t>
      </w:r>
      <w:r>
        <w:tab/>
      </w:r>
      <w:r>
        <w:fldChar w:fldCharType="begin"/>
      </w:r>
      <w:r>
        <w:instrText xml:space="preserve"> PAGEREF _Toc468701174 \h </w:instrText>
      </w:r>
      <w:r>
        <w:fldChar w:fldCharType="separate"/>
      </w:r>
      <w:r>
        <w:t>92</w:t>
      </w:r>
      <w:r>
        <w:fldChar w:fldCharType="end"/>
      </w:r>
    </w:p>
    <w:p>
      <w:pPr>
        <w:pStyle w:val="TOC8"/>
        <w:rPr>
          <w:rFonts w:asciiTheme="minorHAnsi" w:eastAsiaTheme="minorEastAsia" w:hAnsiTheme="minorHAnsi" w:cstheme="minorBidi"/>
          <w:szCs w:val="22"/>
        </w:rPr>
      </w:pPr>
      <w:r>
        <w:t>132.</w:t>
      </w:r>
      <w:r>
        <w:tab/>
        <w:t>Winding</w:t>
      </w:r>
      <w:r>
        <w:noBreakHyphen/>
        <w:t>up former Board</w:t>
      </w:r>
      <w:r>
        <w:tab/>
      </w:r>
      <w:r>
        <w:fldChar w:fldCharType="begin"/>
      </w:r>
      <w:r>
        <w:instrText xml:space="preserve"> PAGEREF _Toc468701175 \h </w:instrText>
      </w:r>
      <w:r>
        <w:fldChar w:fldCharType="separate"/>
      </w:r>
      <w:r>
        <w:t>92</w:t>
      </w:r>
      <w:r>
        <w:fldChar w:fldCharType="end"/>
      </w:r>
    </w:p>
    <w:p>
      <w:pPr>
        <w:pStyle w:val="TOC8"/>
        <w:rPr>
          <w:rFonts w:asciiTheme="minorHAnsi" w:eastAsiaTheme="minorEastAsia" w:hAnsiTheme="minorHAnsi" w:cstheme="minorBidi"/>
          <w:szCs w:val="22"/>
        </w:rPr>
      </w:pPr>
      <w:r>
        <w:t>133.</w:t>
      </w:r>
      <w:r>
        <w:tab/>
        <w:t>Final report by former Board</w:t>
      </w:r>
      <w:r>
        <w:tab/>
      </w:r>
      <w:r>
        <w:fldChar w:fldCharType="begin"/>
      </w:r>
      <w:r>
        <w:instrText xml:space="preserve"> PAGEREF _Toc468701176 \h </w:instrText>
      </w:r>
      <w:r>
        <w:fldChar w:fldCharType="separate"/>
      </w:r>
      <w:r>
        <w:t>94</w:t>
      </w:r>
      <w:r>
        <w:fldChar w:fldCharType="end"/>
      </w:r>
    </w:p>
    <w:p>
      <w:pPr>
        <w:pStyle w:val="TOC8"/>
        <w:rPr>
          <w:rFonts w:asciiTheme="minorHAnsi" w:eastAsiaTheme="minorEastAsia" w:hAnsiTheme="minorHAnsi" w:cstheme="minorBidi"/>
          <w:szCs w:val="22"/>
        </w:rPr>
      </w:pPr>
      <w:r>
        <w:t>134.</w:t>
      </w:r>
      <w:r>
        <w:tab/>
        <w:t>Staff of former Board</w:t>
      </w:r>
      <w:r>
        <w:tab/>
      </w:r>
      <w:r>
        <w:fldChar w:fldCharType="begin"/>
      </w:r>
      <w:r>
        <w:instrText xml:space="preserve"> PAGEREF _Toc468701177 \h </w:instrText>
      </w:r>
      <w:r>
        <w:fldChar w:fldCharType="separate"/>
      </w:r>
      <w:r>
        <w:t>94</w:t>
      </w:r>
      <w:r>
        <w:fldChar w:fldCharType="end"/>
      </w:r>
    </w:p>
    <w:p>
      <w:pPr>
        <w:pStyle w:val="TOC8"/>
        <w:rPr>
          <w:rFonts w:asciiTheme="minorHAnsi" w:eastAsiaTheme="minorEastAsia" w:hAnsiTheme="minorHAnsi" w:cstheme="minorBidi"/>
          <w:szCs w:val="22"/>
        </w:rPr>
      </w:pPr>
      <w:r>
        <w:t>135.</w:t>
      </w:r>
      <w:r>
        <w:tab/>
        <w:t>Transitional regulations</w:t>
      </w:r>
      <w:r>
        <w:tab/>
      </w:r>
      <w:r>
        <w:fldChar w:fldCharType="begin"/>
      </w:r>
      <w:r>
        <w:instrText xml:space="preserve"> PAGEREF _Toc468701178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Schedule 1 — Grant of licence</w:t>
      </w:r>
    </w:p>
    <w:p>
      <w:pPr>
        <w:pStyle w:val="TOC4"/>
        <w:tabs>
          <w:tab w:val="right" w:leader="dot" w:pos="7077"/>
        </w:tabs>
        <w:rPr>
          <w:rFonts w:asciiTheme="minorHAnsi" w:eastAsiaTheme="minorEastAsia" w:hAnsiTheme="minorHAnsi" w:cstheme="minorBidi"/>
          <w:b w:val="0"/>
          <w:szCs w:val="22"/>
        </w:rPr>
      </w:pPr>
      <w:r>
        <w:rPr>
          <w:rFonts w:eastAsia="MS Mincho"/>
        </w:rPr>
        <w:t>Division 1</w:t>
      </w:r>
      <w:r>
        <w:rPr>
          <w:rFonts w:eastAsia="MS Mincho"/>
          <w:b w:val="0"/>
        </w:rPr>
        <w:t> — </w:t>
      </w:r>
      <w:r>
        <w:rPr>
          <w:rFonts w:eastAsia="MS Mincho"/>
        </w:rPr>
        <w:t>Qualifications</w:t>
      </w:r>
    </w:p>
    <w:p>
      <w:pPr>
        <w:pStyle w:val="TOC8"/>
        <w:rPr>
          <w:rFonts w:asciiTheme="minorHAnsi" w:eastAsiaTheme="minorEastAsia" w:hAnsiTheme="minorHAnsi" w:cstheme="minorBidi"/>
          <w:szCs w:val="22"/>
        </w:rPr>
      </w:pPr>
      <w:r>
        <w:t>1</w:t>
      </w:r>
      <w:r>
        <w:rPr>
          <w:snapToGrid w:val="0"/>
        </w:rPr>
        <w:t>.</w:t>
      </w:r>
      <w:r>
        <w:rPr>
          <w:snapToGrid w:val="0"/>
        </w:rPr>
        <w:tab/>
        <w:t>Real estate settlement agent</w:t>
      </w:r>
      <w:r>
        <w:tab/>
      </w:r>
      <w:r>
        <w:fldChar w:fldCharType="begin"/>
      </w:r>
      <w:r>
        <w:instrText xml:space="preserve"> PAGEREF _Toc468701181 \h </w:instrText>
      </w:r>
      <w:r>
        <w:fldChar w:fldCharType="separate"/>
      </w:r>
      <w:r>
        <w:t>96</w:t>
      </w:r>
      <w:r>
        <w:fldChar w:fldCharType="end"/>
      </w:r>
    </w:p>
    <w:p>
      <w:pPr>
        <w:pStyle w:val="TOC8"/>
        <w:rPr>
          <w:rFonts w:asciiTheme="minorHAnsi" w:eastAsiaTheme="minorEastAsia" w:hAnsiTheme="minorHAnsi" w:cstheme="minorBidi"/>
          <w:szCs w:val="22"/>
        </w:rPr>
      </w:pPr>
      <w:r>
        <w:t xml:space="preserve">2. </w:t>
      </w:r>
      <w:r>
        <w:tab/>
        <w:t>Business settlement agent</w:t>
      </w:r>
      <w:r>
        <w:tab/>
      </w:r>
      <w:r>
        <w:fldChar w:fldCharType="begin"/>
      </w:r>
      <w:r>
        <w:instrText xml:space="preserve"> PAGEREF _Toc468701182 \h </w:instrText>
      </w:r>
      <w:r>
        <w:fldChar w:fldCharType="separate"/>
      </w:r>
      <w:r>
        <w:t>97</w:t>
      </w:r>
      <w:r>
        <w:fldChar w:fldCharType="end"/>
      </w:r>
    </w:p>
    <w:p>
      <w:pPr>
        <w:pStyle w:val="TOC8"/>
        <w:rPr>
          <w:rFonts w:asciiTheme="minorHAnsi" w:eastAsiaTheme="minorEastAsia" w:hAnsiTheme="minorHAnsi" w:cstheme="minorBidi"/>
          <w:szCs w:val="22"/>
        </w:rPr>
      </w:pPr>
      <w:r>
        <w:t xml:space="preserve">3. </w:t>
      </w:r>
      <w:r>
        <w:tab/>
        <w:t>Licence by reason of qualification under cl. 1(1)(c) and 2(1)(c)</w:t>
      </w:r>
      <w:r>
        <w:tab/>
      </w:r>
      <w:r>
        <w:fldChar w:fldCharType="begin"/>
      </w:r>
      <w:r>
        <w:instrText xml:space="preserve"> PAGEREF _Toc468701183 \h </w:instrText>
      </w:r>
      <w:r>
        <w:fldChar w:fldCharType="separate"/>
      </w:r>
      <w:r>
        <w:t>98</w:t>
      </w:r>
      <w:r>
        <w:fldChar w:fldCharType="end"/>
      </w:r>
    </w:p>
    <w:p>
      <w:pPr>
        <w:pStyle w:val="TOC8"/>
        <w:rPr>
          <w:rFonts w:asciiTheme="minorHAnsi" w:eastAsiaTheme="minorEastAsia" w:hAnsiTheme="minorHAnsi" w:cstheme="minorBidi"/>
          <w:szCs w:val="22"/>
        </w:rPr>
      </w:pPr>
      <w:r>
        <w:t>4.</w:t>
      </w:r>
      <w:r>
        <w:tab/>
        <w:t>Licence by reason of qualification under cl. 1(1)(d) and 2(1)(d)</w:t>
      </w:r>
      <w:r>
        <w:tab/>
      </w:r>
      <w:r>
        <w:fldChar w:fldCharType="begin"/>
      </w:r>
      <w:r>
        <w:instrText xml:space="preserve"> PAGEREF _Toc468701184 \h </w:instrText>
      </w:r>
      <w:r>
        <w:fldChar w:fldCharType="separate"/>
      </w:r>
      <w:r>
        <w:t>98</w:t>
      </w:r>
      <w:r>
        <w:fldChar w:fldCharType="end"/>
      </w:r>
    </w:p>
    <w:p>
      <w:pPr>
        <w:pStyle w:val="TOC8"/>
        <w:rPr>
          <w:rFonts w:asciiTheme="minorHAnsi" w:eastAsiaTheme="minorEastAsia" w:hAnsiTheme="minorHAnsi" w:cstheme="minorBidi"/>
          <w:szCs w:val="22"/>
        </w:rPr>
      </w:pPr>
      <w:r>
        <w:t xml:space="preserve">5. </w:t>
      </w:r>
      <w:r>
        <w:tab/>
        <w:t>Dead or incapacitated licensee, conduct of business of</w:t>
      </w:r>
      <w:r>
        <w:tab/>
      </w:r>
      <w:r>
        <w:fldChar w:fldCharType="begin"/>
      </w:r>
      <w:r>
        <w:instrText xml:space="preserve"> PAGEREF _Toc468701185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rPr>
          <w:rFonts w:eastAsia="MS Mincho"/>
        </w:rPr>
        <w:t>Division 2</w:t>
      </w:r>
      <w:r>
        <w:rPr>
          <w:rFonts w:eastAsia="MS Mincho"/>
          <w:b w:val="0"/>
        </w:rPr>
        <w:t> — </w:t>
      </w:r>
      <w:r>
        <w:rPr>
          <w:rFonts w:eastAsia="MS Mincho"/>
        </w:rPr>
        <w:t>Disqualification</w:t>
      </w:r>
    </w:p>
    <w:p>
      <w:pPr>
        <w:pStyle w:val="TOC8"/>
        <w:rPr>
          <w:rFonts w:asciiTheme="minorHAnsi" w:eastAsiaTheme="minorEastAsia" w:hAnsiTheme="minorHAnsi" w:cstheme="minorBidi"/>
          <w:szCs w:val="22"/>
        </w:rPr>
      </w:pPr>
      <w:r>
        <w:t>6.</w:t>
      </w:r>
      <w:r>
        <w:tab/>
        <w:t>Term used: business licence</w:t>
      </w:r>
      <w:r>
        <w:tab/>
      </w:r>
      <w:r>
        <w:fldChar w:fldCharType="begin"/>
      </w:r>
      <w:r>
        <w:instrText xml:space="preserve"> PAGEREF _Toc468701187 \h </w:instrText>
      </w:r>
      <w:r>
        <w:fldChar w:fldCharType="separate"/>
      </w:r>
      <w:r>
        <w:t>99</w:t>
      </w:r>
      <w:r>
        <w:fldChar w:fldCharType="end"/>
      </w:r>
    </w:p>
    <w:p>
      <w:pPr>
        <w:pStyle w:val="TOC8"/>
        <w:rPr>
          <w:rFonts w:asciiTheme="minorHAnsi" w:eastAsiaTheme="minorEastAsia" w:hAnsiTheme="minorHAnsi" w:cstheme="minorBidi"/>
          <w:szCs w:val="22"/>
        </w:rPr>
      </w:pPr>
      <w:r>
        <w:t xml:space="preserve">7. </w:t>
      </w:r>
      <w:r>
        <w:tab/>
        <w:t>Natural persons, disqualification of</w:t>
      </w:r>
      <w:r>
        <w:tab/>
      </w:r>
      <w:r>
        <w:fldChar w:fldCharType="begin"/>
      </w:r>
      <w:r>
        <w:instrText xml:space="preserve"> PAGEREF _Toc468701188 \h </w:instrText>
      </w:r>
      <w:r>
        <w:fldChar w:fldCharType="separate"/>
      </w:r>
      <w:r>
        <w:t>99</w:t>
      </w:r>
      <w:r>
        <w:fldChar w:fldCharType="end"/>
      </w:r>
    </w:p>
    <w:p>
      <w:pPr>
        <w:pStyle w:val="TOC8"/>
        <w:rPr>
          <w:rFonts w:asciiTheme="minorHAnsi" w:eastAsiaTheme="minorEastAsia" w:hAnsiTheme="minorHAnsi" w:cstheme="minorBidi"/>
          <w:szCs w:val="22"/>
        </w:rPr>
      </w:pPr>
      <w:r>
        <w:t xml:space="preserve">8. </w:t>
      </w:r>
      <w:r>
        <w:tab/>
        <w:t>Bodies corporate, disqualification of</w:t>
      </w:r>
      <w:r>
        <w:tab/>
      </w:r>
      <w:r>
        <w:fldChar w:fldCharType="begin"/>
      </w:r>
      <w:r>
        <w:instrText xml:space="preserve"> PAGEREF _Toc468701189 \h </w:instrText>
      </w:r>
      <w:r>
        <w:fldChar w:fldCharType="separate"/>
      </w:r>
      <w:r>
        <w:t>100</w:t>
      </w:r>
      <w:r>
        <w:fldChar w:fldCharType="end"/>
      </w:r>
    </w:p>
    <w:p>
      <w:pPr>
        <w:pStyle w:val="TOC8"/>
        <w:rPr>
          <w:rFonts w:asciiTheme="minorHAnsi" w:eastAsiaTheme="minorEastAsia" w:hAnsiTheme="minorHAnsi" w:cstheme="minorBidi"/>
          <w:szCs w:val="22"/>
        </w:rPr>
      </w:pPr>
      <w:r>
        <w:t xml:space="preserve">9. </w:t>
      </w:r>
      <w:r>
        <w:tab/>
        <w:t>Firms, disqualification of</w:t>
      </w:r>
      <w:r>
        <w:tab/>
      </w:r>
      <w:r>
        <w:fldChar w:fldCharType="begin"/>
      </w:r>
      <w:r>
        <w:instrText xml:space="preserve"> PAGEREF _Toc468701190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3 — Temporary arrangements</w:t>
      </w:r>
    </w:p>
    <w:p>
      <w:pPr>
        <w:pStyle w:val="TOC8"/>
        <w:rPr>
          <w:rFonts w:asciiTheme="minorHAnsi" w:eastAsiaTheme="minorEastAsia" w:hAnsiTheme="minorHAnsi" w:cstheme="minorBidi"/>
          <w:szCs w:val="22"/>
        </w:rPr>
      </w:pPr>
      <w:r>
        <w:t xml:space="preserve">10. </w:t>
      </w:r>
      <w:r>
        <w:tab/>
        <w:t>Death or withdrawal of partner in firm or director of body corporate, Commissioner to be notified etc.</w:t>
      </w:r>
      <w:r>
        <w:tab/>
      </w:r>
      <w:r>
        <w:fldChar w:fldCharType="begin"/>
      </w:r>
      <w:r>
        <w:instrText xml:space="preserve"> PAGEREF _Toc468701192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Schedule 2 — Functions of a settlement agent</w:t>
      </w:r>
    </w:p>
    <w:p>
      <w:pPr>
        <w:pStyle w:val="TOC8"/>
        <w:rPr>
          <w:rFonts w:asciiTheme="minorHAnsi" w:eastAsiaTheme="minorEastAsia" w:hAnsiTheme="minorHAnsi" w:cstheme="minorBidi"/>
          <w:szCs w:val="22"/>
        </w:rPr>
      </w:pPr>
      <w:r>
        <w:t>1.</w:t>
      </w:r>
      <w:r>
        <w:tab/>
        <w:t>Real estate settlement agent</w:t>
      </w:r>
      <w:r>
        <w:tab/>
      </w:r>
      <w:r>
        <w:fldChar w:fldCharType="begin"/>
      </w:r>
      <w:r>
        <w:instrText xml:space="preserve"> PAGEREF _Toc468701194 \h </w:instrText>
      </w:r>
      <w:r>
        <w:fldChar w:fldCharType="separate"/>
      </w:r>
      <w:r>
        <w:t>102</w:t>
      </w:r>
      <w:r>
        <w:fldChar w:fldCharType="end"/>
      </w:r>
    </w:p>
    <w:p>
      <w:pPr>
        <w:pStyle w:val="TOC8"/>
        <w:rPr>
          <w:rFonts w:asciiTheme="minorHAnsi" w:eastAsiaTheme="minorEastAsia" w:hAnsiTheme="minorHAnsi" w:cstheme="minorBidi"/>
          <w:szCs w:val="22"/>
        </w:rPr>
      </w:pPr>
      <w:r>
        <w:t xml:space="preserve">2. </w:t>
      </w:r>
      <w:r>
        <w:tab/>
        <w:t>Business settlement agent</w:t>
      </w:r>
      <w:r>
        <w:tab/>
      </w:r>
      <w:r>
        <w:fldChar w:fldCharType="begin"/>
      </w:r>
      <w:r>
        <w:instrText xml:space="preserve"> PAGEREF _Toc468701195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_Toc468701197 \h </w:instrText>
      </w:r>
      <w:r>
        <w:fldChar w:fldCharType="separate"/>
      </w:r>
      <w:r>
        <w:t>106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_Toc468701198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200"/>
      </w:pPr>
      <w:r>
        <w:t>Settlement Agents Act 1981</w:t>
      </w:r>
    </w:p>
    <w:p>
      <w:pPr>
        <w:pStyle w:val="LongTitle"/>
        <w:spacing w:before="1040"/>
        <w:rPr>
          <w:snapToGrid w:val="0"/>
        </w:rPr>
      </w:pPr>
      <w:r>
        <w:rPr>
          <w:snapToGrid w:val="0"/>
        </w:rPr>
        <w:t>An Act to make provision with respect to the licensing, regulation, and supervision of settlement agents, and for related purposes.</w:t>
      </w:r>
    </w:p>
    <w:p>
      <w:pPr>
        <w:pStyle w:val="Heading2"/>
      </w:pPr>
      <w:bookmarkStart w:id="3" w:name="_Toc413409836"/>
      <w:bookmarkStart w:id="4" w:name="_Toc416168510"/>
      <w:bookmarkStart w:id="5" w:name="_Toc468701042"/>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468701043"/>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7" w:name="_Toc468701044"/>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8" w:name="_Toc468701045"/>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appointed day</w:t>
      </w:r>
      <w:r>
        <w:rPr>
          <w:vertAlign w:val="superscript"/>
        </w:rPr>
        <w:t> 2</w:t>
      </w:r>
      <w:r>
        <w:t xml:space="preserve"> means the day fixed by the Minister pursuant to section 26(2);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tab/>
      </w:r>
      <w:r>
        <w:rPr>
          <w:rStyle w:val="CharDefText"/>
        </w:rPr>
        <w:t>business</w:t>
      </w:r>
      <w:r>
        <w:t xml:space="preserve"> means —</w:t>
      </w:r>
    </w:p>
    <w:p>
      <w:pPr>
        <w:pStyle w:val="Defpara"/>
      </w:pPr>
      <w:r>
        <w:tab/>
        <w:t>(a)</w:t>
      </w:r>
      <w:r>
        <w:tab/>
        <w:t>subject to paragraph (b), the business of a settlement agent; and</w:t>
      </w:r>
    </w:p>
    <w:p>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w:t>
      </w:r>
    </w:p>
    <w:p>
      <w:pPr>
        <w:pStyle w:val="Defpara"/>
      </w:pPr>
      <w:r>
        <w:tab/>
        <w:t>(c)</w:t>
      </w:r>
      <w:r>
        <w:tab/>
        <w:t>the sale, exchange, or other disposal or a purchase, exchange, or other acquisition of a share in the capital of a body corporate or an option in respect thereof;</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rPr>
          <w:b/>
        </w:rPr>
        <w:tab/>
      </w:r>
      <w:r>
        <w:rPr>
          <w:rStyle w:val="CharDefText"/>
        </w:rPr>
        <w:t>defalcation by a licensee</w:t>
      </w:r>
      <w:r>
        <w:t xml:space="preserve"> includes criminal or fraudulent conduct —</w:t>
      </w:r>
    </w:p>
    <w:p>
      <w:pPr>
        <w:pStyle w:val="Defpara"/>
      </w:pPr>
      <w:r>
        <w:tab/>
        <w:t>(a)</w:t>
      </w:r>
      <w:r>
        <w:tab/>
        <w:t>of a licensee; or</w:t>
      </w:r>
    </w:p>
    <w:p>
      <w:pPr>
        <w:pStyle w:val="Defpara"/>
      </w:pPr>
      <w:r>
        <w:tab/>
        <w:t>(b)</w:t>
      </w:r>
      <w:r>
        <w:tab/>
        <w:t>of any one or more of the servants or agents of the licensee; or</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Interest Account</w:t>
      </w:r>
      <w:r>
        <w:t xml:space="preserve"> means the Settlement Agents Interest Account established under section 103(1);</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w:t>
      </w:r>
    </w:p>
    <w:p>
      <w:pPr>
        <w:pStyle w:val="Defpara"/>
      </w:pPr>
      <w:r>
        <w:tab/>
        <w:t>(a)</w:t>
      </w:r>
      <w:r>
        <w:tab/>
        <w:t>whether payable in cash or kind; and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Commissioner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[Section 3 amended by No. 98 of 1985 s. 3; No. 59 of 1995 s. 58; No. 26 of 1999 s. 102(2); No. 65 of 2003 s. 66(2); No. 55 of 2004 s. 1081; No. 77 of 2006 Sch. 1 cl. 156(1); No. 21 of 2008 s. 704(2); No. 8 of 2009 s. 117; No. 46 of 2009 s. 15(2); No. 58 of 2010 s. 136 and 176.]</w:t>
      </w:r>
    </w:p>
    <w:p>
      <w:pPr>
        <w:pStyle w:val="Heading5"/>
        <w:rPr>
          <w:snapToGrid w:val="0"/>
        </w:rPr>
      </w:pPr>
      <w:bookmarkStart w:id="9" w:name="_Toc468701046"/>
      <w:r>
        <w:rPr>
          <w:rStyle w:val="CharSectno"/>
        </w:rPr>
        <w:t>4</w:t>
      </w:r>
      <w:r>
        <w:rPr>
          <w:snapToGrid w:val="0"/>
        </w:rPr>
        <w:t>.</w:t>
      </w:r>
      <w:r>
        <w:rPr>
          <w:snapToGrid w:val="0"/>
        </w:rPr>
        <w:tab/>
        <w:t>Term used: settlement agent</w:t>
      </w:r>
      <w:bookmarkEnd w:id="9"/>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w:t>
      </w:r>
    </w:p>
    <w:p>
      <w:pPr>
        <w:pStyle w:val="Indenta"/>
        <w:rPr>
          <w:snapToGrid w:val="0"/>
        </w:rPr>
      </w:pPr>
      <w:r>
        <w:rPr>
          <w:snapToGrid w:val="0"/>
        </w:rPr>
        <w:tab/>
        <w:t>(a)</w:t>
      </w:r>
      <w:r>
        <w:rPr>
          <w:snapToGrid w:val="0"/>
        </w:rPr>
        <w:tab/>
        <w:t>legal practitioners, when acting in the course of the practice of their profession as such; and</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who are currently carrying on business as such in accordance with that Act, when arranging or effecting settlements to which a current exemption under section 26A or 26B, as the case may be, applies; and</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[Section 4 amended by No. 10 of 1982 s. 28; No. 64 of 1982 s. 2; No. 59 of 1995 s. 59; No. 26 of 1999 s. 102(3); No. 10 of 2001 s. 222; No. 21 of 2003 s. 22.]</w:t>
      </w:r>
    </w:p>
    <w:p>
      <w:pPr>
        <w:pStyle w:val="Footnoteheading"/>
      </w:pPr>
      <w:r>
        <w:tab/>
        <w:t>[Part II heading deleted by No. 58 of 2010 s. 137(1).]</w:t>
      </w:r>
    </w:p>
    <w:p>
      <w:pPr>
        <w:pStyle w:val="Ednotedivision"/>
      </w:pPr>
      <w:r>
        <w:t>[Division 1 (s. 5</w:t>
      </w:r>
      <w:r>
        <w:noBreakHyphen/>
        <w:t>12C) deleted by No. 58 of 2010 s. 137(2).]</w:t>
      </w:r>
    </w:p>
    <w:p>
      <w:pPr>
        <w:pStyle w:val="Ednotedivision"/>
      </w:pPr>
      <w:r>
        <w:t>[Division 1A (s. 12D and 12E) deleted by No. 58 of 2010 s. 137(2).]</w:t>
      </w:r>
    </w:p>
    <w:p>
      <w:pPr>
        <w:pStyle w:val="Ednotedivision"/>
      </w:pPr>
      <w:r>
        <w:t>[Division 2 (s. 13</w:t>
      </w:r>
      <w:r>
        <w:noBreakHyphen/>
        <w:t>18) deleted by No. 58 of 2010 s. 137(2).]</w:t>
      </w:r>
    </w:p>
    <w:p>
      <w:pPr>
        <w:pStyle w:val="Footnoteheading"/>
      </w:pPr>
      <w:r>
        <w:tab/>
        <w:t>[Division 3 heading deleted by No. 58 of 2010 s. 137(3).]</w:t>
      </w:r>
    </w:p>
    <w:p>
      <w:pPr>
        <w:pStyle w:val="Ednotesection"/>
      </w:pPr>
      <w:r>
        <w:t>[</w:t>
      </w:r>
      <w:r>
        <w:rPr>
          <w:b/>
        </w:rPr>
        <w:t>19</w:t>
      </w:r>
      <w:r>
        <w:rPr>
          <w:b/>
        </w:rPr>
        <w:noBreakHyphen/>
        <w:t>21.</w:t>
      </w:r>
      <w:r>
        <w:tab/>
        <w:t>Deleted by No. 58 of 2010 s. 138.]</w:t>
      </w:r>
    </w:p>
    <w:p>
      <w:pPr>
        <w:pStyle w:val="Heading5"/>
      </w:pPr>
      <w:bookmarkStart w:id="10" w:name="_Toc468701047"/>
      <w:r>
        <w:rPr>
          <w:rStyle w:val="CharSectno"/>
        </w:rPr>
        <w:t>22</w:t>
      </w:r>
      <w:r>
        <w:t>.</w:t>
      </w:r>
      <w:r>
        <w:tab/>
        <w:t>Powers of investigation</w:t>
      </w:r>
      <w:bookmarkEnd w:id="10"/>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by No. 58 of 2010 s. 139.]</w:t>
      </w:r>
    </w:p>
    <w:p>
      <w:pPr>
        <w:pStyle w:val="Heading5"/>
        <w:rPr>
          <w:snapToGrid w:val="0"/>
        </w:rPr>
      </w:pPr>
      <w:bookmarkStart w:id="11" w:name="_Toc468701048"/>
      <w:r>
        <w:rPr>
          <w:rStyle w:val="CharSectno"/>
        </w:rPr>
        <w:t>23</w:t>
      </w:r>
      <w:r>
        <w:rPr>
          <w:snapToGrid w:val="0"/>
        </w:rPr>
        <w:t>.</w:t>
      </w:r>
      <w:r>
        <w:rPr>
          <w:snapToGrid w:val="0"/>
        </w:rPr>
        <w:tab/>
        <w:t>Application for review by SAT</w:t>
      </w:r>
      <w:bookmarkEnd w:id="11"/>
    </w:p>
    <w:p>
      <w:pPr>
        <w:pStyle w:val="Subsection"/>
        <w:rPr>
          <w:snapToGrid w:val="0"/>
        </w:rPr>
      </w:pPr>
      <w:r>
        <w:rPr>
          <w:snapToGrid w:val="0"/>
        </w:rPr>
        <w:tab/>
        <w:t>(1)</w:t>
      </w:r>
      <w:r>
        <w:rPr>
          <w:snapToGrid w:val="0"/>
        </w:rPr>
        <w:tab/>
        <w:t>Any person aggrieved by a reviewable decision may apply to the State Administrative Tribunal for a review of the decision.</w:t>
      </w:r>
    </w:p>
    <w:p>
      <w:pPr>
        <w:pStyle w:val="Subsection"/>
      </w:pPr>
      <w:r>
        <w:tab/>
        <w:t>(2)</w:t>
      </w:r>
      <w:r>
        <w:tab/>
        <w:t>In subsection (1) —</w:t>
      </w:r>
    </w:p>
    <w:p>
      <w:pPr>
        <w:pStyle w:val="Defstart"/>
      </w:pPr>
      <w:r>
        <w:tab/>
      </w:r>
      <w:r>
        <w:rPr>
          <w:rStyle w:val="CharDefText"/>
        </w:rPr>
        <w:t>person aggrieved</w:t>
      </w:r>
      <w:r>
        <w:t xml:space="preserve"> means —</w:t>
      </w:r>
    </w:p>
    <w:p>
      <w:pPr>
        <w:pStyle w:val="Defpara"/>
      </w:pPr>
      <w:r>
        <w:tab/>
        <w:t>(a)</w:t>
      </w:r>
      <w:r>
        <w:tab/>
        <w:t>a person whose licence or triennial certificate is affected by a reviewable decision or who, under Part III, applies for the grant of a licence or applies for the renewal of a triennial certificate;</w:t>
      </w:r>
    </w:p>
    <w:p>
      <w:pPr>
        <w:pStyle w:val="Defpara"/>
      </w:pPr>
      <w:r>
        <w:tab/>
        <w:t>(b)</w:t>
      </w:r>
      <w:r>
        <w:tab/>
        <w:t>a person affected by a decision of the Commissioner under Part IV Division 2;</w:t>
      </w:r>
    </w:p>
    <w:p>
      <w:pPr>
        <w:pStyle w:val="Defpara"/>
      </w:pPr>
      <w:r>
        <w:tab/>
        <w:t>(c)</w:t>
      </w:r>
      <w:r>
        <w:tab/>
        <w:t>a person claiming against, or seeking the leave of the chief executive officer to commence an action in relation to, the Fidelity Guarantee Account;</w:t>
      </w:r>
    </w:p>
    <w:p>
      <w:pPr>
        <w:pStyle w:val="Defstart"/>
      </w:pPr>
      <w:r>
        <w:tab/>
      </w:r>
      <w:r>
        <w:rPr>
          <w:rStyle w:val="CharDefText"/>
        </w:rPr>
        <w:t>reviewable decision</w:t>
      </w:r>
      <w:r>
        <w:t xml:space="preserve"> means —</w:t>
      </w:r>
    </w:p>
    <w:p>
      <w:pPr>
        <w:pStyle w:val="Defpara"/>
      </w:pPr>
      <w:r>
        <w:tab/>
        <w:t>(a)</w:t>
      </w:r>
      <w:r>
        <w:tab/>
        <w:t>a decision of the Commissioner under Part III other than —</w:t>
      </w:r>
    </w:p>
    <w:p>
      <w:pPr>
        <w:pStyle w:val="Defsubpara"/>
      </w:pPr>
      <w:r>
        <w:tab/>
        <w:t>(i)</w:t>
      </w:r>
      <w:r>
        <w:tab/>
        <w:t>a decision under section 35; or</w:t>
      </w:r>
    </w:p>
    <w:p>
      <w:pPr>
        <w:pStyle w:val="Defsubpara"/>
      </w:pPr>
      <w:r>
        <w:tab/>
        <w:t>(ii)</w:t>
      </w:r>
      <w:r>
        <w:tab/>
        <w:t>a determination of the form in which an application is made;</w:t>
      </w:r>
    </w:p>
    <w:p>
      <w:pPr>
        <w:pStyle w:val="Defpara"/>
      </w:pPr>
      <w:r>
        <w:tab/>
        <w:t>(b)</w:t>
      </w:r>
      <w:r>
        <w:tab/>
        <w:t>a decision of the Commissioner under Part IV Division 2;</w:t>
      </w:r>
    </w:p>
    <w:p>
      <w:pPr>
        <w:pStyle w:val="Defpara"/>
      </w:pPr>
      <w:r>
        <w:tab/>
        <w:t>(c)</w:t>
      </w:r>
      <w:r>
        <w:tab/>
        <w:t>a decision of the chief executive officer under section 93 or 95.</w:t>
      </w:r>
    </w:p>
    <w:p>
      <w:pPr>
        <w:pStyle w:val="Subsection"/>
      </w:pPr>
      <w:r>
        <w:tab/>
        <w:t>(3)</w:t>
      </w:r>
      <w:r>
        <w:tab/>
        <w:t xml:space="preserve">If a decision under section 93 or 95 has not been made before the commencement of the </w:t>
      </w:r>
      <w:r>
        <w:rPr>
          <w:i/>
          <w:snapToGrid w:val="0"/>
        </w:rPr>
        <w:t>Consumer Protection Legislation Amendment Act 2014</w:t>
      </w:r>
      <w:r>
        <w:rPr>
          <w:snapToGrid w:val="0"/>
        </w:rPr>
        <w:t xml:space="preserve"> section </w:t>
      </w:r>
      <w:r>
        <w:t xml:space="preserve">98 in respect of a claim made before 1 July 2011, the decision — </w:t>
      </w:r>
    </w:p>
    <w:p>
      <w:pPr>
        <w:pStyle w:val="Indenta"/>
      </w:pPr>
      <w:r>
        <w:tab/>
        <w:t>(a)</w:t>
      </w:r>
      <w:r>
        <w:tab/>
        <w:t>may be made on or after that commencement by the Commissioner; and</w:t>
      </w:r>
    </w:p>
    <w:p>
      <w:pPr>
        <w:pStyle w:val="Indenta"/>
      </w:pPr>
      <w:r>
        <w:tab/>
        <w:t>(b)</w:t>
      </w:r>
      <w:r>
        <w:tab/>
        <w:t>is taken to be a reviewable decision for the purposes of this section.</w:t>
      </w:r>
    </w:p>
    <w:p>
      <w:pPr>
        <w:pStyle w:val="Subsection"/>
      </w:pPr>
      <w:r>
        <w:tab/>
        <w:t>(4)</w:t>
      </w:r>
      <w:r>
        <w:tab/>
        <w:t xml:space="preserve">A decision under section 93 or 95 made by the chief executive officer before the commencement of the </w:t>
      </w:r>
      <w:r>
        <w:rPr>
          <w:i/>
        </w:rPr>
        <w:t>Consumer Protection Legislation Amendment Act 2014</w:t>
      </w:r>
      <w:r>
        <w:t xml:space="preserve"> section 98 is taken to be a reviewable decision made immediately after that commencement for the purposes of this section.</w:t>
      </w:r>
    </w:p>
    <w:p>
      <w:pPr>
        <w:pStyle w:val="Subsection"/>
      </w:pPr>
      <w:r>
        <w:tab/>
        <w:t>(5)</w:t>
      </w:r>
      <w:r>
        <w:tab/>
        <w:t xml:space="preserve">The amendments made to this section by the </w:t>
      </w:r>
      <w:r>
        <w:rPr>
          <w:i/>
          <w:snapToGrid w:val="0"/>
        </w:rPr>
        <w:t>Consumer Protection Legislation Amendment Act 2014</w:t>
      </w:r>
      <w:r>
        <w:rPr>
          <w:snapToGrid w:val="0"/>
        </w:rPr>
        <w:t xml:space="preserve"> section </w:t>
      </w:r>
      <w:r>
        <w:t>98</w:t>
      </w:r>
      <w:r>
        <w:rPr>
          <w:snapToGrid w:val="0"/>
        </w:rPr>
        <w:t xml:space="preserve"> do not affect the review of a reviewable decision by the State Administrative Tribunal that began, but was not completed, before the commencement of that section.</w:t>
      </w:r>
    </w:p>
    <w:p>
      <w:pPr>
        <w:pStyle w:val="Footnotesection"/>
      </w:pPr>
      <w:r>
        <w:tab/>
        <w:t>[Section 23 inserted by No. 55 of 2004 s. 1084; amended by No. 77 of 2006 Sch. 1 cl. 156(2); No. 58 of 2010 s. 140 and 176; No. 23 of 2014 s. 98.]</w:t>
      </w:r>
    </w:p>
    <w:p>
      <w:pPr>
        <w:pStyle w:val="Heading2"/>
      </w:pPr>
      <w:bookmarkStart w:id="12" w:name="_Toc413409843"/>
      <w:bookmarkStart w:id="13" w:name="_Toc416168517"/>
      <w:bookmarkStart w:id="14" w:name="_Toc468701049"/>
      <w:r>
        <w:rPr>
          <w:rStyle w:val="CharPartNo"/>
        </w:rPr>
        <w:t>Part III</w:t>
      </w:r>
      <w:r>
        <w:rPr>
          <w:rStyle w:val="CharDivNo"/>
        </w:rPr>
        <w:t> </w:t>
      </w:r>
      <w:r>
        <w:t>—</w:t>
      </w:r>
      <w:r>
        <w:rPr>
          <w:rStyle w:val="CharDivText"/>
        </w:rPr>
        <w:t> </w:t>
      </w:r>
      <w:r>
        <w:rPr>
          <w:rStyle w:val="CharPartText"/>
        </w:rPr>
        <w:t>Licensing</w:t>
      </w:r>
      <w:bookmarkEnd w:id="12"/>
      <w:bookmarkEnd w:id="13"/>
      <w:bookmarkEnd w:id="14"/>
    </w:p>
    <w:p>
      <w:pPr>
        <w:pStyle w:val="Heading5"/>
        <w:spacing w:before="180"/>
        <w:rPr>
          <w:snapToGrid w:val="0"/>
        </w:rPr>
      </w:pPr>
      <w:bookmarkStart w:id="15" w:name="_Toc468701050"/>
      <w:r>
        <w:rPr>
          <w:rStyle w:val="CharSectno"/>
        </w:rPr>
        <w:t>24</w:t>
      </w:r>
      <w:r>
        <w:rPr>
          <w:snapToGrid w:val="0"/>
        </w:rPr>
        <w:t>.</w:t>
      </w:r>
      <w:r>
        <w:rPr>
          <w:snapToGrid w:val="0"/>
        </w:rPr>
        <w:tab/>
        <w:t>Applications for licences</w:t>
      </w:r>
      <w:bookmarkEnd w:id="15"/>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w:t>
      </w:r>
      <w:r>
        <w:tab/>
        <w:t>deleted]</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24 amended by No. 58 of 2010 s. 141 and 176; No. 23 of 2014 s. 99.]</w:t>
      </w:r>
    </w:p>
    <w:p>
      <w:pPr>
        <w:pStyle w:val="Ednotesection"/>
      </w:pPr>
      <w:r>
        <w:t>[</w:t>
      </w:r>
      <w:r>
        <w:rPr>
          <w:b/>
        </w:rPr>
        <w:t>25.</w:t>
      </w:r>
      <w:r>
        <w:tab/>
        <w:t>Deleted by No. 23 of 2014 s. 100.]</w:t>
      </w:r>
    </w:p>
    <w:p>
      <w:pPr>
        <w:pStyle w:val="Heading5"/>
        <w:rPr>
          <w:snapToGrid w:val="0"/>
        </w:rPr>
      </w:pPr>
      <w:bookmarkStart w:id="16" w:name="_Toc468701051"/>
      <w:r>
        <w:rPr>
          <w:rStyle w:val="CharSectno"/>
        </w:rPr>
        <w:t>26</w:t>
      </w:r>
      <w:r>
        <w:rPr>
          <w:snapToGrid w:val="0"/>
        </w:rPr>
        <w:t>.</w:t>
      </w:r>
      <w:r>
        <w:rPr>
          <w:snapToGrid w:val="0"/>
        </w:rPr>
        <w:tab/>
        <w:t>Settlement agents must be licensed</w:t>
      </w:r>
      <w:bookmarkEnd w:id="16"/>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spacing w:before="140"/>
      </w:pPr>
      <w:r>
        <w:tab/>
        <w:t>[Section 26 amended by No. 59 of 1995 s. 85.]</w:t>
      </w:r>
    </w:p>
    <w:p>
      <w:pPr>
        <w:pStyle w:val="Heading5"/>
        <w:spacing w:before="260"/>
        <w:rPr>
          <w:snapToGrid w:val="0"/>
        </w:rPr>
      </w:pPr>
      <w:bookmarkStart w:id="17" w:name="_Toc468701052"/>
      <w:r>
        <w:rPr>
          <w:rStyle w:val="CharSectno"/>
        </w:rPr>
        <w:t>26A</w:t>
      </w:r>
      <w:r>
        <w:rPr>
          <w:snapToGrid w:val="0"/>
        </w:rPr>
        <w:t xml:space="preserve">. </w:t>
      </w:r>
      <w:r>
        <w:rPr>
          <w:snapToGrid w:val="0"/>
        </w:rPr>
        <w:tab/>
        <w:t>Licensed real estate agent may be exempted for certain settlements</w:t>
      </w:r>
      <w:bookmarkEnd w:id="17"/>
    </w:p>
    <w:p>
      <w:pPr>
        <w:pStyle w:val="Subsection"/>
        <w:spacing w:before="180"/>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spacing w:before="180"/>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spacing w:before="180"/>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spacing w:before="180"/>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spacing w:before="180"/>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spacing w:before="100"/>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real estate settlement agent’s licence, the requirements of section 27(1)(a), (b), and (d) would be fulfilled; or</w:t>
      </w:r>
    </w:p>
    <w:p>
      <w:pPr>
        <w:pStyle w:val="Indenta"/>
        <w:keepNext/>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 and</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26A inserted by No. 64 of 1982 s. 3; amended by No. 58 of 2010 s. 176.]</w:t>
      </w:r>
    </w:p>
    <w:p>
      <w:pPr>
        <w:pStyle w:val="Heading5"/>
        <w:rPr>
          <w:snapToGrid w:val="0"/>
        </w:rPr>
      </w:pPr>
      <w:bookmarkStart w:id="18" w:name="_Toc468701053"/>
      <w:r>
        <w:rPr>
          <w:rStyle w:val="CharSectno"/>
        </w:rPr>
        <w:t>26B</w:t>
      </w:r>
      <w:r>
        <w:rPr>
          <w:snapToGrid w:val="0"/>
        </w:rPr>
        <w:t xml:space="preserve">. </w:t>
      </w:r>
      <w:r>
        <w:rPr>
          <w:snapToGrid w:val="0"/>
        </w:rPr>
        <w:tab/>
        <w:t>Licensed business agent may be exempted for certain settlements</w:t>
      </w:r>
      <w:bookmarkEnd w:id="18"/>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business settlement agent’s licence, the requirements of section 27(1)(a), (b), and (d) would be fulfilled; or</w:t>
      </w:r>
    </w:p>
    <w:p>
      <w:pPr>
        <w:pStyle w:val="Indenta"/>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 and</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26B inserted by No. 64 of 1982 s. 3; amended by No. 58 of 2010 s. 176.]</w:t>
      </w:r>
    </w:p>
    <w:p>
      <w:pPr>
        <w:pStyle w:val="Heading5"/>
        <w:rPr>
          <w:snapToGrid w:val="0"/>
        </w:rPr>
      </w:pPr>
      <w:bookmarkStart w:id="19" w:name="_Toc468701054"/>
      <w:r>
        <w:rPr>
          <w:rStyle w:val="CharSectno"/>
        </w:rPr>
        <w:t>27</w:t>
      </w:r>
      <w:r>
        <w:rPr>
          <w:snapToGrid w:val="0"/>
        </w:rPr>
        <w:t>.</w:t>
      </w:r>
      <w:r>
        <w:rPr>
          <w:snapToGrid w:val="0"/>
        </w:rPr>
        <w:tab/>
        <w:t>Natural persons, licensing of</w:t>
      </w:r>
      <w:bookmarkEnd w:id="19"/>
    </w:p>
    <w:p>
      <w:pPr>
        <w:pStyle w:val="Subsection"/>
        <w:spacing w:before="130"/>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spacing w:before="60"/>
        <w:rPr>
          <w:snapToGrid w:val="0"/>
        </w:rPr>
      </w:pPr>
      <w:r>
        <w:rPr>
          <w:snapToGrid w:val="0"/>
        </w:rPr>
        <w:tab/>
        <w:t>(a)</w:t>
      </w:r>
      <w:r>
        <w:rPr>
          <w:snapToGrid w:val="0"/>
        </w:rPr>
        <w:tab/>
        <w:t>he is of or over the age of 18 years; and</w:t>
      </w:r>
    </w:p>
    <w:p>
      <w:pPr>
        <w:pStyle w:val="Indenta"/>
        <w:spacing w:before="60"/>
        <w:rPr>
          <w:snapToGrid w:val="0"/>
        </w:rPr>
      </w:pPr>
      <w:r>
        <w:rPr>
          <w:snapToGrid w:val="0"/>
        </w:rPr>
        <w:tab/>
        <w:t>(b)</w:t>
      </w:r>
      <w:r>
        <w:rPr>
          <w:snapToGrid w:val="0"/>
        </w:rPr>
        <w:tab/>
        <w:t>he is a person of good character and repute and a fit and proper person to hold a licence; and</w:t>
      </w:r>
    </w:p>
    <w:p>
      <w:pPr>
        <w:pStyle w:val="Indenta"/>
        <w:spacing w:before="60"/>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spacing w:before="60"/>
        <w:rPr>
          <w:snapToGrid w:val="0"/>
        </w:rPr>
      </w:pPr>
      <w:r>
        <w:rPr>
          <w:snapToGrid w:val="0"/>
        </w:rPr>
        <w:tab/>
        <w:t>(d)</w:t>
      </w:r>
      <w:r>
        <w:rPr>
          <w:snapToGrid w:val="0"/>
        </w:rPr>
        <w:tab/>
        <w:t>he is ordinarily resident in the State; and</w:t>
      </w:r>
    </w:p>
    <w:p>
      <w:pPr>
        <w:pStyle w:val="Indenta"/>
        <w:spacing w:before="60"/>
        <w:rPr>
          <w:snapToGrid w:val="0"/>
        </w:rPr>
      </w:pPr>
      <w:r>
        <w:rPr>
          <w:snapToGrid w:val="0"/>
        </w:rPr>
        <w:tab/>
        <w:t>(e)</w:t>
      </w:r>
      <w:r>
        <w:rPr>
          <w:snapToGrid w:val="0"/>
        </w:rPr>
        <w:tab/>
        <w:t>he understands fully the duties and obligations imposed by this Act on settlement agents.</w:t>
      </w:r>
    </w:p>
    <w:p>
      <w:pPr>
        <w:pStyle w:val="Subsection"/>
        <w:spacing w:before="130"/>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subject to the savings and exceptions provided therein and elsewhere in this Act, but nothing in that Schedule shall derogate from the discretion conferred on the </w:t>
      </w:r>
      <w:r>
        <w:t>Commissioner</w:t>
      </w:r>
      <w:r>
        <w:rPr>
          <w:snapToGrid w:val="0"/>
        </w:rPr>
        <w:t xml:space="preserve"> by subsection (1) in the granting of a licence.</w:t>
      </w:r>
    </w:p>
    <w:p>
      <w:pPr>
        <w:pStyle w:val="Footnotesection"/>
        <w:spacing w:before="80"/>
      </w:pPr>
      <w:r>
        <w:tab/>
        <w:t>[Section 27 amended by No. 58 of 2010 s. 176.]</w:t>
      </w:r>
    </w:p>
    <w:p>
      <w:pPr>
        <w:pStyle w:val="Heading5"/>
        <w:spacing w:before="200"/>
        <w:rPr>
          <w:snapToGrid w:val="0"/>
        </w:rPr>
      </w:pPr>
      <w:bookmarkStart w:id="20" w:name="_Toc468701055"/>
      <w:r>
        <w:rPr>
          <w:rStyle w:val="CharSectno"/>
        </w:rPr>
        <w:t>28</w:t>
      </w:r>
      <w:r>
        <w:rPr>
          <w:snapToGrid w:val="0"/>
        </w:rPr>
        <w:t>.</w:t>
      </w:r>
      <w:r>
        <w:rPr>
          <w:snapToGrid w:val="0"/>
        </w:rPr>
        <w:tab/>
        <w:t>Firms, licensing of</w:t>
      </w:r>
      <w:bookmarkEnd w:id="20"/>
    </w:p>
    <w:p>
      <w:pPr>
        <w:pStyle w:val="Subsection"/>
        <w:spacing w:before="120"/>
        <w:rPr>
          <w:snapToGrid w:val="0"/>
        </w:rPr>
      </w:pPr>
      <w:r>
        <w:rPr>
          <w:snapToGrid w:val="0"/>
        </w:rPr>
        <w:tab/>
        <w:t>(1)</w:t>
      </w:r>
      <w:r>
        <w:rPr>
          <w:snapToGrid w:val="0"/>
        </w:rPr>
        <w:tab/>
        <w:t xml:space="preserve">Subject to this Act, 2 or more persons constituting a firm who apply to the </w:t>
      </w:r>
      <w:r>
        <w:t>Commissioner</w:t>
      </w:r>
      <w:r>
        <w:rPr>
          <w:snapToGrid w:val="0"/>
        </w:rPr>
        <w:t xml:space="preserve"> for a real estate settlement agent’s licence or a business settlement agent’s licence, or both,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spacing w:before="60"/>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28 amended by No. 58 of 2010 s. 176.]</w:t>
      </w:r>
    </w:p>
    <w:p>
      <w:pPr>
        <w:pStyle w:val="Heading5"/>
        <w:rPr>
          <w:snapToGrid w:val="0"/>
        </w:rPr>
      </w:pPr>
      <w:bookmarkStart w:id="21" w:name="_Toc468701056"/>
      <w:r>
        <w:rPr>
          <w:rStyle w:val="CharSectno"/>
        </w:rPr>
        <w:t>29</w:t>
      </w:r>
      <w:r>
        <w:rPr>
          <w:snapToGrid w:val="0"/>
        </w:rPr>
        <w:t>.</w:t>
      </w:r>
      <w:r>
        <w:rPr>
          <w:snapToGrid w:val="0"/>
        </w:rPr>
        <w:tab/>
        <w:t>Bodies corporate, licensing of</w:t>
      </w:r>
      <w:bookmarkEnd w:id="21"/>
    </w:p>
    <w:p>
      <w:pPr>
        <w:pStyle w:val="Subsection"/>
        <w:rPr>
          <w:snapToGrid w:val="0"/>
        </w:rPr>
      </w:pPr>
      <w:r>
        <w:rPr>
          <w:snapToGrid w:val="0"/>
        </w:rPr>
        <w:tab/>
        <w:t>(1)</w:t>
      </w:r>
      <w:r>
        <w:rPr>
          <w:snapToGrid w:val="0"/>
        </w:rPr>
        <w:tab/>
        <w:t xml:space="preserve">Subject to this Act, a body corporate which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it has sufficient material and financial resources available to it to comply with the requirements of this Act; and</w:t>
      </w:r>
    </w:p>
    <w:p>
      <w:pPr>
        <w:pStyle w:val="Indenta"/>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29 amended by No. 58 of 2010 s. 176.]</w:t>
      </w:r>
    </w:p>
    <w:p>
      <w:pPr>
        <w:pStyle w:val="Heading5"/>
        <w:rPr>
          <w:snapToGrid w:val="0"/>
        </w:rPr>
      </w:pPr>
      <w:bookmarkStart w:id="22" w:name="_Toc468701057"/>
      <w:r>
        <w:rPr>
          <w:rStyle w:val="CharSectno"/>
        </w:rPr>
        <w:t>30</w:t>
      </w:r>
      <w:r>
        <w:rPr>
          <w:snapToGrid w:val="0"/>
        </w:rPr>
        <w:t>.</w:t>
      </w:r>
      <w:r>
        <w:rPr>
          <w:snapToGrid w:val="0"/>
        </w:rPr>
        <w:tab/>
        <w:t>Licence, effect of</w:t>
      </w:r>
      <w:bookmarkEnd w:id="22"/>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spacing w:before="80"/>
        <w:ind w:left="890" w:hanging="890"/>
      </w:pPr>
      <w:r>
        <w:tab/>
        <w:t>[Section 30 amended by No. 56 of 1995 s. 50; No. 55 of 2004 s. 1085; No. 58 of 2010 s. 176.]</w:t>
      </w:r>
    </w:p>
    <w:p>
      <w:pPr>
        <w:pStyle w:val="Heading5"/>
        <w:rPr>
          <w:snapToGrid w:val="0"/>
        </w:rPr>
      </w:pPr>
      <w:bookmarkStart w:id="23" w:name="_Toc468701058"/>
      <w:r>
        <w:rPr>
          <w:rStyle w:val="CharSectno"/>
        </w:rPr>
        <w:t>31</w:t>
      </w:r>
      <w:r>
        <w:rPr>
          <w:snapToGrid w:val="0"/>
        </w:rPr>
        <w:t>.</w:t>
      </w:r>
      <w:r>
        <w:rPr>
          <w:snapToGrid w:val="0"/>
        </w:rPr>
        <w:tab/>
        <w:t>Triennial certificates, grant and renewal of</w:t>
      </w:r>
      <w:bookmarkEnd w:id="23"/>
    </w:p>
    <w:p>
      <w:pPr>
        <w:pStyle w:val="Subsection"/>
        <w:rPr>
          <w:snapToGrid w:val="0"/>
        </w:rPr>
      </w:pPr>
      <w:r>
        <w:rPr>
          <w:snapToGrid w:val="0"/>
        </w:rPr>
        <w:tab/>
        <w:t>(1)</w:t>
      </w:r>
      <w:r>
        <w:rPr>
          <w:snapToGrid w:val="0"/>
        </w:rPr>
        <w:tab/>
        <w:t xml:space="preserve">Subject to this Act, the </w:t>
      </w:r>
      <w:r>
        <w:t>Commissioner</w:t>
      </w:r>
      <w:r>
        <w:rPr>
          <w:snapToGrid w:val="0"/>
        </w:rPr>
        <w:t xml:space="preserve"> shall on the grant of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keepNext/>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spacing w:before="120"/>
        <w:rPr>
          <w:snapToGrid w:val="0"/>
        </w:rPr>
      </w:pPr>
      <w:r>
        <w:rPr>
          <w:snapToGrid w:val="0"/>
        </w:rPr>
        <w:tab/>
      </w:r>
      <w:r>
        <w:rPr>
          <w:snapToGrid w:val="0"/>
        </w:rPr>
        <w:tab/>
        <w:t>for the period of 3 years commencing on the date on which it is granted.</w:t>
      </w:r>
    </w:p>
    <w:p>
      <w:pPr>
        <w:pStyle w:val="Subsection"/>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pPr>
        <w:pStyle w:val="Indenta"/>
        <w:rPr>
          <w:snapToGrid w:val="0"/>
        </w:rPr>
      </w:pPr>
      <w:r>
        <w:rPr>
          <w:snapToGrid w:val="0"/>
        </w:rPr>
        <w:tab/>
        <w:t>(a)</w:t>
      </w:r>
      <w:r>
        <w:rPr>
          <w:snapToGrid w:val="0"/>
        </w:rPr>
        <w:tab/>
        <w:t>by the licensee, if the licensee is a person other than a firm or a body corporate; or</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pPr>
      <w:r>
        <w:tab/>
        <w:t>(2A)</w:t>
      </w:r>
      <w:r>
        <w:tab/>
        <w:t>The Commissioner may refuse to renew a licensee’s triennial certificate if —</w:t>
      </w:r>
    </w:p>
    <w:p>
      <w:pPr>
        <w:pStyle w:val="Indenta"/>
      </w:pPr>
      <w:r>
        <w:tab/>
        <w:t>(a)</w:t>
      </w:r>
      <w:r>
        <w:tab/>
        <w:t>the Commissioner is satisfied that section 27(1)(b), (c), (d) or (e), 28(1)(a), (b), (c) or (d) or 29(1)(a), (b), (c) or (d), as is relevant to the licensee, does not apply, or no longer applies, in relation to the licensee; or</w:t>
      </w:r>
    </w:p>
    <w:p>
      <w:pPr>
        <w:pStyle w:val="Indenta"/>
      </w:pPr>
      <w:r>
        <w:tab/>
        <w:t>(b)</w:t>
      </w:r>
      <w:r>
        <w:tab/>
        <w:t>the licensee has not met prescribed educational requirements.</w:t>
      </w:r>
    </w:p>
    <w:p>
      <w:pPr>
        <w:pStyle w:val="Subsection"/>
        <w:rPr>
          <w:snapToGrid w:val="0"/>
        </w:rPr>
      </w:pPr>
      <w:r>
        <w:rPr>
          <w:snapToGrid w:val="0"/>
        </w:rPr>
        <w:tab/>
        <w:t>(3)</w:t>
      </w:r>
      <w:r>
        <w:rPr>
          <w:snapToGrid w:val="0"/>
        </w:rPr>
        <w:tab/>
        <w:t>At all times during the currency of the triennial certificate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spacing w:before="120"/>
        <w:rPr>
          <w:snapToGrid w:val="0"/>
        </w:rPr>
      </w:pPr>
      <w:r>
        <w:rPr>
          <w:snapToGrid w:val="0"/>
        </w:rPr>
        <w:tab/>
      </w:r>
      <w:r>
        <w:rPr>
          <w:snapToGrid w:val="0"/>
        </w:rPr>
        <w:tab/>
        <w:t>shall remain ordinarily resident in the State.</w:t>
      </w:r>
    </w:p>
    <w:p>
      <w:pPr>
        <w:pStyle w:val="Footnotesection"/>
        <w:ind w:left="890" w:hanging="890"/>
      </w:pPr>
      <w:r>
        <w:tab/>
        <w:t>[Section 31 amended by No. 62 of 1996 s. 4; No. 58 of 2010 s. 176; No. 23 of 2014 s. 101.]</w:t>
      </w:r>
    </w:p>
    <w:p>
      <w:pPr>
        <w:pStyle w:val="Heading5"/>
        <w:rPr>
          <w:snapToGrid w:val="0"/>
        </w:rPr>
      </w:pPr>
      <w:bookmarkStart w:id="24" w:name="_Toc468701059"/>
      <w:r>
        <w:rPr>
          <w:rStyle w:val="CharSectno"/>
        </w:rPr>
        <w:t>32</w:t>
      </w:r>
      <w:r>
        <w:rPr>
          <w:snapToGrid w:val="0"/>
        </w:rPr>
        <w:t>.</w:t>
      </w:r>
      <w:r>
        <w:rPr>
          <w:snapToGrid w:val="0"/>
        </w:rPr>
        <w:tab/>
        <w:t>Triennial certificates, late renewal of</w:t>
      </w:r>
      <w:bookmarkEnd w:id="24"/>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 xml:space="preserve">Where a triennial certificate is renewed more than one month but not more than 12 months after the day on which the triennial certificate expired and the licensee satisfies the </w:t>
      </w:r>
      <w:r>
        <w:t>Commissioner</w:t>
      </w:r>
      <w:r>
        <w:rPr>
          <w:snapToGrid w:val="0"/>
        </w:rPr>
        <w:t xml:space="preserve"> that there is reasonable cause for the renewal to be deemed to take effect for the period of 3 years on and from the day next succeeding the day on which the triennial certificate expired, the </w:t>
      </w:r>
      <w:r>
        <w:t>Commissioner</w:t>
      </w:r>
      <w:r>
        <w:rPr>
          <w:snapToGrid w:val="0"/>
        </w:rPr>
        <w:t xml:space="preserve"> shall so determine and the renewal shall take effect accordingly.</w:t>
      </w:r>
    </w:p>
    <w:p>
      <w:pPr>
        <w:pStyle w:val="Footnotesection"/>
      </w:pPr>
      <w:r>
        <w:tab/>
        <w:t>[Section 32 amended by No. 58 of 2010 s. 176.]</w:t>
      </w:r>
    </w:p>
    <w:p>
      <w:pPr>
        <w:pStyle w:val="Heading5"/>
        <w:rPr>
          <w:snapToGrid w:val="0"/>
        </w:rPr>
      </w:pPr>
      <w:bookmarkStart w:id="25" w:name="_Toc468701060"/>
      <w:r>
        <w:rPr>
          <w:rStyle w:val="CharSectno"/>
        </w:rPr>
        <w:t>33</w:t>
      </w:r>
      <w:r>
        <w:rPr>
          <w:snapToGrid w:val="0"/>
        </w:rPr>
        <w:t>.</w:t>
      </w:r>
      <w:r>
        <w:rPr>
          <w:snapToGrid w:val="0"/>
        </w:rPr>
        <w:tab/>
        <w:t>Triennial certificates expired for over a year, applications to renew</w:t>
      </w:r>
      <w:bookmarkEnd w:id="25"/>
    </w:p>
    <w:p>
      <w:pPr>
        <w:pStyle w:val="Subsection"/>
        <w:rPr>
          <w:snapToGrid w:val="0"/>
        </w:rPr>
      </w:pPr>
      <w:r>
        <w:rPr>
          <w:snapToGrid w:val="0"/>
        </w:rPr>
        <w:tab/>
        <w:t>(1)</w:t>
      </w:r>
      <w:r>
        <w:rPr>
          <w:snapToGrid w:val="0"/>
        </w:rPr>
        <w:tab/>
        <w:t xml:space="preserve">Where a triennial certificate expires and is not renewed within the period of 12 months thereafter an application for a renewal shall be made at least one month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(2)</w:t>
      </w:r>
      <w:r>
        <w:rPr>
          <w:snapToGrid w:val="0"/>
        </w:rPr>
        <w:tab/>
        <w:t xml:space="preserve">The application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33 amended by No. 58 of 2010 s. 143 and 176.]</w:t>
      </w:r>
    </w:p>
    <w:p>
      <w:pPr>
        <w:pStyle w:val="Heading5"/>
        <w:spacing w:before="180"/>
        <w:rPr>
          <w:snapToGrid w:val="0"/>
        </w:rPr>
      </w:pPr>
      <w:bookmarkStart w:id="26" w:name="_Toc468701061"/>
      <w:r>
        <w:rPr>
          <w:rStyle w:val="CharSectno"/>
        </w:rPr>
        <w:t>34</w:t>
      </w:r>
      <w:r>
        <w:rPr>
          <w:snapToGrid w:val="0"/>
        </w:rPr>
        <w:t>.</w:t>
      </w:r>
      <w:r>
        <w:rPr>
          <w:snapToGrid w:val="0"/>
        </w:rPr>
        <w:tab/>
        <w:t>Conditions on licences and triennial certificates</w:t>
      </w:r>
      <w:bookmarkEnd w:id="26"/>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 xml:space="preserve">The </w:t>
      </w:r>
      <w:r>
        <w:t>Commissioner</w:t>
      </w:r>
      <w:r>
        <w:rPr>
          <w:snapToGrid w:val="0"/>
        </w:rPr>
        <w:t xml:space="preserve"> may grant a licence or grant or renew a triennial certificate subject to such special conditions as the </w:t>
      </w:r>
      <w:r>
        <w:t>Commissioner</w:t>
      </w:r>
      <w:r>
        <w:rPr>
          <w:snapToGrid w:val="0"/>
        </w:rPr>
        <w:t xml:space="preserve"> thinks fit, and without limiting the generality of the foregoing any of those conditions may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ind w:left="958" w:hanging="1440"/>
      </w:pPr>
      <w:r>
        <w:tab/>
        <w:t>[Section 34 amended by No. 55 of 2004 s. 1086; No. 77 of 2006 Sch. 1 cl. 156(2); No. 58 of 2010 s. 176.]</w:t>
      </w:r>
    </w:p>
    <w:p>
      <w:pPr>
        <w:pStyle w:val="Heading5"/>
      </w:pPr>
      <w:bookmarkStart w:id="27" w:name="_Toc468701062"/>
      <w:r>
        <w:rPr>
          <w:rStyle w:val="CharSectno"/>
        </w:rPr>
        <w:t>34A</w:t>
      </w:r>
      <w:r>
        <w:rPr>
          <w:snapToGrid w:val="0"/>
        </w:rPr>
        <w:t>.</w:t>
      </w:r>
      <w:r>
        <w:tab/>
        <w:t>Commissioner may grant licence or triennial certificate without notice to applicant</w:t>
      </w:r>
      <w:bookmarkEnd w:id="27"/>
    </w:p>
    <w:p>
      <w:pPr>
        <w:pStyle w:val="Subsection"/>
      </w:pPr>
      <w:r>
        <w:tab/>
        <w:t>(1)</w:t>
      </w:r>
      <w:r>
        <w:tab/>
        <w:t>Subject to this Part, a licence may be granted and a triennial certificate may be granted or renewed (as long as 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Footnotesection"/>
        <w:ind w:left="890" w:hanging="890"/>
      </w:pPr>
      <w:r>
        <w:tab/>
        <w:t>[Section 34A inserted by No. 55 of 2004 s. 1087; amended by No. 58 of 2010 s. 144 and 176; No. 23 of 2014 s. 102.]</w:t>
      </w:r>
    </w:p>
    <w:p>
      <w:pPr>
        <w:pStyle w:val="Heading5"/>
      </w:pPr>
      <w:bookmarkStart w:id="28" w:name="_Toc468701063"/>
      <w:r>
        <w:rPr>
          <w:rStyle w:val="CharSectno"/>
        </w:rPr>
        <w:t>34B</w:t>
      </w:r>
      <w:r>
        <w:t>.</w:t>
      </w:r>
      <w:r>
        <w:tab/>
        <w:t>SAT may suspend licence in some cases</w:t>
      </w:r>
      <w:bookmarkEnd w:id="28"/>
    </w:p>
    <w:p>
      <w:pPr>
        <w:pStyle w:val="Subsection"/>
        <w:rPr>
          <w:snapToGrid w:val="0"/>
        </w:rPr>
      </w:pPr>
      <w:r>
        <w:rPr>
          <w:snapToGrid w:val="0"/>
        </w:rPr>
        <w:tab/>
        <w:t>(1)</w:t>
      </w:r>
      <w:r>
        <w:rPr>
          <w:snapToGrid w:val="0"/>
        </w:rP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IV Division 3 or by the </w:t>
      </w:r>
      <w:r>
        <w:rPr>
          <w:i/>
          <w:snapToGrid w:val="0"/>
        </w:rPr>
        <w:t>State Administrative Tribunal Act 2004</w:t>
      </w:r>
      <w:r>
        <w:rPr>
          <w:snapToGrid w:val="0"/>
        </w:rPr>
        <w:t>.</w:t>
      </w:r>
    </w:p>
    <w:p>
      <w:pPr>
        <w:pStyle w:val="Footnotesection"/>
        <w:spacing w:before="80"/>
        <w:ind w:left="890" w:hanging="890"/>
      </w:pPr>
      <w:r>
        <w:tab/>
        <w:t>[Section 34B inserted by No. 55 of 2004 s. 1087.]</w:t>
      </w:r>
    </w:p>
    <w:p>
      <w:pPr>
        <w:pStyle w:val="Heading5"/>
        <w:spacing w:before="200"/>
        <w:rPr>
          <w:snapToGrid w:val="0"/>
        </w:rPr>
      </w:pPr>
      <w:bookmarkStart w:id="29" w:name="_Toc468701064"/>
      <w:r>
        <w:rPr>
          <w:rStyle w:val="CharSectno"/>
        </w:rPr>
        <w:t>35</w:t>
      </w:r>
      <w:r>
        <w:rPr>
          <w:snapToGrid w:val="0"/>
        </w:rPr>
        <w:t>.</w:t>
      </w:r>
      <w:r>
        <w:rPr>
          <w:snapToGrid w:val="0"/>
        </w:rPr>
        <w:tab/>
        <w:t>Fidelity insurance and professional indemnity insurance for licensees</w:t>
      </w:r>
      <w:bookmarkEnd w:id="29"/>
    </w:p>
    <w:p>
      <w:pPr>
        <w:pStyle w:val="Subsection"/>
        <w:spacing w:before="120"/>
        <w:rPr>
          <w:snapToGrid w:val="0"/>
        </w:rPr>
      </w:pPr>
      <w:r>
        <w:rPr>
          <w:snapToGrid w:val="0"/>
        </w:rPr>
        <w:tab/>
        <w:t>(1)</w:t>
      </w:r>
      <w:r>
        <w:rPr>
          <w:snapToGrid w:val="0"/>
        </w:rPr>
        <w:tab/>
        <w:t xml:space="preserve">The </w:t>
      </w:r>
      <w:r>
        <w:t>Commissioner</w:t>
      </w:r>
      <w:r>
        <w:rPr>
          <w:snapToGrid w:val="0"/>
        </w:rPr>
        <w:t xml:space="preserve"> may, from time to time, make arrangements for or in respect of the provision to licensees of fidelity insurance and professional indemnity insurance on such terms and conditions as the </w:t>
      </w:r>
      <w:r>
        <w:t>Commissioner</w:t>
      </w:r>
      <w:r>
        <w:rPr>
          <w:snapToGrid w:val="0"/>
        </w:rPr>
        <w:t xml:space="preserve"> thinks fit and, for that purpose, may, from time to time, enter into a Master Policy Agreement with an insurer appointed by the </w:t>
      </w:r>
      <w:r>
        <w:t>Commissioner</w:t>
      </w:r>
      <w:r>
        <w:rPr>
          <w:snapToGrid w:val="0"/>
        </w:rPr>
        <w:t xml:space="preserve"> and do all such acts or things that the </w:t>
      </w:r>
      <w:r>
        <w:t>Commissioner</w:t>
      </w:r>
      <w:r>
        <w:rPr>
          <w:snapToGrid w:val="0"/>
        </w:rPr>
        <w:t xml:space="preserve"> deems necessary or expedient for giving effect thereto.</w:t>
      </w:r>
    </w:p>
    <w:p>
      <w:pPr>
        <w:pStyle w:val="Subsection"/>
        <w:spacing w:before="120"/>
        <w:rPr>
          <w:snapToGrid w:val="0"/>
        </w:rPr>
      </w:pPr>
      <w:r>
        <w:rPr>
          <w:snapToGrid w:val="0"/>
        </w:rPr>
        <w:tab/>
        <w:t>(2)</w:t>
      </w:r>
      <w:r>
        <w:rPr>
          <w:snapToGrid w:val="0"/>
        </w:rPr>
        <w:tab/>
        <w:t>An arrangement in terms of subsection (1) may include provision with respect to any one or more of the following matters —</w:t>
      </w:r>
    </w:p>
    <w:p>
      <w:pPr>
        <w:pStyle w:val="Indenta"/>
        <w:spacing w:before="60"/>
        <w:rPr>
          <w:snapToGrid w:val="0"/>
        </w:rPr>
      </w:pPr>
      <w:r>
        <w:rPr>
          <w:snapToGrid w:val="0"/>
        </w:rPr>
        <w:tab/>
        <w:t>(a)</w:t>
      </w:r>
      <w:r>
        <w:rPr>
          <w:snapToGrid w:val="0"/>
        </w:rPr>
        <w:tab/>
        <w:t>the terms and conditions of the fidelity insurance and professional indemnity insurance; and</w:t>
      </w:r>
    </w:p>
    <w:p>
      <w:pPr>
        <w:pStyle w:val="Indenta"/>
        <w:spacing w:before="60"/>
        <w:rPr>
          <w:snapToGrid w:val="0"/>
        </w:rPr>
      </w:pPr>
      <w:r>
        <w:rPr>
          <w:snapToGrid w:val="0"/>
        </w:rPr>
        <w:tab/>
        <w:t>(b)</w:t>
      </w:r>
      <w:r>
        <w:rPr>
          <w:snapToGrid w:val="0"/>
        </w:rPr>
        <w:tab/>
        <w:t>subject to subsection (3), the amount or amounts of insurance cover to be provided; and</w:t>
      </w:r>
    </w:p>
    <w:p>
      <w:pPr>
        <w:pStyle w:val="Indenta"/>
        <w:spacing w:before="60"/>
        <w:rPr>
          <w:snapToGrid w:val="0"/>
        </w:rPr>
      </w:pPr>
      <w:r>
        <w:rPr>
          <w:snapToGrid w:val="0"/>
        </w:rPr>
        <w:tab/>
        <w:t>(c)</w:t>
      </w:r>
      <w:r>
        <w:rPr>
          <w:snapToGrid w:val="0"/>
        </w:rPr>
        <w:tab/>
        <w:t>the amount or amounts payable by way of premiums; and</w:t>
      </w:r>
    </w:p>
    <w:p>
      <w:pPr>
        <w:pStyle w:val="Indenta"/>
        <w:spacing w:before="60"/>
        <w:rPr>
          <w:snapToGrid w:val="0"/>
        </w:rPr>
      </w:pPr>
      <w:r>
        <w:rPr>
          <w:snapToGrid w:val="0"/>
        </w:rPr>
        <w:tab/>
        <w:t>(d)</w:t>
      </w:r>
      <w:r>
        <w:rPr>
          <w:snapToGrid w:val="0"/>
        </w:rPr>
        <w:tab/>
        <w:t>the period during which the insurance is to be provided; and</w:t>
      </w:r>
    </w:p>
    <w:p>
      <w:pPr>
        <w:pStyle w:val="Indenta"/>
        <w:spacing w:before="60"/>
        <w:rPr>
          <w:snapToGrid w:val="0"/>
        </w:rPr>
      </w:pPr>
      <w:r>
        <w:rPr>
          <w:snapToGrid w:val="0"/>
        </w:rPr>
        <w:tab/>
        <w:t>(e)</w:t>
      </w:r>
      <w:r>
        <w:rPr>
          <w:snapToGrid w:val="0"/>
        </w:rPr>
        <w:tab/>
        <w:t>the issue of certificates of insurance to licensees and the form of those certificates; and</w:t>
      </w:r>
    </w:p>
    <w:p>
      <w:pPr>
        <w:pStyle w:val="Indenta"/>
        <w:spacing w:before="60"/>
        <w:rPr>
          <w:snapToGrid w:val="0"/>
        </w:rPr>
      </w:pPr>
      <w:r>
        <w:rPr>
          <w:snapToGrid w:val="0"/>
        </w:rPr>
        <w:tab/>
        <w:t>(f)</w:t>
      </w:r>
      <w:r>
        <w:rPr>
          <w:snapToGrid w:val="0"/>
        </w:rPr>
        <w:tab/>
        <w:t>any other matters in connection with the fidelity insurance and professional indemnity insurance.</w:t>
      </w:r>
    </w:p>
    <w:p>
      <w:pPr>
        <w:pStyle w:val="Subsection"/>
        <w:keepLines/>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 xml:space="preserve">The </w:t>
      </w:r>
      <w:r>
        <w:t>Commissioner</w:t>
      </w:r>
      <w:r>
        <w:rPr>
          <w:snapToGrid w:val="0"/>
        </w:rPr>
        <w:t xml:space="preserve"> may, from time to time, negotiate such rescission or variation of the arrangement referred to in subsection (1) as the </w:t>
      </w:r>
      <w:r>
        <w:t>Commissioner</w:t>
      </w:r>
      <w:r>
        <w:rPr>
          <w:snapToGrid w:val="0"/>
        </w:rPr>
        <w:t xml:space="preserve"> considers necessary or expedient.</w:t>
      </w:r>
    </w:p>
    <w:p>
      <w:pPr>
        <w:pStyle w:val="Subsection"/>
        <w:rPr>
          <w:snapToGrid w:val="0"/>
        </w:rPr>
      </w:pPr>
      <w:r>
        <w:rPr>
          <w:snapToGrid w:val="0"/>
        </w:rPr>
        <w:tab/>
        <w:t>(5)</w:t>
      </w:r>
      <w:r>
        <w:rPr>
          <w:snapToGrid w:val="0"/>
        </w:rPr>
        <w:tab/>
        <w:t xml:space="preserve">Where the </w:t>
      </w:r>
      <w:r>
        <w:t>Commissioner</w:t>
      </w:r>
      <w:r>
        <w:rPr>
          <w:snapToGrid w:val="0"/>
        </w:rPr>
        <w:t xml:space="preserve"> has entered into a Master Policy Agreement in accordance with subsection (1) the </w:t>
      </w:r>
      <w:r>
        <w:t>Commissioner</w:t>
      </w:r>
      <w:r>
        <w:rPr>
          <w:snapToGrid w:val="0"/>
        </w:rPr>
        <w:t xml:space="preserve">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w:t>
      </w:r>
    </w:p>
    <w:p>
      <w:pPr>
        <w:pStyle w:val="Indenta"/>
        <w:rPr>
          <w:snapToGrid w:val="0"/>
        </w:rPr>
      </w:pPr>
      <w:r>
        <w:rPr>
          <w:snapToGrid w:val="0"/>
        </w:rPr>
        <w:tab/>
        <w:t>(a)</w:t>
      </w:r>
      <w:r>
        <w:rPr>
          <w:snapToGrid w:val="0"/>
        </w:rPr>
        <w:tab/>
        <w:t xml:space="preserve">the </w:t>
      </w:r>
      <w:r>
        <w:t>Commissioner</w:t>
      </w:r>
      <w:r>
        <w:rPr>
          <w:snapToGrid w:val="0"/>
        </w:rPr>
        <w:t xml:space="preserve"> shall not grant or renew a triennial certificate unless the applicant is insured in accordance with this section; and</w:t>
      </w:r>
    </w:p>
    <w:p>
      <w:pPr>
        <w:pStyle w:val="Indenta"/>
        <w:rPr>
          <w:snapToGrid w:val="0"/>
        </w:rPr>
      </w:pPr>
      <w:r>
        <w:rPr>
          <w:snapToGrid w:val="0"/>
        </w:rPr>
        <w:tab/>
        <w:t>(b)</w:t>
      </w:r>
      <w:r>
        <w:rPr>
          <w:snapToGrid w:val="0"/>
        </w:rPr>
        <w:tab/>
        <w:t>each licensee who is the holder of a triennial certificate shall —</w:t>
      </w:r>
    </w:p>
    <w:p>
      <w:pPr>
        <w:pStyle w:val="Indenti"/>
        <w:rPr>
          <w:snapToGrid w:val="0"/>
        </w:rPr>
      </w:pPr>
      <w:r>
        <w:rPr>
          <w:snapToGrid w:val="0"/>
        </w:rPr>
        <w:tab/>
        <w:t>(i)</w:t>
      </w:r>
      <w:r>
        <w:rPr>
          <w:snapToGrid w:val="0"/>
        </w:rPr>
        <w:tab/>
        <w:t>at all times remain insured under the Master Policy Agreement; and</w:t>
      </w:r>
    </w:p>
    <w:p>
      <w:pPr>
        <w:pStyle w:val="Indenti"/>
        <w:rPr>
          <w:snapToGrid w:val="0"/>
        </w:rPr>
      </w:pPr>
      <w:r>
        <w:rPr>
          <w:snapToGrid w:val="0"/>
        </w:rPr>
        <w:tab/>
        <w:t>(ii)</w:t>
      </w:r>
      <w:r>
        <w:rPr>
          <w:snapToGrid w:val="0"/>
        </w:rPr>
        <w:tab/>
        <w:t>hold a current certificate of insurance; and</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spacing w:before="60"/>
        <w:rPr>
          <w:snapToGrid w:val="0"/>
        </w:rPr>
      </w:pPr>
      <w:r>
        <w:rPr>
          <w:snapToGrid w:val="0"/>
        </w:rPr>
        <w:tab/>
        <w:t>(iv)</w:t>
      </w:r>
      <w:r>
        <w:rPr>
          <w:snapToGrid w:val="0"/>
        </w:rPr>
        <w:tab/>
        <w:t>comply with such of the provisions of the Master Policy Agreement and certificate of insurance as apply to him;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the </w:t>
      </w:r>
      <w:r>
        <w:t>Commissioner</w:t>
      </w:r>
      <w:r>
        <w:rPr>
          <w:snapToGrid w:val="0"/>
        </w:rPr>
        <w:t xml:space="preserve"> shall not grant or renew a triennial certificate unless the licensee has complied in all respects with the terms and conditions of this section and first produces to the </w:t>
      </w:r>
      <w:r>
        <w:t>Commissioner</w:t>
      </w:r>
      <w:r>
        <w:rPr>
          <w:snapToGrid w:val="0"/>
        </w:rPr>
        <w:t xml:space="preserve"> a valid certificate of insurance for the period to which the triennial certificate or the renewal relates; and</w:t>
      </w:r>
    </w:p>
    <w:p>
      <w:pPr>
        <w:pStyle w:val="Indenta"/>
        <w:spacing w:before="60"/>
        <w:rPr>
          <w:snapToGrid w:val="0"/>
        </w:rPr>
      </w:pPr>
      <w:r>
        <w:rPr>
          <w:snapToGrid w:val="0"/>
        </w:rPr>
        <w:tab/>
        <w:t>(d)</w:t>
      </w:r>
      <w:r>
        <w:rPr>
          <w:snapToGrid w:val="0"/>
        </w:rPr>
        <w:tab/>
        <w:t xml:space="preserve">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w:t>
      </w:r>
      <w:r>
        <w:t>Commissioner</w:t>
      </w:r>
      <w:r>
        <w:rPr>
          <w:snapToGrid w:val="0"/>
        </w:rPr>
        <w:t>.</w:t>
      </w:r>
    </w:p>
    <w:p>
      <w:pPr>
        <w:pStyle w:val="Ednotesubsection"/>
      </w:pPr>
      <w:r>
        <w:tab/>
        <w:t>[(7)</w:t>
      </w:r>
      <w:r>
        <w:tab/>
        <w:t>deleted]</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w:t>
      </w:r>
    </w:p>
    <w:p>
      <w:pPr>
        <w:pStyle w:val="Indenta"/>
        <w:spacing w:before="60"/>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spacing w:before="60"/>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[Section 35 amended by No. 51 of 1986 s. 46; No. 58 of 2010 s. 176.]</w:t>
      </w:r>
    </w:p>
    <w:p>
      <w:pPr>
        <w:pStyle w:val="Heading5"/>
        <w:rPr>
          <w:snapToGrid w:val="0"/>
        </w:rPr>
      </w:pPr>
      <w:bookmarkStart w:id="30" w:name="_Toc468701065"/>
      <w:r>
        <w:rPr>
          <w:rStyle w:val="CharSectno"/>
        </w:rPr>
        <w:t>36</w:t>
      </w:r>
      <w:r>
        <w:rPr>
          <w:snapToGrid w:val="0"/>
        </w:rPr>
        <w:t>.</w:t>
      </w:r>
      <w:r>
        <w:rPr>
          <w:snapToGrid w:val="0"/>
        </w:rPr>
        <w:tab/>
        <w:t>Licensees to notify Commissioner of certain changes</w:t>
      </w:r>
      <w:bookmarkEnd w:id="30"/>
    </w:p>
    <w:p>
      <w:pPr>
        <w:pStyle w:val="Subsection"/>
        <w:rPr>
          <w:snapToGrid w:val="0"/>
        </w:rPr>
      </w:pPr>
      <w:r>
        <w:rPr>
          <w:snapToGrid w:val="0"/>
        </w:rPr>
        <w:tab/>
        <w:t>(1)</w:t>
      </w:r>
      <w:r>
        <w:rPr>
          <w:snapToGrid w:val="0"/>
        </w:rPr>
        <w:tab/>
        <w:t xml:space="preserve">A licensee shall, within 14 days after commencing or ceasing to carry on business as a settlement agent, give to the </w:t>
      </w:r>
      <w:r>
        <w:t>Commissioner</w:t>
      </w:r>
      <w:r>
        <w:rPr>
          <w:snapToGrid w:val="0"/>
        </w:rPr>
        <w:t xml:space="preserve"> notice in writing of that fact.</w:t>
      </w:r>
    </w:p>
    <w:p>
      <w:pPr>
        <w:pStyle w:val="Subsection"/>
        <w:keepNext/>
        <w:rPr>
          <w:snapToGrid w:val="0"/>
        </w:rPr>
      </w:pPr>
      <w:r>
        <w:rPr>
          <w:snapToGrid w:val="0"/>
        </w:rPr>
        <w:tab/>
        <w:t>(2)</w:t>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pPr>
      <w:r>
        <w:tab/>
        <w:t>(ba)</w:t>
      </w:r>
      <w:r>
        <w:tab/>
        <w:t>where the licensee is a firm, of any change in the persons by whom or by which it is constituted;</w:t>
      </w:r>
    </w:p>
    <w:p>
      <w:pPr>
        <w:pStyle w:val="Indenta"/>
        <w:keepLines/>
        <w:rPr>
          <w:snapToGrid w:val="0"/>
        </w:rPr>
      </w:pPr>
      <w:r>
        <w:rPr>
          <w:snapToGrid w:val="0"/>
        </w:rPr>
        <w:tab/>
        <w:t>(b)</w:t>
      </w:r>
      <w:r>
        <w:rPr>
          <w:snapToGrid w:val="0"/>
        </w:rPr>
        <w:tab/>
      </w:r>
      <w:r>
        <w:t>where</w:t>
      </w:r>
      <w:r>
        <w:rPr>
          <w:snapToGrid w:val="0"/>
        </w:rPr>
        <w:t xml:space="preserve"> 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In this section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 No. 58 of 2010 s. 176; No. 23 of 2014 s. 103.]</w:t>
      </w:r>
    </w:p>
    <w:p>
      <w:pPr>
        <w:pStyle w:val="Heading5"/>
        <w:rPr>
          <w:snapToGrid w:val="0"/>
        </w:rPr>
      </w:pPr>
      <w:bookmarkStart w:id="31" w:name="_Toc468701066"/>
      <w:r>
        <w:rPr>
          <w:rStyle w:val="CharSectno"/>
        </w:rPr>
        <w:t>37</w:t>
      </w:r>
      <w:r>
        <w:rPr>
          <w:snapToGrid w:val="0"/>
        </w:rPr>
        <w:t>.</w:t>
      </w:r>
      <w:r>
        <w:rPr>
          <w:snapToGrid w:val="0"/>
        </w:rPr>
        <w:tab/>
        <w:t>Registered office of licensee</w:t>
      </w:r>
      <w:bookmarkEnd w:id="31"/>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 </w:t>
      </w:r>
      <w:r>
        <w:t>Commissioner</w:t>
      </w:r>
      <w:r>
        <w:rPr>
          <w:snapToGrid w:val="0"/>
        </w:rPr>
        <w:t>.</w:t>
      </w:r>
    </w:p>
    <w:p>
      <w:pPr>
        <w:pStyle w:val="Footnotesection"/>
      </w:pPr>
      <w:r>
        <w:tab/>
        <w:t>[Section 37 amended by No. 59 of 1995 s. 85; No. 58 of 2010 s. 176.]</w:t>
      </w:r>
    </w:p>
    <w:p>
      <w:pPr>
        <w:pStyle w:val="Heading5"/>
        <w:rPr>
          <w:snapToGrid w:val="0"/>
        </w:rPr>
      </w:pPr>
      <w:bookmarkStart w:id="32" w:name="_Toc468701067"/>
      <w:r>
        <w:rPr>
          <w:rStyle w:val="CharSectno"/>
        </w:rPr>
        <w:t>38</w:t>
      </w:r>
      <w:r>
        <w:rPr>
          <w:snapToGrid w:val="0"/>
        </w:rPr>
        <w:t>.</w:t>
      </w:r>
      <w:r>
        <w:rPr>
          <w:snapToGrid w:val="0"/>
        </w:rPr>
        <w:tab/>
        <w:t>Branch office of licensee</w:t>
      </w:r>
      <w:bookmarkEnd w:id="32"/>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[Section 38 amended by No. 59 of 1995 s. 85; No. 58 of 2010 s. 176.]</w:t>
      </w:r>
    </w:p>
    <w:p>
      <w:pPr>
        <w:pStyle w:val="Heading5"/>
        <w:rPr>
          <w:snapToGrid w:val="0"/>
        </w:rPr>
      </w:pPr>
      <w:bookmarkStart w:id="33" w:name="_Toc468701068"/>
      <w:r>
        <w:rPr>
          <w:rStyle w:val="CharSectno"/>
        </w:rPr>
        <w:t>39</w:t>
      </w:r>
      <w:r>
        <w:rPr>
          <w:snapToGrid w:val="0"/>
        </w:rPr>
        <w:t>.</w:t>
      </w:r>
      <w:r>
        <w:rPr>
          <w:snapToGrid w:val="0"/>
        </w:rPr>
        <w:tab/>
        <w:t>Triennial certificates, contents of</w:t>
      </w:r>
      <w:bookmarkEnd w:id="33"/>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keepNext w:val="0"/>
        <w:rPr>
          <w:snapToGrid w:val="0"/>
        </w:rPr>
      </w:pPr>
      <w:bookmarkStart w:id="34" w:name="_Toc468701069"/>
      <w:r>
        <w:rPr>
          <w:rStyle w:val="CharSectno"/>
        </w:rPr>
        <w:t>40</w:t>
      </w:r>
      <w:r>
        <w:rPr>
          <w:snapToGrid w:val="0"/>
        </w:rPr>
        <w:t>.</w:t>
      </w:r>
      <w:r>
        <w:rPr>
          <w:snapToGrid w:val="0"/>
        </w:rPr>
        <w:tab/>
        <w:t>Licence and triennial certificate not transferable etc.</w:t>
      </w:r>
      <w:bookmarkEnd w:id="34"/>
    </w:p>
    <w:p>
      <w:pPr>
        <w:pStyle w:val="Subsection"/>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spacing w:before="60"/>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spacing w:before="80"/>
        <w:ind w:left="890" w:hanging="890"/>
      </w:pPr>
      <w:r>
        <w:tab/>
        <w:t>[Section 40 amended by No. 59 of 1995 s. 85.]</w:t>
      </w:r>
    </w:p>
    <w:p>
      <w:pPr>
        <w:pStyle w:val="Heading5"/>
      </w:pPr>
      <w:bookmarkStart w:id="35" w:name="_Toc468701070"/>
      <w:r>
        <w:rPr>
          <w:rStyle w:val="CharSectno"/>
        </w:rPr>
        <w:t>41A</w:t>
      </w:r>
      <w:r>
        <w:t>.</w:t>
      </w:r>
      <w:r>
        <w:tab/>
        <w:t>Duplicate licence or triennial certificate</w:t>
      </w:r>
      <w:bookmarkEnd w:id="35"/>
    </w:p>
    <w:p>
      <w:pPr>
        <w:pStyle w:val="Subsection"/>
      </w:pPr>
      <w:r>
        <w:tab/>
      </w:r>
      <w:r>
        <w:tab/>
        <w:t>If a licence or triennial certificate has been lost or destroyed, the Commissioner may issue a duplicate licence or duplicate triennial certificate on payment by the holder of the prescribed fee.</w:t>
      </w:r>
    </w:p>
    <w:p>
      <w:pPr>
        <w:pStyle w:val="Footnotesection"/>
        <w:spacing w:before="80"/>
        <w:ind w:left="890" w:hanging="890"/>
      </w:pPr>
      <w:r>
        <w:tab/>
        <w:t>[Section 41A inserted by No. 23 of 2014 s. 104.]</w:t>
      </w:r>
    </w:p>
    <w:p>
      <w:pPr>
        <w:pStyle w:val="Heading5"/>
        <w:rPr>
          <w:snapToGrid w:val="0"/>
        </w:rPr>
      </w:pPr>
      <w:bookmarkStart w:id="36" w:name="_Toc468701071"/>
      <w:r>
        <w:rPr>
          <w:rStyle w:val="CharSectno"/>
        </w:rPr>
        <w:t>41</w:t>
      </w:r>
      <w:r>
        <w:rPr>
          <w:snapToGrid w:val="0"/>
        </w:rPr>
        <w:t>.</w:t>
      </w:r>
      <w:r>
        <w:rPr>
          <w:snapToGrid w:val="0"/>
        </w:rPr>
        <w:tab/>
        <w:t>Use of business names by licensees</w:t>
      </w:r>
      <w:bookmarkEnd w:id="36"/>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w:t>
      </w:r>
    </w:p>
    <w:p>
      <w:pPr>
        <w:pStyle w:val="Indenta"/>
        <w:spacing w:before="60"/>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spacing w:before="60"/>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spacing w:before="120"/>
        <w:rPr>
          <w:snapToGrid w:val="0"/>
        </w:rPr>
      </w:pPr>
      <w:r>
        <w:rPr>
          <w:snapToGrid w:val="0"/>
        </w:rPr>
        <w:tab/>
        <w:t>(2)</w:t>
      </w:r>
      <w:r>
        <w:rPr>
          <w:snapToGrid w:val="0"/>
        </w:rPr>
        <w:tab/>
        <w:t xml:space="preserve">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spacing w:before="70"/>
        <w:rPr>
          <w:snapToGrid w:val="0"/>
        </w:rPr>
      </w:pPr>
      <w:r>
        <w:rPr>
          <w:snapToGrid w:val="0"/>
        </w:rPr>
        <w:tab/>
        <w:t>Penalty: $1 000.</w:t>
      </w:r>
    </w:p>
    <w:p>
      <w:pPr>
        <w:pStyle w:val="Footnotesection"/>
        <w:spacing w:before="100"/>
        <w:ind w:left="890" w:hanging="890"/>
      </w:pPr>
      <w:r>
        <w:tab/>
        <w:t>[Section 41 amended by No. 59 of 1995 s. 85; No. 58 of 2010 s. 176.]</w:t>
      </w:r>
    </w:p>
    <w:p>
      <w:pPr>
        <w:pStyle w:val="Heading5"/>
        <w:spacing w:before="200"/>
        <w:rPr>
          <w:snapToGrid w:val="0"/>
        </w:rPr>
      </w:pPr>
      <w:bookmarkStart w:id="37" w:name="_Toc468701072"/>
      <w:r>
        <w:rPr>
          <w:rStyle w:val="CharSectno"/>
        </w:rPr>
        <w:t>42</w:t>
      </w:r>
      <w:r>
        <w:rPr>
          <w:snapToGrid w:val="0"/>
        </w:rPr>
        <w:t>.</w:t>
      </w:r>
      <w:r>
        <w:rPr>
          <w:snapToGrid w:val="0"/>
        </w:rPr>
        <w:tab/>
        <w:t>Notices to be exhibited at offices; particulars to appear on documents</w:t>
      </w:r>
      <w:bookmarkEnd w:id="37"/>
    </w:p>
    <w:p>
      <w:pPr>
        <w:pStyle w:val="Subsection"/>
        <w:spacing w:before="120"/>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pPr>
        <w:pStyle w:val="Indenta"/>
        <w:spacing w:before="60"/>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spacing w:before="60"/>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spacing w:before="120"/>
        <w:rPr>
          <w:snapToGrid w:val="0"/>
        </w:rPr>
      </w:pPr>
      <w:r>
        <w:rPr>
          <w:snapToGrid w:val="0"/>
        </w:rPr>
        <w:tab/>
        <w:t>(2)</w:t>
      </w:r>
      <w:r>
        <w:rPr>
          <w:snapToGrid w:val="0"/>
        </w:rPr>
        <w:tab/>
        <w:t>On all correspondence, and on the outside or all documents prepared, in the course of business of a licensee at his registered office and every branch office —</w:t>
      </w:r>
    </w:p>
    <w:p>
      <w:pPr>
        <w:pStyle w:val="Indenta"/>
        <w:spacing w:before="60"/>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spacing w:before="60"/>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38" w:name="_Toc413409867"/>
      <w:bookmarkStart w:id="39" w:name="_Toc416168541"/>
      <w:bookmarkStart w:id="40" w:name="_Toc468701073"/>
      <w:r>
        <w:rPr>
          <w:rStyle w:val="CharPartNo"/>
        </w:rPr>
        <w:t>Part IV</w:t>
      </w:r>
      <w:r>
        <w:t> — </w:t>
      </w:r>
      <w:r>
        <w:rPr>
          <w:rStyle w:val="CharPartText"/>
        </w:rPr>
        <w:t>Controls</w:t>
      </w:r>
      <w:bookmarkEnd w:id="38"/>
      <w:bookmarkEnd w:id="39"/>
      <w:bookmarkEnd w:id="40"/>
    </w:p>
    <w:p>
      <w:pPr>
        <w:pStyle w:val="Heading3"/>
      </w:pPr>
      <w:bookmarkStart w:id="41" w:name="_Toc413409868"/>
      <w:bookmarkStart w:id="42" w:name="_Toc416168542"/>
      <w:bookmarkStart w:id="43" w:name="_Toc468701074"/>
      <w:r>
        <w:rPr>
          <w:rStyle w:val="CharDivNo"/>
        </w:rPr>
        <w:t>Division 1</w:t>
      </w:r>
      <w:r>
        <w:rPr>
          <w:snapToGrid w:val="0"/>
        </w:rPr>
        <w:t> — </w:t>
      </w:r>
      <w:r>
        <w:rPr>
          <w:rStyle w:val="CharDivText"/>
        </w:rPr>
        <w:t>General</w:t>
      </w:r>
      <w:bookmarkEnd w:id="41"/>
      <w:bookmarkEnd w:id="42"/>
      <w:bookmarkEnd w:id="43"/>
    </w:p>
    <w:p>
      <w:pPr>
        <w:pStyle w:val="Heading5"/>
        <w:rPr>
          <w:snapToGrid w:val="0"/>
        </w:rPr>
      </w:pPr>
      <w:bookmarkStart w:id="44" w:name="_Toc468701075"/>
      <w:r>
        <w:rPr>
          <w:rStyle w:val="CharSectno"/>
        </w:rPr>
        <w:t>43</w:t>
      </w:r>
      <w:r>
        <w:rPr>
          <w:snapToGrid w:val="0"/>
        </w:rPr>
        <w:t>.</w:t>
      </w:r>
      <w:r>
        <w:rPr>
          <w:snapToGrid w:val="0"/>
        </w:rPr>
        <w:tab/>
        <w:t>Remuneration of settlement agents</w:t>
      </w:r>
      <w:bookmarkEnd w:id="44"/>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w:t>
      </w:r>
    </w:p>
    <w:p>
      <w:pPr>
        <w:pStyle w:val="Indenta"/>
        <w:rPr>
          <w:snapToGrid w:val="0"/>
        </w:rPr>
      </w:pPr>
      <w:r>
        <w:rPr>
          <w:snapToGrid w:val="0"/>
        </w:rPr>
        <w:tab/>
        <w:t>(a)</w:t>
      </w:r>
      <w:r>
        <w:rPr>
          <w:snapToGrid w:val="0"/>
        </w:rPr>
        <w:tab/>
        <w:t>it is contained in a document which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keepNext/>
        <w:keepLines/>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 xml:space="preserve">Penalty: $5 000 and in the case of conviction for a second or other subsequent offence the </w:t>
      </w:r>
      <w:r>
        <w:t>convicting court or tribunal</w:t>
      </w:r>
      <w:r>
        <w:rPr>
          <w:snapToGrid w:val="0"/>
        </w:rPr>
        <w:t xml:space="preserve">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[Section 43 amended by No. 59 of 1995 s. 64 and 85; No. 58 of 2010 s. 145.]</w:t>
      </w:r>
    </w:p>
    <w:p>
      <w:pPr>
        <w:pStyle w:val="Heading5"/>
        <w:rPr>
          <w:snapToGrid w:val="0"/>
        </w:rPr>
      </w:pPr>
      <w:bookmarkStart w:id="45" w:name="_Toc468701076"/>
      <w:r>
        <w:rPr>
          <w:rStyle w:val="CharSectno"/>
        </w:rPr>
        <w:t>44</w:t>
      </w:r>
      <w:r>
        <w:rPr>
          <w:snapToGrid w:val="0"/>
        </w:rPr>
        <w:t>.</w:t>
      </w:r>
      <w:r>
        <w:rPr>
          <w:snapToGrid w:val="0"/>
        </w:rPr>
        <w:tab/>
        <w:t>Maximum remuneration, disputes over remuneration etc.</w:t>
      </w:r>
      <w:bookmarkEnd w:id="45"/>
    </w:p>
    <w:p>
      <w:pPr>
        <w:pStyle w:val="Subsection"/>
        <w:spacing w:before="180"/>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80"/>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spacing w:before="18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8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8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80"/>
        <w:rPr>
          <w:snapToGrid w:val="0"/>
        </w:rPr>
      </w:pPr>
      <w:r>
        <w:rPr>
          <w:snapToGrid w:val="0"/>
        </w:rPr>
        <w:tab/>
        <w:t>(5)</w:t>
      </w:r>
      <w:r>
        <w:rPr>
          <w:snapToGrid w:val="0"/>
        </w:rPr>
        <w:tab/>
        <w:t xml:space="preserve">A person dissatisfied with the amount of any demand for remuneration rendered to him by a settlement agent may refer the matter to the </w:t>
      </w:r>
      <w:r>
        <w:t>Commissioner</w:t>
      </w:r>
      <w:r>
        <w:rPr>
          <w:snapToGrid w:val="0"/>
        </w:rPr>
        <w:t xml:space="preserve"> who,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8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8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80"/>
        <w:rPr>
          <w:snapToGrid w:val="0"/>
        </w:rPr>
      </w:pPr>
      <w:r>
        <w:rPr>
          <w:snapToGrid w:val="0"/>
        </w:rPr>
        <w:tab/>
        <w:t>(8)</w:t>
      </w:r>
      <w:r>
        <w:rPr>
          <w:snapToGrid w:val="0"/>
        </w:rPr>
        <w:tab/>
        <w:t>A licensee shall not, whether directly or indirectly, pay or give any reward to any person referring to the licensee any business involving the performance of the functions of a settlement agent.</w:t>
      </w:r>
    </w:p>
    <w:p>
      <w:pPr>
        <w:pStyle w:val="Subsection"/>
        <w:spacing w:before="18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 xml:space="preserve">Upon the conviction of a settlement agent for a second or subsequent offence under this section the </w:t>
      </w:r>
      <w:r>
        <w:t>convicting court or tribunal</w:t>
      </w:r>
      <w:r>
        <w:rPr>
          <w:snapToGrid w:val="0"/>
        </w:rPr>
        <w:t xml:space="preserve"> may also call upon him to show cause why his licence should not be cancelled or suspended.</w:t>
      </w:r>
    </w:p>
    <w:p>
      <w:pPr>
        <w:pStyle w:val="Footnotesection"/>
        <w:keepLines w:val="0"/>
      </w:pPr>
      <w:r>
        <w:tab/>
        <w:t>[Section 44 amended by No. 59 of 1995 s. 65; No. 58 of 2010 s. 146 and 176.]</w:t>
      </w:r>
    </w:p>
    <w:p>
      <w:pPr>
        <w:pStyle w:val="Heading5"/>
        <w:rPr>
          <w:snapToGrid w:val="0"/>
        </w:rPr>
      </w:pPr>
      <w:bookmarkStart w:id="46" w:name="_Toc468701077"/>
      <w:r>
        <w:rPr>
          <w:rStyle w:val="CharSectno"/>
        </w:rPr>
        <w:t>45</w:t>
      </w:r>
      <w:r>
        <w:rPr>
          <w:snapToGrid w:val="0"/>
        </w:rPr>
        <w:t>.</w:t>
      </w:r>
      <w:r>
        <w:rPr>
          <w:snapToGrid w:val="0"/>
        </w:rPr>
        <w:tab/>
        <w:t>Records and premises, licensees’ duties as to</w:t>
      </w:r>
      <w:bookmarkEnd w:id="46"/>
    </w:p>
    <w:p>
      <w:pPr>
        <w:pStyle w:val="Subsection"/>
        <w:keepNext/>
        <w:keepLines/>
        <w:spacing w:before="140"/>
        <w:rPr>
          <w:snapToGrid w:val="0"/>
        </w:rPr>
      </w:pPr>
      <w:r>
        <w:rPr>
          <w:snapToGrid w:val="0"/>
        </w:rPr>
        <w:tab/>
      </w:r>
      <w:r>
        <w:rPr>
          <w:snapToGrid w:val="0"/>
        </w:rPr>
        <w:tab/>
        <w:t>A licensee shall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[Section 45 amended by No. 59 of 1995 s. 85.]</w:t>
      </w:r>
    </w:p>
    <w:p>
      <w:pPr>
        <w:pStyle w:val="Heading5"/>
        <w:rPr>
          <w:snapToGrid w:val="0"/>
        </w:rPr>
      </w:pPr>
      <w:bookmarkStart w:id="47" w:name="_Toc468701078"/>
      <w:r>
        <w:rPr>
          <w:rStyle w:val="CharSectno"/>
        </w:rPr>
        <w:t>46</w:t>
      </w:r>
      <w:r>
        <w:rPr>
          <w:snapToGrid w:val="0"/>
        </w:rPr>
        <w:t>.</w:t>
      </w:r>
      <w:r>
        <w:rPr>
          <w:snapToGrid w:val="0"/>
        </w:rPr>
        <w:tab/>
        <w:t>Real estate settlement agents, functions of</w:t>
      </w:r>
      <w:bookmarkEnd w:id="47"/>
    </w:p>
    <w:p>
      <w:pPr>
        <w:pStyle w:val="Subsection"/>
        <w:spacing w:before="14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40"/>
        <w:rPr>
          <w:snapToGrid w:val="0"/>
        </w:rPr>
      </w:pPr>
      <w:r>
        <w:rPr>
          <w:snapToGrid w:val="0"/>
        </w:rPr>
        <w:tab/>
        <w:t>(2)</w:t>
      </w:r>
      <w:r>
        <w:rPr>
          <w:snapToGrid w:val="0"/>
        </w:rPr>
        <w:tab/>
        <w:t>Notwithstanding any other provision of this section a licensee shall not arrange or effect a settlement of any real estate transaction if the land the subject of that real estate transaction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 or</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 or</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4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 xml:space="preserve">In arranging or effecting a settlement referred to in subsection (1) a licensee may perform the functions set forth in </w:t>
      </w:r>
      <w:r>
        <w:t xml:space="preserve">Schedule 2 clause 1(1) or (2A), </w:t>
      </w:r>
      <w:r>
        <w:rPr>
          <w:snapToGrid w:val="0"/>
        </w:rPr>
        <w:t>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pPr>
        <w:pStyle w:val="Subsection"/>
        <w:rPr>
          <w:snapToGrid w:val="0"/>
        </w:rPr>
      </w:pPr>
      <w:r>
        <w:rPr>
          <w:snapToGrid w:val="0"/>
        </w:rPr>
        <w:tab/>
        <w:t>(6)</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(7)</w:t>
      </w:r>
      <w:r>
        <w:rPr>
          <w:snapToGrid w:val="0"/>
        </w:rPr>
        <w:tab/>
        <w:t>In subsection (6) —</w:t>
      </w:r>
    </w:p>
    <w:p>
      <w:pPr>
        <w:pStyle w:val="Defstart"/>
      </w:pPr>
      <w:r>
        <w:tab/>
      </w:r>
      <w:r>
        <w:rPr>
          <w:rStyle w:val="CharDefText"/>
        </w:rPr>
        <w:t>discharge of mortgage</w:t>
      </w:r>
      <w:r>
        <w:t xml:space="preserve"> includes a withdrawal of a caveat which notifies or protects an unregistered, equitable, or statutory mortgage or charge.</w:t>
      </w:r>
    </w:p>
    <w:p>
      <w:pPr>
        <w:pStyle w:val="Subsection"/>
      </w:pPr>
      <w:r>
        <w:tab/>
        <w:t>(8)</w:t>
      </w:r>
      <w:r>
        <w:tab/>
        <w:t xml:space="preserve">For the purposes of effecting a settlement referred to in subsection (1) that is being or is to be completed (wholly or in part) electronically under the </w:t>
      </w:r>
      <w:r>
        <w:rPr>
          <w:i/>
        </w:rPr>
        <w:t>Electronic Conveyancing Act 2014</w:t>
      </w:r>
      <w:r>
        <w:t xml:space="preserve"> — </w:t>
      </w:r>
    </w:p>
    <w:p>
      <w:pPr>
        <w:pStyle w:val="Indenta"/>
      </w:pPr>
      <w:r>
        <w:tab/>
        <w:t>(a)</w:t>
      </w:r>
      <w:r>
        <w:tab/>
        <w:t>if a licensee who is a natural person holds a real estate settlement agent’s licence and a current triennial certificate and is a subscriber (as defined in section 3(1) of that Act), that licensee may authorise any employee of the licensee to digitally sign documents and provide certifications on that licensee’s behalf; and</w:t>
      </w:r>
    </w:p>
    <w:p>
      <w:pPr>
        <w:pStyle w:val="Indenta"/>
      </w:pPr>
      <w:r>
        <w:tab/>
        <w:t>(b)</w:t>
      </w:r>
      <w:r>
        <w:tab/>
        <w:t>if a licensee that is a firm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pPr>
        <w:pStyle w:val="Indenta"/>
      </w:pPr>
      <w:r>
        <w:tab/>
        <w:t>(c)</w:t>
      </w:r>
      <w:r>
        <w:tab/>
        <w:t>if a licensee that is a body corporate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pPr>
        <w:pStyle w:val="Indenta"/>
      </w:pPr>
      <w:r>
        <w:tab/>
        <w:t>(d)</w:t>
      </w:r>
      <w:r>
        <w:tab/>
        <w:t>subject to any participation rules determined under section 23 of that Act, a person authorised under paragraph (a) or (b) or (c) may digitally sign documents and provide certifications in accordance with that authorisation.</w:t>
      </w:r>
    </w:p>
    <w:p>
      <w:pPr>
        <w:pStyle w:val="Subsection"/>
      </w:pPr>
      <w:r>
        <w:tab/>
        <w:t>(9)</w:t>
      </w:r>
      <w:r>
        <w:tab/>
        <w:t xml:space="preserve">An authorisation given under subsection (8)(a) or (b) or (c) to an employee of a licensee — </w:t>
      </w:r>
    </w:p>
    <w:p>
      <w:pPr>
        <w:pStyle w:val="Indenta"/>
      </w:pPr>
      <w:r>
        <w:tab/>
        <w:t>(a)</w:t>
      </w:r>
      <w:r>
        <w:tab/>
        <w:t>unless sooner revoked, continues for as long as the person remains an employee of the licensee; and</w:t>
      </w:r>
    </w:p>
    <w:p>
      <w:pPr>
        <w:pStyle w:val="Indenta"/>
      </w:pPr>
      <w:r>
        <w:tab/>
        <w:t>(b)</w:t>
      </w:r>
      <w:r>
        <w:tab/>
        <w:t xml:space="preserve">may be revoked by — </w:t>
      </w:r>
    </w:p>
    <w:p>
      <w:pPr>
        <w:pStyle w:val="Indenti"/>
      </w:pPr>
      <w:r>
        <w:tab/>
        <w:t>(i)</w:t>
      </w:r>
      <w:r>
        <w:tab/>
        <w:t>the licensee; or</w:t>
      </w:r>
    </w:p>
    <w:p>
      <w:pPr>
        <w:pStyle w:val="Indenti"/>
      </w:pPr>
      <w:r>
        <w:tab/>
        <w:t>(ii)</w:t>
      </w:r>
      <w:r>
        <w:tab/>
        <w:t>any person who, under subsection (8), is entitled to give authorisations to employees of the licensee, whether or not the person who originally gave the authorisation.</w:t>
      </w:r>
    </w:p>
    <w:p>
      <w:pPr>
        <w:pStyle w:val="Footnotesection"/>
        <w:ind w:left="890" w:hanging="890"/>
      </w:pPr>
      <w:r>
        <w:tab/>
        <w:t>[Section 46 amended by No. 31 of 1997 s. 141; No. 65 of 2003 s. 66(3); No. 38 of 2005 s. 15; No. 21 of 2008 s. 704(3); No. 19 of 2010 s. 51; No. 2 of 2014 s. 57.]</w:t>
      </w:r>
    </w:p>
    <w:p>
      <w:pPr>
        <w:pStyle w:val="Heading5"/>
        <w:rPr>
          <w:snapToGrid w:val="0"/>
        </w:rPr>
      </w:pPr>
      <w:bookmarkStart w:id="48" w:name="_Toc468701079"/>
      <w:r>
        <w:rPr>
          <w:rStyle w:val="CharSectno"/>
        </w:rPr>
        <w:t>47</w:t>
      </w:r>
      <w:r>
        <w:rPr>
          <w:snapToGrid w:val="0"/>
        </w:rPr>
        <w:t>.</w:t>
      </w:r>
      <w:r>
        <w:rPr>
          <w:snapToGrid w:val="0"/>
        </w:rPr>
        <w:tab/>
        <w:t>Business settlement agents, functions of</w:t>
      </w:r>
      <w:bookmarkEnd w:id="48"/>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pPr>
      <w:bookmarkStart w:id="49" w:name="_Toc413409874"/>
      <w:bookmarkStart w:id="50" w:name="_Toc416168548"/>
      <w:bookmarkStart w:id="51" w:name="_Toc468701080"/>
      <w:r>
        <w:rPr>
          <w:rStyle w:val="CharDivNo"/>
        </w:rPr>
        <w:t>Division 2</w:t>
      </w:r>
      <w:r>
        <w:rPr>
          <w:snapToGrid w:val="0"/>
        </w:rPr>
        <w:t> — </w:t>
      </w:r>
      <w:r>
        <w:rPr>
          <w:rStyle w:val="CharDivText"/>
        </w:rPr>
        <w:t>Trust accounts</w:t>
      </w:r>
      <w:bookmarkEnd w:id="49"/>
      <w:bookmarkEnd w:id="50"/>
      <w:bookmarkEnd w:id="51"/>
    </w:p>
    <w:p>
      <w:pPr>
        <w:pStyle w:val="Heading5"/>
        <w:rPr>
          <w:snapToGrid w:val="0"/>
        </w:rPr>
      </w:pPr>
      <w:bookmarkStart w:id="52" w:name="_Toc468701081"/>
      <w:r>
        <w:rPr>
          <w:rStyle w:val="CharSectno"/>
        </w:rPr>
        <w:t>48</w:t>
      </w:r>
      <w:r>
        <w:rPr>
          <w:snapToGrid w:val="0"/>
        </w:rPr>
        <w:t>.</w:t>
      </w:r>
      <w:r>
        <w:rPr>
          <w:snapToGrid w:val="0"/>
        </w:rPr>
        <w:tab/>
        <w:t>Terms used</w:t>
      </w:r>
      <w:bookmarkEnd w:id="52"/>
    </w:p>
    <w:p>
      <w:pPr>
        <w:pStyle w:val="Subsection"/>
        <w:rPr>
          <w:snapToGrid w:val="0"/>
        </w:rPr>
      </w:pPr>
      <w:r>
        <w:rPr>
          <w:snapToGrid w:val="0"/>
        </w:rPr>
        <w:tab/>
      </w:r>
      <w:r>
        <w:rPr>
          <w:snapToGrid w:val="0"/>
        </w:rPr>
        <w:tab/>
        <w:t>In this Division, unless the context otherwise requires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[Section 48 amended by No. 59 of 1995 s. 66; No. 26 of 1999 s. 102(5).]</w:t>
      </w:r>
    </w:p>
    <w:p>
      <w:pPr>
        <w:pStyle w:val="Heading5"/>
        <w:rPr>
          <w:snapToGrid w:val="0"/>
        </w:rPr>
      </w:pPr>
      <w:bookmarkStart w:id="53" w:name="_Toc468701082"/>
      <w:r>
        <w:rPr>
          <w:rStyle w:val="CharSectno"/>
        </w:rPr>
        <w:t>49</w:t>
      </w:r>
      <w:r>
        <w:rPr>
          <w:snapToGrid w:val="0"/>
        </w:rPr>
        <w:t>.</w:t>
      </w:r>
      <w:r>
        <w:rPr>
          <w:snapToGrid w:val="0"/>
        </w:rPr>
        <w:tab/>
        <w:t>Trust accounts etc. of licensees</w:t>
      </w:r>
      <w:bookmarkEnd w:id="53"/>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If —</w:t>
      </w:r>
    </w:p>
    <w:p>
      <w:pPr>
        <w:pStyle w:val="Indenta"/>
      </w:pPr>
      <w:r>
        <w:tab/>
        <w:t>(a)</w:t>
      </w:r>
      <w:r>
        <w:tab/>
        <w:t>a settlement of a real estate transaction or a business transaction is completed; and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In subsection (5a)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spacing w:before="60"/>
        <w:rPr>
          <w:snapToGrid w:val="0"/>
        </w:rPr>
      </w:pPr>
      <w:r>
        <w:rPr>
          <w:snapToGrid w:val="0"/>
        </w:rPr>
        <w:tab/>
        <w:t>(c)</w:t>
      </w:r>
      <w:r>
        <w:rPr>
          <w:snapToGrid w:val="0"/>
        </w:rPr>
        <w:tab/>
        <w:t>keep the accounts in such manner that they can be conveniently and properly audited; and</w:t>
      </w:r>
    </w:p>
    <w:p>
      <w:pPr>
        <w:pStyle w:val="Indenta"/>
        <w:spacing w:before="60"/>
        <w:rPr>
          <w:snapToGrid w:val="0"/>
        </w:rPr>
      </w:pPr>
      <w:r>
        <w:rPr>
          <w:snapToGrid w:val="0"/>
        </w:rPr>
        <w:tab/>
        <w:t>(d)</w:t>
      </w:r>
      <w:r>
        <w:rPr>
          <w:snapToGrid w:val="0"/>
        </w:rPr>
        <w:tab/>
        <w:t>correctly balance the accounts at the end of each month and certify in records that this has been done.</w:t>
      </w:r>
    </w:p>
    <w:p>
      <w:pPr>
        <w:pStyle w:val="Footnotesection"/>
      </w:pPr>
      <w:r>
        <w:tab/>
        <w:t>[Section 49 amended by No. 59 of 1995 s. 67; No. 69 of 2006 s. 36.]</w:t>
      </w:r>
    </w:p>
    <w:p>
      <w:pPr>
        <w:pStyle w:val="Heading5"/>
        <w:rPr>
          <w:snapToGrid w:val="0"/>
        </w:rPr>
      </w:pPr>
      <w:bookmarkStart w:id="54" w:name="_Toc468701083"/>
      <w:r>
        <w:rPr>
          <w:rStyle w:val="CharSectno"/>
        </w:rPr>
        <w:t>49A</w:t>
      </w:r>
      <w:r>
        <w:rPr>
          <w:snapToGrid w:val="0"/>
        </w:rPr>
        <w:t>.</w:t>
      </w:r>
      <w:r>
        <w:rPr>
          <w:snapToGrid w:val="0"/>
        </w:rPr>
        <w:tab/>
        <w:t>Client may ask settlement agent for separate trust account</w:t>
      </w:r>
      <w:bookmarkEnd w:id="54"/>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w:t>
      </w:r>
    </w:p>
    <w:p>
      <w:pPr>
        <w:pStyle w:val="Indenta"/>
        <w:spacing w:before="60"/>
        <w:rPr>
          <w:snapToGrid w:val="0"/>
        </w:rPr>
      </w:pPr>
      <w:r>
        <w:rPr>
          <w:snapToGrid w:val="0"/>
        </w:rPr>
        <w:tab/>
        <w:t>(a)</w:t>
      </w:r>
      <w:r>
        <w:rPr>
          <w:snapToGrid w:val="0"/>
        </w:rPr>
        <w:tab/>
        <w:t>the amount of moneys paid to the settlement agent; or</w:t>
      </w:r>
    </w:p>
    <w:p>
      <w:pPr>
        <w:pStyle w:val="Indenta"/>
        <w:spacing w:before="60"/>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w:t>
      </w:r>
    </w:p>
    <w:p>
      <w:pPr>
        <w:pStyle w:val="Defstart"/>
      </w:pPr>
      <w:r>
        <w:rPr>
          <w:b/>
        </w:rPr>
        <w:tab/>
      </w:r>
      <w:r>
        <w:rPr>
          <w:rStyle w:val="CharDefText"/>
        </w:rPr>
        <w:t>request</w:t>
      </w:r>
      <w:r>
        <w:t xml:space="preserve"> means a request under subsection (1).</w:t>
      </w:r>
    </w:p>
    <w:p>
      <w:pPr>
        <w:pStyle w:val="Footnotesection"/>
      </w:pPr>
      <w:r>
        <w:tab/>
        <w:t>[Section 49A inserted by No. 59 of 1995 s. 68.]</w:t>
      </w:r>
    </w:p>
    <w:p>
      <w:pPr>
        <w:pStyle w:val="Heading5"/>
        <w:rPr>
          <w:snapToGrid w:val="0"/>
        </w:rPr>
      </w:pPr>
      <w:bookmarkStart w:id="55" w:name="_Toc468701084"/>
      <w:r>
        <w:rPr>
          <w:rStyle w:val="CharSectno"/>
        </w:rPr>
        <w:t>49B</w:t>
      </w:r>
      <w:r>
        <w:rPr>
          <w:snapToGrid w:val="0"/>
        </w:rPr>
        <w:t xml:space="preserve">. </w:t>
      </w:r>
      <w:r>
        <w:rPr>
          <w:snapToGrid w:val="0"/>
        </w:rPr>
        <w:tab/>
        <w:t>Interest on trust accounts</w:t>
      </w:r>
      <w:bookmarkEnd w:id="55"/>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Interest Account</w:t>
      </w:r>
      <w:r>
        <w:rPr>
          <w:snapToGrid w:val="0"/>
        </w:rPr>
        <w:t xml:space="preserve">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Where a court convicts an authorised financial institution of an offence under subsection (1) and interest required to be paid under that subsection remains outstanding, the court may, in addition to imposing a penalty, order the institution to pay to the credit of the </w:t>
      </w:r>
      <w:r>
        <w:t>Interest Account</w:t>
      </w:r>
      <w:r>
        <w:rPr>
          <w:snapToGrid w:val="0"/>
        </w:rPr>
        <w:t xml:space="preserve">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[Section 49B inserted by No. 59 of 1995 s. 68; amended by No. 46 of 2009 s. 15(3).]</w:t>
      </w:r>
    </w:p>
    <w:p>
      <w:pPr>
        <w:pStyle w:val="Heading5"/>
        <w:rPr>
          <w:snapToGrid w:val="0"/>
        </w:rPr>
      </w:pPr>
      <w:bookmarkStart w:id="56" w:name="_Toc468701085"/>
      <w:r>
        <w:rPr>
          <w:rStyle w:val="CharSectno"/>
        </w:rPr>
        <w:t>49C</w:t>
      </w:r>
      <w:r>
        <w:rPr>
          <w:snapToGrid w:val="0"/>
        </w:rPr>
        <w:t xml:space="preserve">. </w:t>
      </w:r>
      <w:r>
        <w:rPr>
          <w:snapToGrid w:val="0"/>
        </w:rPr>
        <w:tab/>
        <w:t>Settlement agents to give Commissioner information about trust accounts</w:t>
      </w:r>
      <w:bookmarkEnd w:id="56"/>
    </w:p>
    <w:p>
      <w:pPr>
        <w:pStyle w:val="Subsection"/>
        <w:rPr>
          <w:snapToGrid w:val="0"/>
        </w:rPr>
      </w:pPr>
      <w:r>
        <w:rPr>
          <w:snapToGrid w:val="0"/>
        </w:rPr>
        <w:tab/>
        <w:t>(1)</w:t>
      </w:r>
      <w:r>
        <w:rPr>
          <w:snapToGrid w:val="0"/>
        </w:rPr>
        <w:tab/>
        <w:t xml:space="preserve">When a settlement agent opens or closes a trust account, the settlement agent shall, as soon as is practicable, inform the </w:t>
      </w:r>
      <w:r>
        <w:t>Commissioner</w:t>
      </w:r>
      <w:r>
        <w:rPr>
          <w:snapToGrid w:val="0"/>
        </w:rPr>
        <w:t xml:space="preserve"> in writing of the opening or closure of the trust account and, in doing so, shall specify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If a settlement agent’s trust account is overdrawn, both the settlement agent and the authorised financial institution with which the trust account is maintained shall, as soon as is practicable, inform the </w:t>
      </w:r>
      <w:r>
        <w:t>Commissioner</w:t>
      </w:r>
      <w:r>
        <w:rPr>
          <w:snapToGrid w:val="0"/>
        </w:rPr>
        <w:t xml:space="preserve"> in writing of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[Section 49C inserted by No. 59 of 1995 s. 68; amended by No. 58 of 2010 s. 176.]</w:t>
      </w:r>
    </w:p>
    <w:p>
      <w:pPr>
        <w:pStyle w:val="Heading5"/>
        <w:rPr>
          <w:snapToGrid w:val="0"/>
        </w:rPr>
      </w:pPr>
      <w:bookmarkStart w:id="57" w:name="_Toc468701086"/>
      <w:r>
        <w:rPr>
          <w:rStyle w:val="CharSectno"/>
        </w:rPr>
        <w:t>50</w:t>
      </w:r>
      <w:r>
        <w:rPr>
          <w:snapToGrid w:val="0"/>
        </w:rPr>
        <w:t>.</w:t>
      </w:r>
      <w:r>
        <w:rPr>
          <w:snapToGrid w:val="0"/>
        </w:rPr>
        <w:tab/>
        <w:t>Receipts, accounts etc. by settlement agents</w:t>
      </w:r>
      <w:bookmarkEnd w:id="57"/>
    </w:p>
    <w:p>
      <w:pPr>
        <w:pStyle w:val="Subsection"/>
        <w:rPr>
          <w:snapToGrid w:val="0"/>
        </w:rPr>
      </w:pPr>
      <w:r>
        <w:rPr>
          <w:snapToGrid w:val="0"/>
        </w:rPr>
        <w:tab/>
        <w:t>(1)</w:t>
      </w:r>
      <w:r>
        <w:rPr>
          <w:snapToGrid w:val="0"/>
        </w:rPr>
        <w:tab/>
        <w:t>When a settlement agent receives money for or on behalf of any other person, the agent shall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 xml:space="preserve">Subsection (3) does not apply in the case of a settlement agent if the settlement agent’s auditor certifies to the </w:t>
      </w:r>
      <w:r>
        <w:t>Commissioner</w:t>
      </w:r>
      <w:r>
        <w:rPr>
          <w:snapToGrid w:val="0"/>
        </w:rPr>
        <w:t xml:space="preserve"> that he is satisfied with the system employed by the settlement agent and that the records of moneys received are so kept and entered up as to enable the accounts to be properly and conveniently audited, and the </w:t>
      </w:r>
      <w:r>
        <w:t>Commissioner</w:t>
      </w:r>
      <w:r>
        <w:rPr>
          <w:snapToGrid w:val="0"/>
        </w:rPr>
        <w:t xml:space="preserve">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[Section 50 amended by No. 59 of 1995 s. 69; No. 58 of 2010 s. 176.]</w:t>
      </w:r>
    </w:p>
    <w:p>
      <w:pPr>
        <w:pStyle w:val="Heading5"/>
        <w:rPr>
          <w:snapToGrid w:val="0"/>
        </w:rPr>
      </w:pPr>
      <w:bookmarkStart w:id="58" w:name="_Toc468701087"/>
      <w:r>
        <w:rPr>
          <w:rStyle w:val="CharSectno"/>
        </w:rPr>
        <w:t>51</w:t>
      </w:r>
      <w:r>
        <w:rPr>
          <w:snapToGrid w:val="0"/>
        </w:rPr>
        <w:t>.</w:t>
      </w:r>
      <w:r>
        <w:rPr>
          <w:snapToGrid w:val="0"/>
        </w:rPr>
        <w:tab/>
        <w:t>Audits of trust accounts</w:t>
      </w:r>
      <w:bookmarkEnd w:id="58"/>
    </w:p>
    <w:p>
      <w:pPr>
        <w:pStyle w:val="Subsection"/>
        <w:spacing w:before="150"/>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spacing w:before="150"/>
        <w:rPr>
          <w:snapToGrid w:val="0"/>
        </w:rPr>
      </w:pPr>
      <w:r>
        <w:rPr>
          <w:snapToGrid w:val="0"/>
        </w:rPr>
        <w:tab/>
        <w:t>(2)</w:t>
      </w:r>
      <w:r>
        <w:rPr>
          <w:snapToGrid w:val="0"/>
        </w:rPr>
        <w:tab/>
        <w:t xml:space="preserve">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spacing w:before="150"/>
        <w:rPr>
          <w:snapToGrid w:val="0"/>
        </w:rPr>
      </w:pPr>
      <w:r>
        <w:rPr>
          <w:snapToGrid w:val="0"/>
        </w:rPr>
        <w:tab/>
        <w:t>(3)</w:t>
      </w:r>
      <w:r>
        <w:rPr>
          <w:snapToGrid w:val="0"/>
        </w:rPr>
        <w:tab/>
        <w:t>The auditor shall within 3 months after the end of each year —</w:t>
      </w:r>
    </w:p>
    <w:p>
      <w:pPr>
        <w:pStyle w:val="Indenta"/>
        <w:spacing w:before="60"/>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spacing w:before="60"/>
        <w:rPr>
          <w:snapToGrid w:val="0"/>
        </w:rPr>
      </w:pPr>
      <w:r>
        <w:rPr>
          <w:snapToGrid w:val="0"/>
        </w:rPr>
        <w:tab/>
        <w:t>(b)</w:t>
      </w:r>
      <w:r>
        <w:rPr>
          <w:snapToGrid w:val="0"/>
        </w:rPr>
        <w:tab/>
        <w:t>deliver a copy of the report so verified to the settlement agent.</w:t>
      </w:r>
    </w:p>
    <w:p>
      <w:pPr>
        <w:pStyle w:val="Subsection"/>
        <w:spacing w:before="150"/>
        <w:rPr>
          <w:snapToGrid w:val="0"/>
        </w:rPr>
      </w:pPr>
      <w:r>
        <w:rPr>
          <w:snapToGrid w:val="0"/>
        </w:rPr>
        <w:tab/>
        <w:t>(4)</w:t>
      </w:r>
      <w:r>
        <w:rPr>
          <w:snapToGrid w:val="0"/>
        </w:rPr>
        <w:tab/>
        <w:t>The settlement agent shall retain the copy of the report and produce it on demand pursuant to section 61(3).</w:t>
      </w:r>
    </w:p>
    <w:p>
      <w:pPr>
        <w:pStyle w:val="Subsection"/>
        <w:spacing w:before="150"/>
      </w:pPr>
      <w:r>
        <w:tab/>
        <w:t>(5)</w:t>
      </w:r>
      <w:r>
        <w:tab/>
        <w:t>The Commissioner may, in circumstances he or she considers appropriate, extend the time limit for lodging reports.</w:t>
      </w:r>
    </w:p>
    <w:p>
      <w:pPr>
        <w:pStyle w:val="Subsection"/>
        <w:spacing w:before="150"/>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settlement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settlement agent if the </w:t>
      </w:r>
      <w:r>
        <w:t>Commissioner</w:t>
      </w:r>
      <w:r>
        <w:rPr>
          <w:snapToGrid w:val="0"/>
        </w:rPr>
        <w:t xml:space="preserve"> so directs but otherwise shall be paid by the </w:t>
      </w:r>
      <w:r>
        <w:t>Commissioner</w:t>
      </w:r>
      <w:r>
        <w:rPr>
          <w:snapToGrid w:val="0"/>
        </w:rPr>
        <w:t>.</w:t>
      </w:r>
    </w:p>
    <w:p>
      <w:pPr>
        <w:pStyle w:val="Subsection"/>
        <w:keepNext/>
        <w:rPr>
          <w:snapToGrid w:val="0"/>
        </w:rPr>
      </w:pPr>
      <w:r>
        <w:rPr>
          <w:snapToGrid w:val="0"/>
        </w:rPr>
        <w:tab/>
        <w:t>(8)</w:t>
      </w:r>
      <w:r>
        <w:rPr>
          <w:snapToGrid w:val="0"/>
        </w:rPr>
        <w:tab/>
        <w:t>Apart from the annual audit and any interim audit provided for in this section, there shall be —</w:t>
      </w:r>
    </w:p>
    <w:p>
      <w:pPr>
        <w:pStyle w:val="Indenta"/>
        <w:spacing w:before="60"/>
        <w:rPr>
          <w:snapToGrid w:val="0"/>
        </w:rPr>
      </w:pPr>
      <w:r>
        <w:rPr>
          <w:snapToGrid w:val="0"/>
        </w:rPr>
        <w:tab/>
        <w:t>(a)</w:t>
      </w:r>
      <w:r>
        <w:rPr>
          <w:snapToGrid w:val="0"/>
        </w:rPr>
        <w:tab/>
        <w:t xml:space="preserve">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 and</w:t>
      </w:r>
    </w:p>
    <w:p>
      <w:pPr>
        <w:pStyle w:val="Indenta"/>
        <w:spacing w:before="60"/>
        <w:rPr>
          <w:snapToGrid w:val="0"/>
        </w:rPr>
      </w:pPr>
      <w:r>
        <w:rPr>
          <w:snapToGrid w:val="0"/>
        </w:rPr>
        <w:tab/>
        <w:t>(b)</w:t>
      </w:r>
      <w:r>
        <w:rPr>
          <w:snapToGrid w:val="0"/>
        </w:rPr>
        <w:tab/>
        <w:t xml:space="preserve">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w:t>
      </w:r>
      <w:r>
        <w:t>Commissioner</w:t>
      </w:r>
      <w:r>
        <w:rPr>
          <w:snapToGrid w:val="0"/>
        </w:rPr>
        <w:t xml:space="preserve"> a report of such termination audit.</w:t>
      </w:r>
    </w:p>
    <w:p>
      <w:pPr>
        <w:pStyle w:val="Subsection"/>
        <w:rPr>
          <w:snapToGrid w:val="0"/>
        </w:rPr>
      </w:pPr>
      <w:r>
        <w:rPr>
          <w:snapToGrid w:val="0"/>
        </w:rPr>
        <w:tab/>
        <w:t>(9)</w:t>
      </w:r>
      <w:r>
        <w:rPr>
          <w:snapToGrid w:val="0"/>
        </w:rPr>
        <w:tab/>
        <w:t xml:space="preserve">The </w:t>
      </w:r>
      <w:r>
        <w:t>Commissioner</w:t>
      </w:r>
      <w:r>
        <w:rPr>
          <w:snapToGrid w:val="0"/>
        </w:rPr>
        <w:t xml:space="preserve"> may, if the </w:t>
      </w:r>
      <w:r>
        <w:t>Commissioner</w:t>
      </w:r>
      <w:r>
        <w:rPr>
          <w:snapToGrid w:val="0"/>
        </w:rPr>
        <w:t xml:space="preserve"> thinks fit, waive in respect of a settlement agent’s trust accounts the requirement of a quarterly audit mentioned in subsection (8).</w:t>
      </w:r>
    </w:p>
    <w:p>
      <w:pPr>
        <w:pStyle w:val="Footnotesection"/>
      </w:pPr>
      <w:r>
        <w:tab/>
        <w:t>[Section 51 amended by No. 58 of 2010 s. 147 and 176.]</w:t>
      </w:r>
    </w:p>
    <w:p>
      <w:pPr>
        <w:pStyle w:val="Heading5"/>
        <w:rPr>
          <w:snapToGrid w:val="0"/>
        </w:rPr>
      </w:pPr>
      <w:bookmarkStart w:id="59" w:name="_Toc468701088"/>
      <w:r>
        <w:rPr>
          <w:rStyle w:val="CharSectno"/>
        </w:rPr>
        <w:t>52</w:t>
      </w:r>
      <w:r>
        <w:rPr>
          <w:snapToGrid w:val="0"/>
        </w:rPr>
        <w:t>.</w:t>
      </w:r>
      <w:r>
        <w:rPr>
          <w:snapToGrid w:val="0"/>
        </w:rPr>
        <w:tab/>
        <w:t>Date of audit, Commissioner may change</w:t>
      </w:r>
      <w:bookmarkEnd w:id="59"/>
    </w:p>
    <w:p>
      <w:pPr>
        <w:pStyle w:val="Subsection"/>
        <w:rPr>
          <w:snapToGrid w:val="0"/>
        </w:rPr>
      </w:pPr>
      <w:r>
        <w:rPr>
          <w:snapToGrid w:val="0"/>
        </w:rPr>
        <w:tab/>
        <w:t>(1)</w:t>
      </w:r>
      <w:r>
        <w:rPr>
          <w:snapToGrid w:val="0"/>
        </w:rPr>
        <w:tab/>
        <w:t xml:space="preserve">Notwithstanding anything else in this Division a settlement agent may apply in writing to the </w:t>
      </w:r>
      <w:r>
        <w:t>Commissioner</w:t>
      </w:r>
      <w:r>
        <w:rPr>
          <w:snapToGrid w:val="0"/>
        </w:rPr>
        <w:t xml:space="preserve"> to fix some date other than 30 June, as the date up to which his trust accounts are to be audited, and the </w:t>
      </w:r>
      <w:r>
        <w:t>Commissioner</w:t>
      </w:r>
      <w:r>
        <w:rPr>
          <w:snapToGrid w:val="0"/>
        </w:rPr>
        <w:t xml:space="preserve"> may, in its discretion, permit the settlement agent to substitute such other date for 30 June.</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 xml:space="preserve">When any date has been substituted for 30 June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52 amended by No. 58 of 2010 s. 176.]</w:t>
      </w:r>
    </w:p>
    <w:p>
      <w:pPr>
        <w:pStyle w:val="Heading5"/>
        <w:rPr>
          <w:snapToGrid w:val="0"/>
        </w:rPr>
      </w:pPr>
      <w:bookmarkStart w:id="60" w:name="_Toc468701089"/>
      <w:r>
        <w:rPr>
          <w:rStyle w:val="CharSectno"/>
        </w:rPr>
        <w:t>53</w:t>
      </w:r>
      <w:r>
        <w:rPr>
          <w:snapToGrid w:val="0"/>
        </w:rPr>
        <w:t>.</w:t>
      </w:r>
      <w:r>
        <w:rPr>
          <w:snapToGrid w:val="0"/>
        </w:rPr>
        <w:tab/>
        <w:t>Auditors, qualification and approval of</w:t>
      </w:r>
      <w:bookmarkEnd w:id="60"/>
    </w:p>
    <w:p>
      <w:pPr>
        <w:pStyle w:val="Subsection"/>
        <w:spacing w:before="140"/>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spacing w:before="140"/>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spacing w:before="140"/>
        <w:rPr>
          <w:snapToGrid w:val="0"/>
        </w:rPr>
      </w:pPr>
      <w:r>
        <w:rPr>
          <w:snapToGrid w:val="0"/>
        </w:rPr>
        <w:tab/>
        <w:t>(3)</w:t>
      </w:r>
      <w:r>
        <w:rPr>
          <w:snapToGrid w:val="0"/>
        </w:rPr>
        <w:tab/>
        <w:t xml:space="preserve">An auditor shall disclose to the </w:t>
      </w:r>
      <w:r>
        <w:t>Commissioner</w:t>
      </w:r>
      <w:r>
        <w:rPr>
          <w:snapToGrid w:val="0"/>
        </w:rPr>
        <w:t xml:space="preserve">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spacing w:before="100"/>
      </w:pPr>
      <w:r>
        <w:tab/>
        <w:t>[Section 53 amended by No. 10 of 1982 s. 28; No. 59 of 1995 s. 70; No. 10 of 2001 s. 220; No. 28 of 2003 s. 181; No. 58 of 2010 s. 176.]</w:t>
      </w:r>
    </w:p>
    <w:p>
      <w:pPr>
        <w:pStyle w:val="Heading5"/>
        <w:rPr>
          <w:snapToGrid w:val="0"/>
        </w:rPr>
      </w:pPr>
      <w:bookmarkStart w:id="61" w:name="_Toc468701090"/>
      <w:r>
        <w:rPr>
          <w:rStyle w:val="CharSectno"/>
        </w:rPr>
        <w:t>54</w:t>
      </w:r>
      <w:r>
        <w:rPr>
          <w:snapToGrid w:val="0"/>
        </w:rPr>
        <w:t>.</w:t>
      </w:r>
      <w:r>
        <w:rPr>
          <w:snapToGrid w:val="0"/>
        </w:rPr>
        <w:tab/>
        <w:t>Auditors, appointment of</w:t>
      </w:r>
      <w:bookmarkEnd w:id="61"/>
    </w:p>
    <w:p>
      <w:pPr>
        <w:pStyle w:val="Subsection"/>
        <w:spacing w:before="140"/>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spacing w:before="140"/>
        <w:rPr>
          <w:snapToGrid w:val="0"/>
        </w:rPr>
      </w:pPr>
      <w:r>
        <w:rPr>
          <w:snapToGrid w:val="0"/>
        </w:rPr>
        <w:tab/>
        <w:t>(2)</w:t>
      </w:r>
      <w:r>
        <w:rPr>
          <w:snapToGrid w:val="0"/>
        </w:rPr>
        <w:tab/>
        <w:t>A settlement agent shall appoint his auditor at the time of applying for his licence.</w:t>
      </w:r>
    </w:p>
    <w:p>
      <w:pPr>
        <w:pStyle w:val="Subsection"/>
        <w:spacing w:before="140"/>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spacing w:before="100"/>
      </w:pPr>
      <w:r>
        <w:tab/>
        <w:t>[Section 54 amended by No. 58 of 2010 s. 176.]</w:t>
      </w:r>
    </w:p>
    <w:p>
      <w:pPr>
        <w:pStyle w:val="Heading5"/>
        <w:rPr>
          <w:snapToGrid w:val="0"/>
        </w:rPr>
      </w:pPr>
      <w:bookmarkStart w:id="62" w:name="_Toc468701091"/>
      <w:r>
        <w:rPr>
          <w:rStyle w:val="CharSectno"/>
        </w:rPr>
        <w:t>55</w:t>
      </w:r>
      <w:r>
        <w:rPr>
          <w:snapToGrid w:val="0"/>
        </w:rPr>
        <w:t>.</w:t>
      </w:r>
      <w:r>
        <w:rPr>
          <w:snapToGrid w:val="0"/>
        </w:rPr>
        <w:tab/>
        <w:t>Audit of business carried on at more than one place, directions as to</w:t>
      </w:r>
      <w:bookmarkEnd w:id="62"/>
    </w:p>
    <w:p>
      <w:pPr>
        <w:pStyle w:val="Subsection"/>
        <w:rPr>
          <w:snapToGrid w:val="0"/>
        </w:rPr>
      </w:pPr>
      <w:r>
        <w:rPr>
          <w:snapToGrid w:val="0"/>
        </w:rPr>
        <w:tab/>
      </w:r>
      <w:r>
        <w:rPr>
          <w:snapToGrid w:val="0"/>
        </w:rPr>
        <w:tab/>
        <w:t xml:space="preserve">In the event of a settlement agent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r>
        <w:tab/>
        <w:t>[Section 55 amended by No. 58 of 2010 s. 176.]</w:t>
      </w:r>
    </w:p>
    <w:p>
      <w:pPr>
        <w:pStyle w:val="Heading5"/>
        <w:rPr>
          <w:snapToGrid w:val="0"/>
        </w:rPr>
      </w:pPr>
      <w:bookmarkStart w:id="63" w:name="_Toc468701092"/>
      <w:r>
        <w:rPr>
          <w:rStyle w:val="CharSectno"/>
        </w:rPr>
        <w:t>56</w:t>
      </w:r>
      <w:r>
        <w:rPr>
          <w:snapToGrid w:val="0"/>
        </w:rPr>
        <w:t>.</w:t>
      </w:r>
      <w:r>
        <w:rPr>
          <w:snapToGrid w:val="0"/>
        </w:rPr>
        <w:tab/>
        <w:t>Approvals etc. under this Division, Commissioner’s power to cancel etc.</w:t>
      </w:r>
      <w:bookmarkEnd w:id="63"/>
    </w:p>
    <w:p>
      <w:pPr>
        <w:pStyle w:val="Subsection"/>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56 amended by No. 58 of 2010 s. 176.]</w:t>
      </w:r>
    </w:p>
    <w:p>
      <w:pPr>
        <w:pStyle w:val="Ednotesection"/>
      </w:pPr>
      <w:r>
        <w:t>[</w:t>
      </w:r>
      <w:r>
        <w:rPr>
          <w:b/>
        </w:rPr>
        <w:t>57.</w:t>
      </w:r>
      <w:r>
        <w:tab/>
        <w:t>Deleted by No. 55 of 2004 s. 1088.]</w:t>
      </w:r>
    </w:p>
    <w:p>
      <w:pPr>
        <w:pStyle w:val="Heading5"/>
        <w:rPr>
          <w:snapToGrid w:val="0"/>
        </w:rPr>
      </w:pPr>
      <w:bookmarkStart w:id="64" w:name="_Toc468701093"/>
      <w:r>
        <w:rPr>
          <w:rStyle w:val="CharSectno"/>
        </w:rPr>
        <w:t>58</w:t>
      </w:r>
      <w:r>
        <w:rPr>
          <w:snapToGrid w:val="0"/>
        </w:rPr>
        <w:t>.</w:t>
      </w:r>
      <w:r>
        <w:rPr>
          <w:snapToGrid w:val="0"/>
        </w:rPr>
        <w:tab/>
        <w:t>Audits, settlement agents’ duties and auditors’ powers as to</w:t>
      </w:r>
      <w:bookmarkEnd w:id="64"/>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65" w:name="_Toc468701094"/>
      <w:r>
        <w:rPr>
          <w:rStyle w:val="CharSectno"/>
        </w:rPr>
        <w:t>59</w:t>
      </w:r>
      <w:r>
        <w:rPr>
          <w:snapToGrid w:val="0"/>
        </w:rPr>
        <w:t>.</w:t>
      </w:r>
      <w:r>
        <w:rPr>
          <w:snapToGrid w:val="0"/>
        </w:rPr>
        <w:tab/>
        <w:t>Audits, bankers’ duties as to</w:t>
      </w:r>
      <w:bookmarkEnd w:id="65"/>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66" w:name="_Toc468701095"/>
      <w:r>
        <w:rPr>
          <w:rStyle w:val="CharSectno"/>
        </w:rPr>
        <w:t>60</w:t>
      </w:r>
      <w:r>
        <w:rPr>
          <w:snapToGrid w:val="0"/>
        </w:rPr>
        <w:t>.</w:t>
      </w:r>
      <w:r>
        <w:rPr>
          <w:snapToGrid w:val="0"/>
        </w:rPr>
        <w:tab/>
        <w:t>Auditors’ reports, content of</w:t>
      </w:r>
      <w:bookmarkEnd w:id="66"/>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 and</w:t>
      </w:r>
    </w:p>
    <w:p>
      <w:pPr>
        <w:pStyle w:val="Indenta"/>
        <w:rPr>
          <w:snapToGrid w:val="0"/>
        </w:rPr>
      </w:pPr>
      <w:r>
        <w:rPr>
          <w:snapToGrid w:val="0"/>
        </w:rPr>
        <w:tab/>
        <w:t>(b)</w:t>
      </w:r>
      <w:r>
        <w:rPr>
          <w:snapToGrid w:val="0"/>
        </w:rPr>
        <w:tab/>
        <w:t>whether the trust accounts of such settlement agent have been ready for examination at the periods appointed by the auditor; and</w:t>
      </w:r>
    </w:p>
    <w:p>
      <w:pPr>
        <w:pStyle w:val="Indenta"/>
        <w:rPr>
          <w:snapToGrid w:val="0"/>
        </w:rPr>
      </w:pPr>
      <w:r>
        <w:rPr>
          <w:snapToGrid w:val="0"/>
        </w:rPr>
        <w:tab/>
        <w:t>(c)</w:t>
      </w:r>
      <w:r>
        <w:rPr>
          <w:snapToGrid w:val="0"/>
        </w:rPr>
        <w:tab/>
        <w:t>whether such settlement agent has complied with the auditor’s requirements; and</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any matter or thing in relation to such trust accounts which should in the opinion of the auditor be communicated to the </w:t>
      </w:r>
      <w:r>
        <w:t>Commissioner</w:t>
      </w:r>
      <w:r>
        <w:rPr>
          <w:snapToGrid w:val="0"/>
        </w:rPr>
        <w:t>.</w:t>
      </w:r>
    </w:p>
    <w:p>
      <w:pPr>
        <w:pStyle w:val="Footnotesection"/>
        <w:spacing w:before="100"/>
        <w:ind w:left="890" w:hanging="890"/>
      </w:pPr>
      <w:r>
        <w:tab/>
        <w:t>[Section 60 amended by No. 64 of 1982 s. 4; No. 59 of 1995 s. 71; No. 58 of 2010 s. 176.]</w:t>
      </w:r>
    </w:p>
    <w:p>
      <w:pPr>
        <w:pStyle w:val="Heading5"/>
        <w:rPr>
          <w:snapToGrid w:val="0"/>
        </w:rPr>
      </w:pPr>
      <w:bookmarkStart w:id="67" w:name="_Toc468701096"/>
      <w:r>
        <w:rPr>
          <w:rStyle w:val="CharSectno"/>
        </w:rPr>
        <w:t>61</w:t>
      </w:r>
      <w:r>
        <w:rPr>
          <w:snapToGrid w:val="0"/>
        </w:rPr>
        <w:t>.</w:t>
      </w:r>
      <w:r>
        <w:rPr>
          <w:snapToGrid w:val="0"/>
        </w:rPr>
        <w:tab/>
        <w:t>Moneys etc. held on trust, statement of by settlement agents</w:t>
      </w:r>
      <w:bookmarkEnd w:id="67"/>
    </w:p>
    <w:p>
      <w:pPr>
        <w:pStyle w:val="Subsection"/>
        <w:spacing w:before="120"/>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w:t>
      </w:r>
    </w:p>
    <w:p>
      <w:pPr>
        <w:pStyle w:val="Indenta"/>
        <w:spacing w:before="60"/>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spacing w:before="60"/>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spacing w:before="120"/>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spacing w:before="120"/>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68" w:name="_Toc468701097"/>
      <w:r>
        <w:rPr>
          <w:rStyle w:val="CharSectno"/>
        </w:rPr>
        <w:t>62</w:t>
      </w:r>
      <w:r>
        <w:rPr>
          <w:snapToGrid w:val="0"/>
        </w:rPr>
        <w:t>.</w:t>
      </w:r>
      <w:r>
        <w:rPr>
          <w:snapToGrid w:val="0"/>
        </w:rPr>
        <w:tab/>
        <w:t>Auditor’s report to report breaches of law etc.</w:t>
      </w:r>
      <w:bookmarkEnd w:id="68"/>
    </w:p>
    <w:p>
      <w:pPr>
        <w:pStyle w:val="Subsection"/>
        <w:rPr>
          <w:snapToGrid w:val="0"/>
        </w:rPr>
      </w:pPr>
      <w:r>
        <w:rPr>
          <w:snapToGrid w:val="0"/>
        </w:rPr>
        <w:tab/>
      </w:r>
      <w:r>
        <w:rPr>
          <w:snapToGrid w:val="0"/>
        </w:rPr>
        <w:tab/>
        <w:t xml:space="preserve">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spacing w:before="100"/>
        <w:ind w:left="890" w:hanging="890"/>
      </w:pPr>
      <w:r>
        <w:tab/>
        <w:t>[Section 62 amended by No. 58 of 2010 s. 176.]</w:t>
      </w:r>
    </w:p>
    <w:p>
      <w:pPr>
        <w:pStyle w:val="Heading5"/>
        <w:spacing w:before="180"/>
        <w:rPr>
          <w:snapToGrid w:val="0"/>
        </w:rPr>
      </w:pPr>
      <w:bookmarkStart w:id="69" w:name="_Toc468701098"/>
      <w:r>
        <w:rPr>
          <w:rStyle w:val="CharSectno"/>
        </w:rPr>
        <w:t>63</w:t>
      </w:r>
      <w:r>
        <w:rPr>
          <w:snapToGrid w:val="0"/>
        </w:rPr>
        <w:t>.</w:t>
      </w:r>
      <w:r>
        <w:rPr>
          <w:snapToGrid w:val="0"/>
        </w:rPr>
        <w:tab/>
        <w:t>Auditors’ duty of confidentiality</w:t>
      </w:r>
      <w:bookmarkEnd w:id="69"/>
    </w:p>
    <w:p>
      <w:pPr>
        <w:pStyle w:val="Subsection"/>
        <w:spacing w:before="140"/>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spacing w:before="140"/>
        <w:rPr>
          <w:snapToGrid w:val="0"/>
        </w:rPr>
      </w:pPr>
      <w:r>
        <w:rPr>
          <w:snapToGrid w:val="0"/>
        </w:rPr>
        <w:tab/>
        <w:t>(2)</w:t>
      </w:r>
      <w:r>
        <w:rPr>
          <w:snapToGrid w:val="0"/>
        </w:rPr>
        <w:tab/>
        <w:t>An auditor is not guilty of a breach of subsection (1) by disclosing information —</w:t>
      </w:r>
    </w:p>
    <w:p>
      <w:pPr>
        <w:pStyle w:val="Indenta"/>
        <w:spacing w:before="60"/>
        <w:rPr>
          <w:snapToGrid w:val="0"/>
        </w:rPr>
      </w:pPr>
      <w:r>
        <w:rPr>
          <w:snapToGrid w:val="0"/>
        </w:rPr>
        <w:tab/>
        <w:t>(a)</w:t>
      </w:r>
      <w:r>
        <w:rPr>
          <w:snapToGrid w:val="0"/>
        </w:rPr>
        <w:tab/>
        <w:t>by means of or in a report made pursuant to this Division; or</w:t>
      </w:r>
    </w:p>
    <w:p>
      <w:pPr>
        <w:pStyle w:val="Indenta"/>
        <w:spacing w:before="60"/>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spacing w:before="180"/>
        <w:rPr>
          <w:snapToGrid w:val="0"/>
        </w:rPr>
      </w:pPr>
      <w:bookmarkStart w:id="70" w:name="_Toc468701099"/>
      <w:r>
        <w:rPr>
          <w:rStyle w:val="CharSectno"/>
        </w:rPr>
        <w:t>64</w:t>
      </w:r>
      <w:r>
        <w:rPr>
          <w:snapToGrid w:val="0"/>
        </w:rPr>
        <w:t>.</w:t>
      </w:r>
      <w:r>
        <w:rPr>
          <w:snapToGrid w:val="0"/>
        </w:rPr>
        <w:tab/>
        <w:t>Right of some persons to information in auditors’ reports</w:t>
      </w:r>
      <w:bookmarkEnd w:id="70"/>
    </w:p>
    <w:p>
      <w:pPr>
        <w:pStyle w:val="Subsection"/>
        <w:spacing w:before="140"/>
        <w:rPr>
          <w:snapToGrid w:val="0"/>
        </w:rPr>
      </w:pPr>
      <w:r>
        <w:rPr>
          <w:snapToGrid w:val="0"/>
        </w:rPr>
        <w:tab/>
        <w:t>(1)</w:t>
      </w:r>
      <w:r>
        <w:rPr>
          <w:snapToGrid w:val="0"/>
        </w:rPr>
        <w:tab/>
        <w:t xml:space="preserve">On request by any person interested in any moneys or securities held or which ought to be held or which have been received by a settlement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Division as affects or may affect such person.</w:t>
      </w:r>
    </w:p>
    <w:p>
      <w:pPr>
        <w:pStyle w:val="Subsection"/>
        <w:spacing w:before="140"/>
        <w:rPr>
          <w:snapToGrid w:val="0"/>
        </w:rPr>
      </w:pPr>
      <w:r>
        <w:rPr>
          <w:snapToGrid w:val="0"/>
        </w:rPr>
        <w:tab/>
        <w:t>(2)</w:t>
      </w:r>
      <w:r>
        <w:rPr>
          <w:snapToGrid w:val="0"/>
        </w:rPr>
        <w:tab/>
        <w:t xml:space="preserve">A report of an auditor under this Division or a statutory declaration, statement, or other document delivered to the </w:t>
      </w:r>
      <w:r>
        <w:t>Commissioner under this Division shall be available under the supervision of the Commissioner</w:t>
      </w:r>
      <w:r>
        <w:rPr>
          <w:snapToGrid w:val="0"/>
        </w:rPr>
        <w:t xml:space="preserve"> for inspection by any other auditor appointed to audit the accounts of the same settlement agent for the next succeeding year.</w:t>
      </w:r>
    </w:p>
    <w:p>
      <w:pPr>
        <w:pStyle w:val="Footnotesection"/>
        <w:spacing w:before="100"/>
        <w:ind w:left="890" w:hanging="890"/>
      </w:pPr>
      <w:r>
        <w:tab/>
        <w:t>[Section 64 amended by No. 58 of 2010 s. 148 and 176.]</w:t>
      </w:r>
    </w:p>
    <w:p>
      <w:pPr>
        <w:pStyle w:val="Heading5"/>
        <w:rPr>
          <w:snapToGrid w:val="0"/>
        </w:rPr>
      </w:pPr>
      <w:bookmarkStart w:id="71" w:name="_Toc468701100"/>
      <w:r>
        <w:rPr>
          <w:rStyle w:val="CharSectno"/>
        </w:rPr>
        <w:t>65</w:t>
      </w:r>
      <w:r>
        <w:rPr>
          <w:snapToGrid w:val="0"/>
        </w:rPr>
        <w:t>.</w:t>
      </w:r>
      <w:r>
        <w:rPr>
          <w:snapToGrid w:val="0"/>
        </w:rPr>
        <w:tab/>
        <w:t>Offences under this Division</w:t>
      </w:r>
      <w:bookmarkEnd w:id="71"/>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65 amended by No. 59 of 1995 s. 72.]</w:t>
      </w:r>
    </w:p>
    <w:p>
      <w:pPr>
        <w:pStyle w:val="Heading5"/>
        <w:rPr>
          <w:snapToGrid w:val="0"/>
        </w:rPr>
      </w:pPr>
      <w:bookmarkStart w:id="72" w:name="_Toc468701101"/>
      <w:r>
        <w:rPr>
          <w:rStyle w:val="CharSectno"/>
        </w:rPr>
        <w:t>66</w:t>
      </w:r>
      <w:r>
        <w:rPr>
          <w:snapToGrid w:val="0"/>
        </w:rPr>
        <w:t>.</w:t>
      </w:r>
      <w:r>
        <w:rPr>
          <w:snapToGrid w:val="0"/>
        </w:rPr>
        <w:tab/>
        <w:t>Auditors’ remuneration</w:t>
      </w:r>
      <w:bookmarkEnd w:id="72"/>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73" w:name="_Toc468701102"/>
      <w:r>
        <w:rPr>
          <w:rStyle w:val="CharSectno"/>
        </w:rPr>
        <w:t>67</w:t>
      </w:r>
      <w:r>
        <w:rPr>
          <w:snapToGrid w:val="0"/>
        </w:rPr>
        <w:t>.</w:t>
      </w:r>
      <w:r>
        <w:rPr>
          <w:snapToGrid w:val="0"/>
        </w:rPr>
        <w:tab/>
        <w:t>Settlement agents with no accounts to audit</w:t>
      </w:r>
      <w:bookmarkEnd w:id="73"/>
    </w:p>
    <w:p>
      <w:pPr>
        <w:pStyle w:val="Subsection"/>
        <w:rPr>
          <w:snapToGrid w:val="0"/>
        </w:rPr>
      </w:pPr>
      <w:r>
        <w:rPr>
          <w:snapToGrid w:val="0"/>
        </w:rPr>
        <w:tab/>
      </w:r>
      <w:r>
        <w:rPr>
          <w:snapToGrid w:val="0"/>
        </w:rPr>
        <w:tab/>
        <w:t xml:space="preserve">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w:t>
      </w:r>
      <w:r>
        <w:t>Commissioner</w:t>
      </w:r>
      <w:r>
        <w:rPr>
          <w:snapToGrid w:val="0"/>
        </w:rPr>
        <w:t>.</w:t>
      </w:r>
    </w:p>
    <w:p>
      <w:pPr>
        <w:pStyle w:val="Footnotesection"/>
      </w:pPr>
      <w:r>
        <w:tab/>
        <w:t>[Section 67 amended by No. 58 of 2010 s. 176.]</w:t>
      </w:r>
    </w:p>
    <w:p>
      <w:pPr>
        <w:pStyle w:val="Heading5"/>
        <w:rPr>
          <w:snapToGrid w:val="0"/>
        </w:rPr>
      </w:pPr>
      <w:bookmarkStart w:id="74" w:name="_Toc468701103"/>
      <w:r>
        <w:rPr>
          <w:rStyle w:val="CharSectno"/>
        </w:rPr>
        <w:t>68</w:t>
      </w:r>
      <w:r>
        <w:rPr>
          <w:snapToGrid w:val="0"/>
        </w:rPr>
        <w:t>.</w:t>
      </w:r>
      <w:r>
        <w:rPr>
          <w:snapToGrid w:val="0"/>
        </w:rPr>
        <w:tab/>
        <w:t>Accounts of firm or body corporate or settlement agent with branch office, effect of audits as to</w:t>
      </w:r>
      <w:bookmarkEnd w:id="74"/>
    </w:p>
    <w:p>
      <w:pPr>
        <w:pStyle w:val="Subsection"/>
        <w:spacing w:before="140"/>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spacing w:before="140"/>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spacing w:before="140"/>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75" w:name="_Toc468701104"/>
      <w:r>
        <w:rPr>
          <w:rStyle w:val="CharSectno"/>
        </w:rPr>
        <w:t>69</w:t>
      </w:r>
      <w:r>
        <w:rPr>
          <w:snapToGrid w:val="0"/>
        </w:rPr>
        <w:t>.</w:t>
      </w:r>
      <w:r>
        <w:rPr>
          <w:snapToGrid w:val="0"/>
        </w:rPr>
        <w:tab/>
        <w:t>Audit of trust account, Commissioner may do</w:t>
      </w:r>
      <w:bookmarkEnd w:id="75"/>
    </w:p>
    <w:p>
      <w:pPr>
        <w:pStyle w:val="Subsection"/>
        <w:spacing w:before="140"/>
        <w:rPr>
          <w:snapToGrid w:val="0"/>
        </w:rPr>
      </w:pPr>
      <w:r>
        <w:rPr>
          <w:snapToGrid w:val="0"/>
        </w:rPr>
        <w:tab/>
      </w:r>
      <w:r>
        <w:rPr>
          <w:snapToGrid w:val="0"/>
        </w:rPr>
        <w:tab/>
        <w:t xml:space="preserve">Without prejudice to the operation of the foregoing provisions of this Division, where the </w:t>
      </w:r>
      <w:r>
        <w:t>Commissioner</w:t>
      </w:r>
      <w:r>
        <w:rPr>
          <w:snapToGrid w:val="0"/>
        </w:rPr>
        <w:t xml:space="preserve"> is of opinion that it is in the public interest to do </w:t>
      </w:r>
      <w:r>
        <w:t>so, the Commissioner</w:t>
      </w:r>
      <w:r>
        <w:rPr>
          <w:snapToGrid w:val="0"/>
        </w:rPr>
        <w:t xml:space="preserve"> may, at any time, cause the trust accounts of a settlement agent to be audited by an auditor nominated in writing by the </w:t>
      </w:r>
      <w:r>
        <w:t>Commissioner</w:t>
      </w:r>
      <w:r>
        <w:rPr>
          <w:snapToGrid w:val="0"/>
        </w:rPr>
        <w:t xml:space="preserve"> for that purpose.</w:t>
      </w:r>
    </w:p>
    <w:p>
      <w:pPr>
        <w:pStyle w:val="Footnotesection"/>
      </w:pPr>
      <w:r>
        <w:tab/>
        <w:t>[Section 69 amended by No. 58 of 2010 s. 176.]</w:t>
      </w:r>
    </w:p>
    <w:p>
      <w:pPr>
        <w:pStyle w:val="Heading5"/>
        <w:rPr>
          <w:snapToGrid w:val="0"/>
        </w:rPr>
      </w:pPr>
      <w:bookmarkStart w:id="76" w:name="_Toc468701105"/>
      <w:r>
        <w:rPr>
          <w:rStyle w:val="CharSectno"/>
        </w:rPr>
        <w:t>70</w:t>
      </w:r>
      <w:r>
        <w:rPr>
          <w:snapToGrid w:val="0"/>
        </w:rPr>
        <w:t>.</w:t>
      </w:r>
      <w:r>
        <w:rPr>
          <w:snapToGrid w:val="0"/>
        </w:rPr>
        <w:tab/>
        <w:t>Settlement agent to allow Commissioner’s auditor etc. to inspect accounts etc.</w:t>
      </w:r>
      <w:bookmarkEnd w:id="76"/>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w:t>
      </w:r>
    </w:p>
    <w:p>
      <w:pPr>
        <w:pStyle w:val="Indenta"/>
        <w:rPr>
          <w:snapToGrid w:val="0"/>
        </w:rPr>
      </w:pPr>
      <w:r>
        <w:rPr>
          <w:snapToGrid w:val="0"/>
        </w:rPr>
        <w:tab/>
        <w:t>(a)</w:t>
      </w:r>
      <w:r>
        <w:rPr>
          <w:snapToGrid w:val="0"/>
        </w:rPr>
        <w:tab/>
        <w:t xml:space="preserve">by the auditor nominated by the </w:t>
      </w:r>
      <w:r>
        <w:t>Commissioner</w:t>
      </w:r>
      <w:r>
        <w:rPr>
          <w:snapToGrid w:val="0"/>
        </w:rPr>
        <w:t>;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Footnotesection"/>
      </w:pPr>
      <w:r>
        <w:tab/>
        <w:t>[Section 70 amended by No. 58 of 2010 s. 176.]</w:t>
      </w:r>
    </w:p>
    <w:p>
      <w:pPr>
        <w:pStyle w:val="Heading5"/>
        <w:spacing w:before="240"/>
        <w:rPr>
          <w:snapToGrid w:val="0"/>
        </w:rPr>
      </w:pPr>
      <w:bookmarkStart w:id="77" w:name="_Toc468701106"/>
      <w:r>
        <w:rPr>
          <w:rStyle w:val="CharSectno"/>
        </w:rPr>
        <w:t>71</w:t>
      </w:r>
      <w:r>
        <w:rPr>
          <w:snapToGrid w:val="0"/>
        </w:rPr>
        <w:t>.</w:t>
      </w:r>
      <w:r>
        <w:rPr>
          <w:snapToGrid w:val="0"/>
        </w:rPr>
        <w:tab/>
        <w:t>Cost of audit done under s. 69</w:t>
      </w:r>
      <w:bookmarkEnd w:id="77"/>
    </w:p>
    <w:p>
      <w:pPr>
        <w:pStyle w:val="Subsection"/>
        <w:rPr>
          <w:snapToGrid w:val="0"/>
        </w:rPr>
      </w:pPr>
      <w:r>
        <w:rPr>
          <w:snapToGrid w:val="0"/>
        </w:rPr>
        <w:tab/>
        <w:t>(1)</w:t>
      </w:r>
      <w:r>
        <w:rPr>
          <w:snapToGrid w:val="0"/>
        </w:rPr>
        <w:tab/>
        <w:t xml:space="preserve">The cost of an audit carried out pursuant to section 69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or by the settlement agent whose trust accounts have been the subject of the audit.</w:t>
      </w:r>
    </w:p>
    <w:p>
      <w:pPr>
        <w:pStyle w:val="Subsection"/>
        <w:rPr>
          <w:snapToGrid w:val="0"/>
        </w:rPr>
      </w:pPr>
      <w:r>
        <w:rPr>
          <w:snapToGrid w:val="0"/>
        </w:rPr>
        <w:tab/>
        <w:t>(2)</w:t>
      </w:r>
      <w:r>
        <w:rPr>
          <w:snapToGrid w:val="0"/>
        </w:rPr>
        <w:tab/>
        <w:t xml:space="preserve">All moneys paid by the </w:t>
      </w:r>
      <w:r>
        <w:t>Commissioner</w:t>
      </w:r>
      <w:r>
        <w:rPr>
          <w:snapToGrid w:val="0"/>
        </w:rPr>
        <w:t xml:space="preserve"> under subsection (1) shall be repaid to the </w:t>
      </w:r>
      <w:r>
        <w:t>Commissioner</w:t>
      </w:r>
      <w:r>
        <w:rPr>
          <w:snapToGrid w:val="0"/>
        </w:rPr>
        <w:t xml:space="preserve"> from moneys standing to the credit of the Fidelity Guarantee</w:t>
      </w:r>
      <w:r>
        <w:t xml:space="preserve"> Account</w:t>
      </w:r>
      <w:r>
        <w:rPr>
          <w:snapToGrid w:val="0"/>
        </w:rPr>
        <w:t>.</w:t>
      </w:r>
    </w:p>
    <w:p>
      <w:pPr>
        <w:pStyle w:val="Footnotesection"/>
      </w:pPr>
      <w:r>
        <w:tab/>
        <w:t>[Section 71 amended by No. 59 of 1995 s. 86; No. 77 of 2006 Sch. 1 cl. 156(2); No. 58 of 2010 s. 176.]</w:t>
      </w:r>
    </w:p>
    <w:p>
      <w:pPr>
        <w:pStyle w:val="Heading5"/>
        <w:spacing w:before="240"/>
        <w:rPr>
          <w:snapToGrid w:val="0"/>
        </w:rPr>
      </w:pPr>
      <w:bookmarkStart w:id="78" w:name="_Toc468701107"/>
      <w:r>
        <w:rPr>
          <w:rStyle w:val="CharSectno"/>
        </w:rPr>
        <w:t>72</w:t>
      </w:r>
      <w:r>
        <w:rPr>
          <w:snapToGrid w:val="0"/>
        </w:rPr>
        <w:t>.</w:t>
      </w:r>
      <w:r>
        <w:rPr>
          <w:snapToGrid w:val="0"/>
        </w:rPr>
        <w:tab/>
        <w:t>Application of s. 63 to certain persons</w:t>
      </w:r>
      <w:bookmarkEnd w:id="78"/>
    </w:p>
    <w:p>
      <w:pPr>
        <w:pStyle w:val="Subsection"/>
        <w:rPr>
          <w:snapToGrid w:val="0"/>
        </w:rPr>
      </w:pPr>
      <w:r>
        <w:rPr>
          <w:snapToGrid w:val="0"/>
        </w:rPr>
        <w:tab/>
      </w:r>
      <w:r>
        <w:rPr>
          <w:snapToGrid w:val="0"/>
        </w:rPr>
        <w:tab/>
        <w:t xml:space="preserve">The provisions of section 63 apply to an auditor nominated by the </w:t>
      </w:r>
      <w:r>
        <w:t>Commissioner</w:t>
      </w:r>
      <w:r>
        <w:rPr>
          <w:snapToGrid w:val="0"/>
        </w:rPr>
        <w:t xml:space="preserve"> under section 69 or any person authorised by him under section 70 with such modifications as circumstances require.</w:t>
      </w:r>
    </w:p>
    <w:p>
      <w:pPr>
        <w:pStyle w:val="Footnotesection"/>
      </w:pPr>
      <w:r>
        <w:tab/>
        <w:t>[Section 72 amended by No. 58 of 2010 s. 176.]</w:t>
      </w:r>
    </w:p>
    <w:p>
      <w:pPr>
        <w:pStyle w:val="Heading5"/>
        <w:spacing w:before="240"/>
        <w:rPr>
          <w:snapToGrid w:val="0"/>
        </w:rPr>
      </w:pPr>
      <w:bookmarkStart w:id="79" w:name="_Toc468701108"/>
      <w:r>
        <w:rPr>
          <w:rStyle w:val="CharSectno"/>
        </w:rPr>
        <w:t>73</w:t>
      </w:r>
      <w:r>
        <w:rPr>
          <w:snapToGrid w:val="0"/>
        </w:rPr>
        <w:t>.</w:t>
      </w:r>
      <w:r>
        <w:rPr>
          <w:snapToGrid w:val="0"/>
        </w:rPr>
        <w:tab/>
        <w:t>Restraining bank etc. from dealing with settlement agent’s account, SAT’s powers as to</w:t>
      </w:r>
      <w:bookmarkEnd w:id="79"/>
    </w:p>
    <w:p>
      <w:pPr>
        <w:pStyle w:val="Subsection"/>
        <w:rPr>
          <w:snapToGrid w:val="0"/>
        </w:rPr>
      </w:pPr>
      <w:r>
        <w:rPr>
          <w:snapToGrid w:val="0"/>
        </w:rPr>
        <w:tab/>
        <w:t>(1)</w:t>
      </w:r>
      <w:r>
        <w:rPr>
          <w:snapToGrid w:val="0"/>
        </w:rPr>
        <w:tab/>
        <w:t xml:space="preserve">Where the </w:t>
      </w:r>
      <w:r>
        <w:t>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[Section 73 amended by No. 59 of 1995 s. 84; No. 26 of 1999 s. 102(6); No. 55 of 2004 s. 1094; No. 58 of 2010 s. 176.]</w:t>
      </w:r>
    </w:p>
    <w:p>
      <w:pPr>
        <w:pStyle w:val="Heading5"/>
        <w:rPr>
          <w:snapToGrid w:val="0"/>
        </w:rPr>
      </w:pPr>
      <w:bookmarkStart w:id="80" w:name="_Toc468701109"/>
      <w:r>
        <w:rPr>
          <w:rStyle w:val="CharSectno"/>
        </w:rPr>
        <w:t>74</w:t>
      </w:r>
      <w:r>
        <w:rPr>
          <w:snapToGrid w:val="0"/>
        </w:rPr>
        <w:t>.</w:t>
      </w:r>
      <w:r>
        <w:rPr>
          <w:snapToGrid w:val="0"/>
        </w:rPr>
        <w:tab/>
        <w:t>Suspension of settlement agents, appointment of supervisors etc., SAT’s powers as to</w:t>
      </w:r>
      <w:bookmarkEnd w:id="80"/>
    </w:p>
    <w:p>
      <w:pPr>
        <w:pStyle w:val="Subsection"/>
        <w:keepNext/>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w:t>
      </w:r>
    </w:p>
    <w:p>
      <w:pPr>
        <w:pStyle w:val="Indenta"/>
        <w:rPr>
          <w:snapToGrid w:val="0"/>
        </w:rPr>
      </w:pPr>
      <w:r>
        <w:rPr>
          <w:snapToGrid w:val="0"/>
        </w:rPr>
        <w:tab/>
        <w:t>(a)</w:t>
      </w:r>
      <w:r>
        <w:rPr>
          <w:snapToGrid w:val="0"/>
        </w:rPr>
        <w:tab/>
        <w:t>suspend the settlement agent from carrying on his business for such period as may be specified in the order; and</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 and</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settlement agent; and</w:t>
      </w:r>
    </w:p>
    <w:p>
      <w:pPr>
        <w:pStyle w:val="Indenta"/>
        <w:rPr>
          <w:snapToGrid w:val="0"/>
        </w:rPr>
      </w:pPr>
      <w:r>
        <w:rPr>
          <w:snapToGrid w:val="0"/>
        </w:rPr>
        <w:tab/>
        <w:t>(d)</w:t>
      </w:r>
      <w:r>
        <w:rPr>
          <w:snapToGrid w:val="0"/>
        </w:rPr>
        <w:tab/>
        <w:t xml:space="preserve">authorise the </w:t>
      </w:r>
      <w:r>
        <w:t>Commissioner</w:t>
      </w:r>
      <w:r>
        <w:rPr>
          <w:snapToGrid w:val="0"/>
        </w:rPr>
        <w:t xml:space="preserve">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 xml:space="preserve">Where the State Administrative Tribunal is satisfied, on the application of the </w:t>
      </w:r>
      <w:r>
        <w:t>Commissioner</w:t>
      </w:r>
      <w:r>
        <w:rPr>
          <w:snapToGrid w:val="0"/>
        </w:rPr>
        <w:t>, that a sole settlement agent has died, the State Administrative Tribunal may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settlement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 xml:space="preserve">may order that the </w:t>
      </w:r>
      <w:r>
        <w:t>Commissioner</w:t>
      </w:r>
      <w:r>
        <w:rPr>
          <w:snapToGrid w:val="0"/>
        </w:rPr>
        <w:t>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 and</w:t>
      </w:r>
    </w:p>
    <w:p>
      <w:pPr>
        <w:pStyle w:val="Indenti"/>
      </w:pPr>
      <w:r>
        <w:tab/>
        <w:t>(ii)</w:t>
      </w:r>
      <w:r>
        <w:tab/>
        <w:t xml:space="preserve">credit such moneys, or such balance, to a separate agency special purpose account established for the Commissioner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w:t>
      </w:r>
      <w:r>
        <w:t>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 </w:t>
      </w:r>
      <w:r>
        <w:t xml:space="preserve">agency special purpose </w:t>
      </w:r>
      <w:r>
        <w:rPr>
          <w:snapToGrid w:val="0"/>
        </w:rPr>
        <w:t>account under the order.</w:t>
      </w:r>
    </w:p>
    <w:p>
      <w:pPr>
        <w:pStyle w:val="Footnotesection"/>
      </w:pPr>
      <w:r>
        <w:tab/>
        <w:t>[Section 74 amended by No. 59 of 1995 s. 86; No. 55 of 2004 s. 1094; No. 77 of 2006 Sch. 1 cl. 156(4) and (5); No. 58 of 2010 s. 176).]</w:t>
      </w:r>
    </w:p>
    <w:p>
      <w:pPr>
        <w:pStyle w:val="Heading5"/>
        <w:rPr>
          <w:snapToGrid w:val="0"/>
        </w:rPr>
      </w:pPr>
      <w:bookmarkStart w:id="81" w:name="_Toc468701110"/>
      <w:r>
        <w:rPr>
          <w:rStyle w:val="CharSectno"/>
        </w:rPr>
        <w:t>75</w:t>
      </w:r>
      <w:r>
        <w:rPr>
          <w:snapToGrid w:val="0"/>
        </w:rPr>
        <w:t>.</w:t>
      </w:r>
      <w:r>
        <w:rPr>
          <w:snapToGrid w:val="0"/>
        </w:rPr>
        <w:tab/>
        <w:t>Effect of s. 74 orders appointing supervisor</w:t>
      </w:r>
      <w:bookmarkEnd w:id="81"/>
    </w:p>
    <w:p>
      <w:pPr>
        <w:pStyle w:val="Subsection"/>
        <w:rPr>
          <w:snapToGrid w:val="0"/>
        </w:rPr>
      </w:pPr>
      <w:r>
        <w:rPr>
          <w:snapToGrid w:val="0"/>
        </w:rPr>
        <w:tab/>
        <w:t>(1)</w:t>
      </w:r>
      <w:r>
        <w:rPr>
          <w:snapToGrid w:val="0"/>
        </w:rPr>
        <w:tab/>
        <w:t xml:space="preserve">Where an order made under section 74 authorises the </w:t>
      </w:r>
      <w:r>
        <w:t>Commissioner</w:t>
      </w:r>
      <w:r>
        <w:rPr>
          <w:snapToGrid w:val="0"/>
        </w:rPr>
        <w:t xml:space="preserve"> to appoint a supervisor, the </w:t>
      </w:r>
      <w:r>
        <w:t>Commissioner</w:t>
      </w:r>
      <w:r>
        <w:rPr>
          <w:snapToGrid w:val="0"/>
        </w:rPr>
        <w:t xml:space="preserve"> during the currency of the order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settlement agent or deceased settlement agent referred to in the order; and</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w:t>
      </w:r>
    </w:p>
    <w:p>
      <w:pPr>
        <w:pStyle w:val="Footnotesection"/>
      </w:pPr>
      <w:r>
        <w:tab/>
        <w:t>[Section 75 amended by No. 98 of 1985 s. 3; No. 58 of 2010 s. 149 and 176.]</w:t>
      </w:r>
    </w:p>
    <w:p>
      <w:pPr>
        <w:pStyle w:val="Heading5"/>
        <w:rPr>
          <w:snapToGrid w:val="0"/>
        </w:rPr>
      </w:pPr>
      <w:bookmarkStart w:id="82" w:name="_Toc468701111"/>
      <w:r>
        <w:rPr>
          <w:rStyle w:val="CharSectno"/>
        </w:rPr>
        <w:t>76</w:t>
      </w:r>
      <w:r>
        <w:rPr>
          <w:snapToGrid w:val="0"/>
        </w:rPr>
        <w:t>.</w:t>
      </w:r>
      <w:r>
        <w:rPr>
          <w:snapToGrid w:val="0"/>
        </w:rPr>
        <w:tab/>
        <w:t>Supervisors’ duties</w:t>
      </w:r>
      <w:bookmarkEnd w:id="82"/>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w:t>
      </w:r>
    </w:p>
    <w:p>
      <w:pPr>
        <w:pStyle w:val="Indenta"/>
        <w:rPr>
          <w:snapToGrid w:val="0"/>
        </w:rPr>
      </w:pPr>
      <w:r>
        <w:rPr>
          <w:snapToGrid w:val="0"/>
        </w:rPr>
        <w:tab/>
        <w:t>(a)</w:t>
      </w:r>
      <w:r>
        <w:rPr>
          <w:snapToGrid w:val="0"/>
        </w:rPr>
        <w:tab/>
        <w:t>require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[Section 76 amended by No. 59 of 1995 s. 84; No. 26 of 1999 s. 102(7).]</w:t>
      </w:r>
    </w:p>
    <w:p>
      <w:pPr>
        <w:pStyle w:val="Heading5"/>
        <w:spacing w:before="260"/>
        <w:rPr>
          <w:snapToGrid w:val="0"/>
        </w:rPr>
      </w:pPr>
      <w:bookmarkStart w:id="83" w:name="_Toc468701112"/>
      <w:r>
        <w:rPr>
          <w:rStyle w:val="CharSectno"/>
        </w:rPr>
        <w:t>77</w:t>
      </w:r>
      <w:r>
        <w:rPr>
          <w:snapToGrid w:val="0"/>
        </w:rPr>
        <w:t>.</w:t>
      </w:r>
      <w:r>
        <w:rPr>
          <w:snapToGrid w:val="0"/>
        </w:rPr>
        <w:tab/>
        <w:t>Hindering etc. supervisors, offence</w:t>
      </w:r>
      <w:bookmarkEnd w:id="83"/>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[Section 77 amended by No. 59 of 1995 s. 85.]</w:t>
      </w:r>
    </w:p>
    <w:p>
      <w:pPr>
        <w:pStyle w:val="Heading5"/>
        <w:rPr>
          <w:snapToGrid w:val="0"/>
        </w:rPr>
      </w:pPr>
      <w:bookmarkStart w:id="84" w:name="_Toc468701113"/>
      <w:r>
        <w:rPr>
          <w:rStyle w:val="CharSectno"/>
        </w:rPr>
        <w:t>78</w:t>
      </w:r>
      <w:r>
        <w:rPr>
          <w:snapToGrid w:val="0"/>
        </w:rPr>
        <w:t>.</w:t>
      </w:r>
      <w:r>
        <w:rPr>
          <w:snapToGrid w:val="0"/>
        </w:rPr>
        <w:tab/>
        <w:t>Discharge or variation of s. 73 or 74 order</w:t>
      </w:r>
      <w:bookmarkEnd w:id="84"/>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85" w:name="_Toc468701114"/>
      <w:r>
        <w:rPr>
          <w:rStyle w:val="CharSectno"/>
        </w:rPr>
        <w:t>79</w:t>
      </w:r>
      <w:r>
        <w:rPr>
          <w:snapToGrid w:val="0"/>
        </w:rPr>
        <w:t>.</w:t>
      </w:r>
      <w:r>
        <w:rPr>
          <w:snapToGrid w:val="0"/>
        </w:rPr>
        <w:tab/>
        <w:t>SAT’s additional powers as to s. 73, 74 or 78 orders</w:t>
      </w:r>
      <w:bookmarkEnd w:id="85"/>
    </w:p>
    <w:p>
      <w:pPr>
        <w:pStyle w:val="Subsection"/>
        <w:rPr>
          <w:snapToGrid w:val="0"/>
        </w:rPr>
      </w:pPr>
      <w:r>
        <w:rPr>
          <w:snapToGrid w:val="0"/>
        </w:rPr>
        <w:tab/>
        <w:t>(1)</w:t>
      </w:r>
      <w:r>
        <w:rPr>
          <w:snapToGrid w:val="0"/>
        </w:rPr>
        <w:tab/>
        <w:t xml:space="preserve">The State Administrative Tribunal may, on the application, of the </w:t>
      </w:r>
      <w:r>
        <w:t>Commissioner</w:t>
      </w:r>
      <w:r>
        <w:rPr>
          <w:snapToGrid w:val="0"/>
        </w:rPr>
        <w:t>, the Treasurer, or the settlement agent, or the personal representative of a deceased settlement agent, referred to in an order made under the provisions of section 73, 74 or 78, make further orders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by No. 59 of 1995 s. 84 and 86; No. 26 of 1999 s. 102(8); No. 55 of 2004 s. 1094; No. 77 of 2006 Sch. 1 cl. 156(6) and (7); No. 58 of 2010 s. 176.]</w:t>
      </w:r>
    </w:p>
    <w:p>
      <w:pPr>
        <w:pStyle w:val="Heading5"/>
        <w:rPr>
          <w:snapToGrid w:val="0"/>
        </w:rPr>
      </w:pPr>
      <w:bookmarkStart w:id="86" w:name="_Toc468701115"/>
      <w:r>
        <w:rPr>
          <w:rStyle w:val="CharSectno"/>
        </w:rPr>
        <w:t>80</w:t>
      </w:r>
      <w:r>
        <w:rPr>
          <w:snapToGrid w:val="0"/>
        </w:rPr>
        <w:t>.</w:t>
      </w:r>
      <w:r>
        <w:rPr>
          <w:snapToGrid w:val="0"/>
        </w:rPr>
        <w:tab/>
        <w:t>Service of s. 73, 74, 78 and 79 orders; penalty for breach of</w:t>
      </w:r>
      <w:bookmarkEnd w:id="86"/>
    </w:p>
    <w:p>
      <w:pPr>
        <w:pStyle w:val="Subsection"/>
        <w:rPr>
          <w:snapToGrid w:val="0"/>
        </w:rPr>
      </w:pPr>
      <w:r>
        <w:rPr>
          <w:snapToGrid w:val="0"/>
        </w:rPr>
        <w:tab/>
        <w:t>(1)</w:t>
      </w:r>
      <w:r>
        <w:rPr>
          <w:snapToGrid w:val="0"/>
        </w:rPr>
        <w:tab/>
      </w:r>
      <w:r>
        <w:rPr>
          <w:snapToGrid w:val="0"/>
          <w:spacing w:val="-4"/>
        </w:rPr>
        <w:t xml:space="preserve">The </w:t>
      </w:r>
      <w:r>
        <w:t>Commissioner</w:t>
      </w:r>
      <w:r>
        <w:rPr>
          <w:snapToGrid w:val="0"/>
          <w:spacing w:val="-4"/>
        </w:rPr>
        <w:t xml:space="preserve"> shall, as soon as practicable after any order is, on the application of the </w:t>
      </w:r>
      <w:r>
        <w:t>Commissioner</w:t>
      </w:r>
      <w:r>
        <w:rPr>
          <w:snapToGrid w:val="0"/>
          <w:spacing w:val="-4"/>
        </w:rPr>
        <w:t>, made under the provisions of section 73, 74 or 79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 xml:space="preserve">on the </w:t>
      </w:r>
      <w:r>
        <w:t>Commissioner</w:t>
      </w:r>
      <w:r>
        <w:rPr>
          <w:snapToGrid w:val="0"/>
        </w:rPr>
        <w: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 xml:space="preserve">on the </w:t>
      </w:r>
      <w:r>
        <w:t>Commissioner</w:t>
      </w:r>
      <w:r>
        <w:rPr>
          <w:snapToGrid w:val="0"/>
        </w:rPr>
        <w:t>.</w:t>
      </w:r>
    </w:p>
    <w:p>
      <w:pPr>
        <w:pStyle w:val="Subsection"/>
        <w:spacing w:before="120"/>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12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(11); No. 58 of 2010 s. 176.]</w:t>
      </w:r>
    </w:p>
    <w:p>
      <w:pPr>
        <w:pStyle w:val="Heading5"/>
      </w:pPr>
      <w:bookmarkStart w:id="87" w:name="_Toc468701116"/>
      <w:r>
        <w:rPr>
          <w:rStyle w:val="CharSectno"/>
        </w:rPr>
        <w:t>81</w:t>
      </w:r>
      <w:r>
        <w:t>.</w:t>
      </w:r>
      <w:r>
        <w:tab/>
        <w:t>Banks etc., duty to disclose certain accounts etc. if required to by authorised person</w:t>
      </w:r>
      <w:bookmarkEnd w:id="87"/>
    </w:p>
    <w:p>
      <w:pPr>
        <w:pStyle w:val="Subsection"/>
      </w:pPr>
      <w:r>
        <w:tab/>
      </w:r>
      <w:r>
        <w:tab/>
        <w:t xml:space="preserve">Where a person duly authorised under the </w:t>
      </w:r>
      <w:r>
        <w:rPr>
          <w:i/>
          <w:iCs/>
        </w:rPr>
        <w:t>Fair Trading Act 2010</w:t>
      </w:r>
      <w:r>
        <w:t xml:space="preserve"> to make an investigation or inquiry for the purposes of that Act, or this Act, has reasonable cause to believe that a settlement agent has deposited any money with a bank or other financial institution, whether in an account in the name of the settlement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and notwithstanding any law, or rule of law, or contractual obligation to the contrary, permit the authorised person to inspect, and make and take away with him or her a copy or extract of, the nominated accounts and any book, document, or other record that relates to the accounts and is in the possession or control of that bank or other institution.</w:t>
      </w:r>
    </w:p>
    <w:p>
      <w:pPr>
        <w:pStyle w:val="Footnotesection"/>
      </w:pPr>
      <w:r>
        <w:tab/>
        <w:t>[Section 81 inserted by No. 58 of 2010 s. 150.]</w:t>
      </w:r>
    </w:p>
    <w:p>
      <w:pPr>
        <w:pStyle w:val="Heading5"/>
        <w:rPr>
          <w:snapToGrid w:val="0"/>
        </w:rPr>
      </w:pPr>
      <w:bookmarkStart w:id="88" w:name="_Toc468701117"/>
      <w:r>
        <w:rPr>
          <w:rStyle w:val="CharSectno"/>
        </w:rPr>
        <w:t>81A</w:t>
      </w:r>
      <w:r>
        <w:rPr>
          <w:snapToGrid w:val="0"/>
        </w:rPr>
        <w:t>.</w:t>
      </w:r>
      <w:r>
        <w:rPr>
          <w:snapToGrid w:val="0"/>
        </w:rPr>
        <w:tab/>
        <w:t xml:space="preserve">Information </w:t>
      </w:r>
      <w:r>
        <w:t>about</w:t>
      </w:r>
      <w:r>
        <w:rPr>
          <w:snapToGrid w:val="0"/>
        </w:rPr>
        <w:t xml:space="preserve"> trust accounts, Commissioner’s power to obtain</w:t>
      </w:r>
      <w:bookmarkEnd w:id="88"/>
    </w:p>
    <w:p>
      <w:pPr>
        <w:pStyle w:val="Subsection"/>
        <w:rPr>
          <w:snapToGrid w:val="0"/>
        </w:rPr>
      </w:pPr>
      <w:r>
        <w:rPr>
          <w:snapToGrid w:val="0"/>
        </w:rPr>
        <w:tab/>
        <w:t>(1)</w:t>
      </w:r>
      <w:r>
        <w:rPr>
          <w:snapToGrid w:val="0"/>
        </w:rPr>
        <w:tab/>
        <w:t xml:space="preserve">The </w:t>
      </w:r>
      <w:r>
        <w:t>Commissioner</w:t>
      </w:r>
      <w:r>
        <w:rPr>
          <w:snapToGrid w:val="0"/>
        </w:rPr>
        <w:t xml:space="preserve"> may require —</w:t>
      </w:r>
    </w:p>
    <w:p>
      <w:pPr>
        <w:pStyle w:val="Indenta"/>
        <w:spacing w:before="100"/>
        <w:rPr>
          <w:snapToGrid w:val="0"/>
        </w:rPr>
      </w:pPr>
      <w:r>
        <w:rPr>
          <w:snapToGrid w:val="0"/>
        </w:rPr>
        <w:tab/>
        <w:t>(a)</w:t>
      </w:r>
      <w:r>
        <w:rPr>
          <w:snapToGrid w:val="0"/>
        </w:rPr>
        <w:tab/>
        <w:t xml:space="preserve">a settlement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spacing w:before="140"/>
        <w:rPr>
          <w:snapToGrid w:val="0"/>
        </w:rPr>
      </w:pPr>
      <w:r>
        <w:rPr>
          <w:snapToGrid w:val="0"/>
        </w:rPr>
        <w:tab/>
      </w:r>
      <w:r>
        <w:rPr>
          <w:snapToGrid w:val="0"/>
        </w:rPr>
        <w:tab/>
      </w:r>
      <w:r>
        <w:t>including</w:t>
      </w:r>
      <w:r>
        <w:rPr>
          <w:snapToGrid w:val="0"/>
        </w:rPr>
        <w:t>, without limiting this subsection, information as to the balances of and amounts of interest paid on such accounts.</w:t>
      </w:r>
    </w:p>
    <w:p>
      <w:pPr>
        <w:pStyle w:val="Subsection"/>
        <w:rPr>
          <w:snapToGrid w:val="0"/>
        </w:rPr>
      </w:pPr>
      <w:r>
        <w:rPr>
          <w:snapToGrid w:val="0"/>
        </w:rPr>
        <w:tab/>
        <w:t>(2)</w:t>
      </w:r>
      <w:r>
        <w:rPr>
          <w:snapToGrid w:val="0"/>
        </w:rPr>
        <w:tab/>
        <w:t xml:space="preserve">A </w:t>
      </w:r>
      <w:r>
        <w:t>requirement</w:t>
      </w:r>
      <w:r>
        <w:rPr>
          <w:snapToGrid w:val="0"/>
        </w:rPr>
        <w:t xml:space="preserve"> under subsection (1) —</w:t>
      </w:r>
    </w:p>
    <w:p>
      <w:pPr>
        <w:pStyle w:val="Indenta"/>
        <w:spacing w:before="60"/>
        <w:rPr>
          <w:snapToGrid w:val="0"/>
        </w:rPr>
      </w:pPr>
      <w:r>
        <w:rPr>
          <w:snapToGrid w:val="0"/>
        </w:rPr>
        <w:tab/>
        <w:t>(a)</w:t>
      </w:r>
      <w:r>
        <w:rPr>
          <w:snapToGrid w:val="0"/>
        </w:rPr>
        <w:tab/>
        <w:t>shall be given by notice in writing to the person required to give the information; and</w:t>
      </w:r>
    </w:p>
    <w:p>
      <w:pPr>
        <w:pStyle w:val="Indenta"/>
        <w:spacing w:before="60"/>
        <w:rPr>
          <w:snapToGrid w:val="0"/>
        </w:rPr>
      </w:pPr>
      <w:r>
        <w:rPr>
          <w:snapToGrid w:val="0"/>
        </w:rPr>
        <w:tab/>
        <w:t>(b)</w:t>
      </w:r>
      <w:r>
        <w:rPr>
          <w:snapToGrid w:val="0"/>
        </w:rPr>
        <w:tab/>
        <w:t>shall specify the time at or within which the information is to be given; and</w:t>
      </w:r>
    </w:p>
    <w:p>
      <w:pPr>
        <w:pStyle w:val="Indenta"/>
        <w:spacing w:before="60"/>
        <w:rPr>
          <w:snapToGrid w:val="0"/>
        </w:rPr>
      </w:pPr>
      <w:r>
        <w:rPr>
          <w:snapToGrid w:val="0"/>
        </w:rPr>
        <w:tab/>
        <w:t>(c)</w:t>
      </w:r>
      <w:r>
        <w:rPr>
          <w:snapToGrid w:val="0"/>
        </w:rPr>
        <w:tab/>
        <w:t>may, by its terms, require that the information be —</w:t>
      </w:r>
    </w:p>
    <w:p>
      <w:pPr>
        <w:pStyle w:val="Indenti"/>
        <w:spacing w:before="60"/>
        <w:rPr>
          <w:snapToGrid w:val="0"/>
        </w:rPr>
      </w:pPr>
      <w:r>
        <w:rPr>
          <w:snapToGrid w:val="0"/>
        </w:rPr>
        <w:tab/>
        <w:t>(i)</w:t>
      </w:r>
      <w:r>
        <w:rPr>
          <w:snapToGrid w:val="0"/>
        </w:rPr>
        <w:tab/>
        <w:t>given in writing; and</w:t>
      </w:r>
    </w:p>
    <w:p>
      <w:pPr>
        <w:pStyle w:val="Indenti"/>
        <w:spacing w:before="6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pPr>
        <w:pStyle w:val="Indenti"/>
        <w:spacing w:before="60"/>
        <w:rPr>
          <w:snapToGrid w:val="0"/>
        </w:rPr>
      </w:pPr>
      <w:r>
        <w:rPr>
          <w:snapToGrid w:val="0"/>
        </w:rPr>
        <w:tab/>
        <w:t>(iii)</w:t>
      </w:r>
      <w:r>
        <w:rPr>
          <w:snapToGrid w:val="0"/>
        </w:rPr>
        <w:tab/>
        <w:t>given at or sent or delivered to any place specified in the requirement; and</w:t>
      </w:r>
    </w:p>
    <w:p>
      <w:pPr>
        <w:pStyle w:val="Indenti"/>
        <w:spacing w:before="60"/>
        <w:rPr>
          <w:snapToGrid w:val="0"/>
        </w:rPr>
      </w:pPr>
      <w:r>
        <w:rPr>
          <w:snapToGrid w:val="0"/>
        </w:rPr>
        <w:tab/>
        <w:t>(iv)</w:t>
      </w:r>
      <w:r>
        <w:rPr>
          <w:snapToGrid w:val="0"/>
        </w:rPr>
        <w:tab/>
        <w:t>sent or delivered by any means specified in the requirement; and</w:t>
      </w:r>
    </w:p>
    <w:p>
      <w:pPr>
        <w:pStyle w:val="Indenti"/>
        <w:spacing w:before="60"/>
        <w:rPr>
          <w:snapToGrid w:val="0"/>
        </w:rPr>
      </w:pPr>
      <w:r>
        <w:rPr>
          <w:snapToGrid w:val="0"/>
        </w:rPr>
        <w:tab/>
        <w:t>(v)</w:t>
      </w:r>
      <w:r>
        <w:rPr>
          <w:snapToGrid w:val="0"/>
        </w:rPr>
        <w:tab/>
        <w:t>given on oath or affirmation or by statutory declaration;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 xml:space="preserve">A </w:t>
      </w:r>
      <w:r>
        <w:t>person</w:t>
      </w:r>
      <w:r>
        <w:rPr>
          <w:snapToGrid w:val="0"/>
        </w:rPr>
        <w:t xml:space="preserve"> shall not, without reasonable excuse, refuse or fail to comply with a requirement under subsection (1).</w:t>
      </w:r>
    </w:p>
    <w:p>
      <w:pPr>
        <w:pStyle w:val="Penstart"/>
        <w:rPr>
          <w:snapToGrid w:val="0"/>
        </w:rPr>
      </w:pPr>
      <w:r>
        <w:rPr>
          <w:snapToGrid w:val="0"/>
        </w:rPr>
        <w:tab/>
        <w:t>Penalty: $3 000.</w:t>
      </w:r>
    </w:p>
    <w:p>
      <w:pPr>
        <w:pStyle w:val="Subsection"/>
        <w:keepNext/>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[Section 81A inserted by No. 59 of 1995 s. 73; amended by No. 10 of 2001 s. 220; No. 58 of 2010 s. 176.]</w:t>
      </w:r>
    </w:p>
    <w:p>
      <w:pPr>
        <w:pStyle w:val="Heading3"/>
        <w:rPr>
          <w:snapToGrid w:val="0"/>
        </w:rPr>
      </w:pPr>
      <w:bookmarkStart w:id="89" w:name="_Toc413409912"/>
      <w:bookmarkStart w:id="90" w:name="_Toc416168586"/>
      <w:bookmarkStart w:id="91" w:name="_Toc468701118"/>
      <w:r>
        <w:rPr>
          <w:rStyle w:val="CharDivNo"/>
        </w:rPr>
        <w:t>Division 3</w:t>
      </w:r>
      <w:r>
        <w:rPr>
          <w:snapToGrid w:val="0"/>
        </w:rPr>
        <w:t> — </w:t>
      </w:r>
      <w:r>
        <w:rPr>
          <w:rStyle w:val="CharDivText"/>
        </w:rPr>
        <w:t>Discipline</w:t>
      </w:r>
      <w:bookmarkEnd w:id="89"/>
      <w:bookmarkEnd w:id="90"/>
      <w:bookmarkEnd w:id="91"/>
    </w:p>
    <w:p>
      <w:pPr>
        <w:pStyle w:val="Heading5"/>
        <w:rPr>
          <w:snapToGrid w:val="0"/>
        </w:rPr>
      </w:pPr>
      <w:bookmarkStart w:id="92" w:name="_Toc468701119"/>
      <w:r>
        <w:rPr>
          <w:rStyle w:val="CharSectno"/>
        </w:rPr>
        <w:t>82</w:t>
      </w:r>
      <w:r>
        <w:rPr>
          <w:snapToGrid w:val="0"/>
        </w:rPr>
        <w:t>.</w:t>
      </w:r>
      <w:r>
        <w:rPr>
          <w:snapToGrid w:val="0"/>
        </w:rPr>
        <w:tab/>
        <w:t>Code of conduct for settlement agents</w:t>
      </w:r>
      <w:bookmarkEnd w:id="92"/>
    </w:p>
    <w:p>
      <w:pPr>
        <w:pStyle w:val="Subsection"/>
        <w:rPr>
          <w:snapToGrid w:val="0"/>
        </w:rPr>
      </w:pPr>
      <w:r>
        <w:rPr>
          <w:snapToGrid w:val="0"/>
        </w:rPr>
        <w:tab/>
      </w:r>
      <w:r>
        <w:rPr>
          <w:snapToGrid w:val="0"/>
        </w:rPr>
        <w:tab/>
        <w:t xml:space="preserve">The </w:t>
      </w:r>
      <w:r>
        <w:t>Commissioner</w:t>
      </w:r>
      <w:r>
        <w:rPr>
          <w:snapToGrid w:val="0"/>
        </w:rPr>
        <w:t xml:space="preserve"> may, with the approval of the Minister, make rules prescribing a code of conduct for settlement agents.</w:t>
      </w:r>
    </w:p>
    <w:p>
      <w:pPr>
        <w:pStyle w:val="Footnotesection"/>
      </w:pPr>
      <w:r>
        <w:tab/>
        <w:t>[Section 82 amended by No. 58 of 2010 s. 176.]</w:t>
      </w:r>
    </w:p>
    <w:p>
      <w:pPr>
        <w:pStyle w:val="Heading5"/>
        <w:rPr>
          <w:snapToGrid w:val="0"/>
        </w:rPr>
      </w:pPr>
      <w:bookmarkStart w:id="93" w:name="_Toc468701120"/>
      <w:r>
        <w:rPr>
          <w:rStyle w:val="CharSectno"/>
        </w:rPr>
        <w:t>83</w:t>
      </w:r>
      <w:r>
        <w:rPr>
          <w:snapToGrid w:val="0"/>
        </w:rPr>
        <w:t>.</w:t>
      </w:r>
      <w:r>
        <w:rPr>
          <w:snapToGrid w:val="0"/>
        </w:rPr>
        <w:tab/>
        <w:t>Disciplinary action by SAT, alleging cause for</w:t>
      </w:r>
      <w:bookmarkEnd w:id="93"/>
    </w:p>
    <w:p>
      <w:pPr>
        <w:pStyle w:val="Subsection"/>
        <w:rPr>
          <w:snapToGrid w:val="0"/>
        </w:rPr>
      </w:pPr>
      <w:r>
        <w:rPr>
          <w:snapToGrid w:val="0"/>
        </w:rPr>
        <w:tab/>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 amended by No. 58 of 2010 s. 176.]</w:t>
      </w:r>
    </w:p>
    <w:p>
      <w:pPr>
        <w:pStyle w:val="Heading5"/>
        <w:rPr>
          <w:snapToGrid w:val="0"/>
        </w:rPr>
      </w:pPr>
      <w:bookmarkStart w:id="94" w:name="_Toc468701121"/>
      <w:r>
        <w:rPr>
          <w:rStyle w:val="CharSectno"/>
        </w:rPr>
        <w:t>84</w:t>
      </w:r>
      <w:r>
        <w:rPr>
          <w:snapToGrid w:val="0"/>
        </w:rPr>
        <w:t>.</w:t>
      </w:r>
      <w:r>
        <w:rPr>
          <w:snapToGrid w:val="0"/>
        </w:rPr>
        <w:tab/>
        <w:t>Disciplinary action, SAT’s powers as to</w:t>
      </w:r>
      <w:bookmarkEnd w:id="94"/>
    </w:p>
    <w:p>
      <w:pPr>
        <w:pStyle w:val="Subsection"/>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rPr>
          <w:snapToGrid w:val="0"/>
        </w:rPr>
      </w:pPr>
      <w:r>
        <w:rPr>
          <w:snapToGrid w:val="0"/>
        </w:rPr>
        <w:tab/>
        <w:t>(2)</w:t>
      </w:r>
      <w:r>
        <w:rPr>
          <w:snapToGrid w:val="0"/>
        </w:rPr>
        <w:tab/>
        <w:t>There shall be proper cause for disciplinary action if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 or</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pPr>
        <w:pStyle w:val="Indenta"/>
        <w:rPr>
          <w:snapToGrid w:val="0"/>
        </w:rPr>
      </w:pPr>
      <w:r>
        <w:rPr>
          <w:snapToGrid w:val="0"/>
        </w:rPr>
        <w:tab/>
        <w:t>(c)</w:t>
      </w:r>
      <w:r>
        <w:rPr>
          <w:snapToGrid w:val="0"/>
        </w:rPr>
        <w:tab/>
        <w:t>the settlement agent is acting or has acted in breach of —</w:t>
      </w:r>
    </w:p>
    <w:p>
      <w:pPr>
        <w:pStyle w:val="Indenti"/>
        <w:rPr>
          <w:snapToGrid w:val="0"/>
        </w:rPr>
      </w:pPr>
      <w:r>
        <w:rPr>
          <w:snapToGrid w:val="0"/>
        </w:rPr>
        <w:tab/>
        <w:t>(i)</w:t>
      </w:r>
      <w:r>
        <w:rPr>
          <w:snapToGrid w:val="0"/>
        </w:rPr>
        <w:tab/>
        <w:t>a special condition of his licence or triennial certificate;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rPr>
          <w:snapToGrid w:val="0"/>
        </w:rPr>
      </w:pPr>
      <w:r>
        <w:rPr>
          <w:snapToGrid w:val="0"/>
        </w:rPr>
        <w:tab/>
        <w:t>(3)</w:t>
      </w:r>
      <w:r>
        <w:rPr>
          <w:snapToGrid w:val="0"/>
        </w:rPr>
        <w:tab/>
        <w:t>Where the State Administrative Tribunal suspends or cancels a licence or triennial certificate, or both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or triennial certificate as the case requires shall be immediately delivered to the </w:t>
      </w:r>
      <w:r>
        <w:t>Commissioner</w:t>
      </w:r>
      <w:r>
        <w:rPr>
          <w:snapToGrid w:val="0"/>
        </w:rPr>
        <w:t xml:space="preserve"> by the settlement agent.</w:t>
      </w:r>
    </w:p>
    <w:p>
      <w:pPr>
        <w:pStyle w:val="Subsection"/>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[Section 84 amended by No. 59 of 1995 s. 74 and 85; No. 55 of 2004 s. 1090; No. 58 of 2010 s. 176.]</w:t>
      </w:r>
    </w:p>
    <w:p>
      <w:pPr>
        <w:pStyle w:val="Heading5"/>
        <w:rPr>
          <w:snapToGrid w:val="0"/>
        </w:rPr>
      </w:pPr>
      <w:bookmarkStart w:id="95" w:name="_Toc468701122"/>
      <w:r>
        <w:rPr>
          <w:rStyle w:val="CharSectno"/>
        </w:rPr>
        <w:t>85</w:t>
      </w:r>
      <w:r>
        <w:rPr>
          <w:snapToGrid w:val="0"/>
        </w:rPr>
        <w:t>.</w:t>
      </w:r>
      <w:r>
        <w:rPr>
          <w:snapToGrid w:val="0"/>
        </w:rPr>
        <w:tab/>
        <w:t>Offences that cause licence and triennial certificate to be cancelled</w:t>
      </w:r>
      <w:bookmarkEnd w:id="95"/>
    </w:p>
    <w:p>
      <w:pPr>
        <w:pStyle w:val="Subsection"/>
        <w:keepNext/>
        <w:rPr>
          <w:snapToGrid w:val="0"/>
        </w:rPr>
      </w:pPr>
      <w:r>
        <w:rPr>
          <w:snapToGrid w:val="0"/>
        </w:rPr>
        <w:tab/>
      </w:r>
      <w:r>
        <w:rPr>
          <w:snapToGrid w:val="0"/>
        </w:rPr>
        <w:tab/>
        <w:t>If a licensee is convicted of an offence involving —</w:t>
      </w:r>
    </w:p>
    <w:p>
      <w:pPr>
        <w:pStyle w:val="Indenta"/>
        <w:rPr>
          <w:snapToGrid w:val="0"/>
        </w:rPr>
      </w:pPr>
      <w:r>
        <w:rPr>
          <w:snapToGrid w:val="0"/>
        </w:rPr>
        <w:tab/>
        <w:t>(a)</w:t>
      </w:r>
      <w:r>
        <w:rPr>
          <w:snapToGrid w:val="0"/>
        </w:rPr>
        <w:tab/>
        <w:t>defalcation by the licensee; or</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registrar of the court convicting him shall forthwith notify the </w:t>
      </w:r>
      <w:r>
        <w:t>Commissioner</w:t>
      </w:r>
      <w:r>
        <w:rPr>
          <w:snapToGrid w:val="0"/>
        </w:rPr>
        <w:t xml:space="preserve"> accordingly.</w:t>
      </w:r>
    </w:p>
    <w:p>
      <w:pPr>
        <w:pStyle w:val="Footnotesection"/>
      </w:pPr>
      <w:r>
        <w:tab/>
        <w:t>[Section 85 amended by No. 59 of 2004 s. 141; No. 58 of 2010 s. 176.]</w:t>
      </w:r>
    </w:p>
    <w:p>
      <w:pPr>
        <w:pStyle w:val="Heading5"/>
        <w:rPr>
          <w:snapToGrid w:val="0"/>
        </w:rPr>
      </w:pPr>
      <w:bookmarkStart w:id="96" w:name="_Toc468701123"/>
      <w:r>
        <w:rPr>
          <w:rStyle w:val="CharSectno"/>
        </w:rPr>
        <w:t>86</w:t>
      </w:r>
      <w:r>
        <w:rPr>
          <w:snapToGrid w:val="0"/>
        </w:rPr>
        <w:t>.</w:t>
      </w:r>
      <w:r>
        <w:rPr>
          <w:snapToGrid w:val="0"/>
        </w:rPr>
        <w:tab/>
        <w:t>Persons with cancelled licences etc., offences by and in respect of</w:t>
      </w:r>
      <w:bookmarkEnd w:id="9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 xml:space="preserve">commits an offence against this Act, if, without the written permission of the </w:t>
      </w:r>
      <w:r>
        <w:t>Commissioner</w:t>
      </w:r>
      <w:r>
        <w:rPr>
          <w:snapToGrid w:val="0"/>
        </w:rPr>
        <w:t>,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If a licensee in his business as such knowingly has, without the written permission of the </w:t>
      </w:r>
      <w:r>
        <w:t>Commissioner</w:t>
      </w:r>
      <w:r>
        <w:rPr>
          <w:snapToGrid w:val="0"/>
        </w:rPr>
        <w:t xml:space="preserve"> as an employee or a partner, or being a body corporate has as a director, 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keepNext/>
        <w:keepLines/>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[Section 86 amended by No. 59 of 1995 s. 85; No. 58 of 2010 s. 176.]</w:t>
      </w:r>
    </w:p>
    <w:p>
      <w:pPr>
        <w:pStyle w:val="Heading2"/>
      </w:pPr>
      <w:bookmarkStart w:id="97" w:name="_Toc413409918"/>
      <w:bookmarkStart w:id="98" w:name="_Toc416168592"/>
      <w:bookmarkStart w:id="99" w:name="_Toc468701124"/>
      <w:r>
        <w:rPr>
          <w:rStyle w:val="CharPartNo"/>
        </w:rPr>
        <w:t>Part V</w:t>
      </w:r>
      <w:r>
        <w:rPr>
          <w:rStyle w:val="CharDivNo"/>
        </w:rPr>
        <w:t> </w:t>
      </w:r>
      <w:r>
        <w:t>—</w:t>
      </w:r>
      <w:r>
        <w:rPr>
          <w:rStyle w:val="CharDivText"/>
        </w:rPr>
        <w:t> </w:t>
      </w:r>
      <w:r>
        <w:rPr>
          <w:rStyle w:val="CharPartText"/>
        </w:rPr>
        <w:t>Fidelity Guarantee Account</w:t>
      </w:r>
      <w:bookmarkEnd w:id="97"/>
      <w:bookmarkEnd w:id="98"/>
      <w:bookmarkEnd w:id="99"/>
    </w:p>
    <w:p>
      <w:pPr>
        <w:pStyle w:val="Footnoteheading"/>
      </w:pPr>
      <w:r>
        <w:tab/>
        <w:t>[Heading amended by No. 77 of 2006 Sch. 1 cl. 156(8).]</w:t>
      </w:r>
    </w:p>
    <w:p>
      <w:pPr>
        <w:pStyle w:val="Heading5"/>
      </w:pPr>
      <w:bookmarkStart w:id="100" w:name="_Toc468701125"/>
      <w:r>
        <w:rPr>
          <w:rStyle w:val="CharSectno"/>
        </w:rPr>
        <w:t>87</w:t>
      </w:r>
      <w:r>
        <w:t>.</w:t>
      </w:r>
      <w:r>
        <w:tab/>
        <w:t>Account established; administration of Account</w:t>
      </w:r>
      <w:bookmarkEnd w:id="100"/>
    </w:p>
    <w:p>
      <w:pPr>
        <w:pStyle w:val="Subsection"/>
      </w:pPr>
      <w:r>
        <w:tab/>
      </w:r>
      <w:r>
        <w:tab/>
        <w:t>An account called the Settlement Agents Fidelity Guarantee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chief executive officer.</w:t>
      </w:r>
    </w:p>
    <w:p>
      <w:pPr>
        <w:pStyle w:val="Footnotesection"/>
      </w:pPr>
      <w:r>
        <w:tab/>
        <w:t>[Section 87 inserted by No. 77 of 2006 Sch. 1 cl. 156(9); amended by No. 58 of 2010 s. 151.]</w:t>
      </w:r>
    </w:p>
    <w:p>
      <w:pPr>
        <w:pStyle w:val="Heading5"/>
        <w:rPr>
          <w:snapToGrid w:val="0"/>
        </w:rPr>
      </w:pPr>
      <w:bookmarkStart w:id="101" w:name="_Toc468701126"/>
      <w:r>
        <w:rPr>
          <w:rStyle w:val="CharSectno"/>
        </w:rPr>
        <w:t>88</w:t>
      </w:r>
      <w:r>
        <w:rPr>
          <w:snapToGrid w:val="0"/>
        </w:rPr>
        <w:t>.</w:t>
      </w:r>
      <w:r>
        <w:rPr>
          <w:snapToGrid w:val="0"/>
        </w:rPr>
        <w:tab/>
        <w:t xml:space="preserve">Moneys to be credited to </w:t>
      </w:r>
      <w:r>
        <w:t>Account</w:t>
      </w:r>
      <w:bookmarkEnd w:id="101"/>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 and</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 and</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 and</w:t>
      </w:r>
    </w:p>
    <w:p>
      <w:pPr>
        <w:pStyle w:val="Indenta"/>
        <w:rPr>
          <w:snapToGrid w:val="0"/>
        </w:rPr>
      </w:pPr>
      <w:r>
        <w:rPr>
          <w:snapToGrid w:val="0"/>
        </w:rPr>
        <w:tab/>
        <w:t>(d)</w:t>
      </w:r>
      <w:r>
        <w:rPr>
          <w:snapToGrid w:val="0"/>
        </w:rPr>
        <w:tab/>
        <w:t xml:space="preserve">all money recovered by or on behalf of the State in the exercise of any right of action conferred by this </w:t>
      </w:r>
      <w:r>
        <w:t xml:space="preserve">Act or the </w:t>
      </w:r>
      <w:r>
        <w:rPr>
          <w:i/>
          <w:iCs/>
        </w:rPr>
        <w:t>Fair Trading Act 2010</w:t>
      </w:r>
      <w:r>
        <w:t xml:space="preserve">; </w:t>
      </w:r>
      <w:r>
        <w:rPr>
          <w:snapToGrid w:val="0"/>
        </w:rPr>
        <w:t>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[Section 88 amended by No. 59 of 1995 s. 76 and 86; No. 77 of 2006 Sch. 1 cl. 156(2); No. 58 of 2010 s. 152.]</w:t>
      </w:r>
    </w:p>
    <w:p>
      <w:pPr>
        <w:pStyle w:val="Heading5"/>
        <w:rPr>
          <w:snapToGrid w:val="0"/>
        </w:rPr>
      </w:pPr>
      <w:bookmarkStart w:id="102" w:name="_Toc468701127"/>
      <w:r>
        <w:rPr>
          <w:rStyle w:val="CharSectno"/>
        </w:rPr>
        <w:t>89</w:t>
      </w:r>
      <w:r>
        <w:rPr>
          <w:snapToGrid w:val="0"/>
        </w:rPr>
        <w:t>.</w:t>
      </w:r>
      <w:r>
        <w:rPr>
          <w:snapToGrid w:val="0"/>
        </w:rPr>
        <w:tab/>
        <w:t xml:space="preserve">Investment of moneys in </w:t>
      </w:r>
      <w:r>
        <w:t>Account</w:t>
      </w:r>
      <w:bookmarkEnd w:id="102"/>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[Section 89 inserted by No. 59 of 1995 s. 77; amended by No. 77 of 2006 Sch. 1 cl. 156(2) and (10).]</w:t>
      </w:r>
    </w:p>
    <w:p>
      <w:pPr>
        <w:pStyle w:val="Heading5"/>
        <w:rPr>
          <w:snapToGrid w:val="0"/>
        </w:rPr>
      </w:pPr>
      <w:bookmarkStart w:id="103" w:name="_Toc468701128"/>
      <w:r>
        <w:rPr>
          <w:rStyle w:val="CharSectno"/>
        </w:rPr>
        <w:t>90</w:t>
      </w:r>
      <w:r>
        <w:rPr>
          <w:snapToGrid w:val="0"/>
        </w:rPr>
        <w:t>.</w:t>
      </w:r>
      <w:r>
        <w:rPr>
          <w:snapToGrid w:val="0"/>
        </w:rPr>
        <w:tab/>
        <w:t xml:space="preserve">Expenditure from </w:t>
      </w:r>
      <w:r>
        <w:t>Account</w:t>
      </w:r>
      <w:bookmarkEnd w:id="103"/>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 and</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 and</w:t>
      </w:r>
    </w:p>
    <w:p>
      <w:pPr>
        <w:pStyle w:val="Indenta"/>
        <w:rPr>
          <w:snapToGrid w:val="0"/>
        </w:rPr>
      </w:pPr>
      <w:r>
        <w:rPr>
          <w:snapToGrid w:val="0"/>
        </w:rPr>
        <w:tab/>
        <w:t>(c)</w:t>
      </w:r>
      <w:r>
        <w:rPr>
          <w:snapToGrid w:val="0"/>
        </w:rPr>
        <w:tab/>
        <w:t xml:space="preserve">all premiums payable in respect of contracts of insurance entered into by the </w:t>
      </w:r>
      <w:r>
        <w:t xml:space="preserve">chief executive officer, on behalf of the State, </w:t>
      </w:r>
      <w:r>
        <w:rPr>
          <w:snapToGrid w:val="0"/>
        </w:rPr>
        <w:t>under section 99; and</w:t>
      </w:r>
    </w:p>
    <w:p>
      <w:pPr>
        <w:pStyle w:val="Indenta"/>
        <w:rPr>
          <w:snapToGrid w:val="0"/>
        </w:rPr>
      </w:pPr>
      <w:r>
        <w:rPr>
          <w:snapToGrid w:val="0"/>
        </w:rPr>
        <w:tab/>
        <w:t>(d)</w:t>
      </w:r>
      <w:r>
        <w:rPr>
          <w:snapToGrid w:val="0"/>
        </w:rPr>
        <w:tab/>
        <w:t>the expenses involved in the administration of the</w:t>
      </w:r>
      <w:r>
        <w:t xml:space="preserve"> Account</w:t>
      </w:r>
      <w:r>
        <w:rPr>
          <w:snapToGrid w:val="0"/>
        </w:rPr>
        <w:t>; and</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deleted]</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[Section 90 amended by No. 59 of 1995 s. 78 and 86; No. 77 of 2006 Sch. 1 cl. 156(2); No. 58 of 2010 s. 153.]</w:t>
      </w:r>
    </w:p>
    <w:p>
      <w:pPr>
        <w:pStyle w:val="Ednotesection"/>
      </w:pPr>
      <w:r>
        <w:t>[</w:t>
      </w:r>
      <w:r>
        <w:rPr>
          <w:b/>
        </w:rPr>
        <w:t>91.</w:t>
      </w:r>
      <w:r>
        <w:tab/>
        <w:t>Deleted by No. 98 of 1985 s. 3.]</w:t>
      </w:r>
    </w:p>
    <w:p>
      <w:pPr>
        <w:pStyle w:val="Heading5"/>
        <w:rPr>
          <w:snapToGrid w:val="0"/>
        </w:rPr>
      </w:pPr>
      <w:bookmarkStart w:id="104" w:name="_Toc468701129"/>
      <w:r>
        <w:rPr>
          <w:rStyle w:val="CharSectno"/>
        </w:rPr>
        <w:t>92</w:t>
      </w:r>
      <w:r>
        <w:rPr>
          <w:snapToGrid w:val="0"/>
        </w:rPr>
        <w:t>.</w:t>
      </w:r>
      <w:r>
        <w:rPr>
          <w:snapToGrid w:val="0"/>
        </w:rPr>
        <w:tab/>
        <w:t xml:space="preserve">Payments to </w:t>
      </w:r>
      <w:r>
        <w:t>Account by applicants for licences etc.</w:t>
      </w:r>
      <w:bookmarkEnd w:id="104"/>
    </w:p>
    <w:p>
      <w:pPr>
        <w:pStyle w:val="Subsection"/>
        <w:spacing w:before="110"/>
        <w:rPr>
          <w:snapToGrid w:val="0"/>
        </w:rPr>
      </w:pPr>
      <w:r>
        <w:rPr>
          <w:snapToGrid w:val="0"/>
        </w:rPr>
        <w:tab/>
        <w:t>(1)</w:t>
      </w:r>
      <w:r>
        <w:rPr>
          <w:snapToGrid w:val="0"/>
        </w:rPr>
        <w:tab/>
        <w:t xml:space="preserve">Each person who makes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and no such licence or renewal of a triennial certificate shall be issued until the appropriate payment has been made to the </w:t>
      </w:r>
      <w:r>
        <w:t>chief executive officer.</w:t>
      </w:r>
    </w:p>
    <w:p>
      <w:pPr>
        <w:pStyle w:val="Subsection"/>
        <w:spacing w:before="110"/>
        <w:rPr>
          <w:snapToGrid w:val="0"/>
        </w:rPr>
      </w:pPr>
      <w:r>
        <w:rPr>
          <w:snapToGrid w:val="0"/>
        </w:rPr>
        <w:tab/>
        <w:t>(2)</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w:t>
      </w:r>
      <w:r>
        <w:t xml:space="preserve"> Account</w:t>
      </w:r>
      <w:r>
        <w:rPr>
          <w:snapToGrid w:val="0"/>
        </w:rPr>
        <w:t>.</w:t>
      </w:r>
    </w:p>
    <w:p>
      <w:pPr>
        <w:pStyle w:val="Subsection"/>
        <w:spacing w:before="110"/>
        <w:rPr>
          <w:snapToGrid w:val="0"/>
        </w:rPr>
      </w:pPr>
      <w:r>
        <w:rPr>
          <w:snapToGrid w:val="0"/>
        </w:rPr>
        <w:tab/>
        <w:t>(3)</w:t>
      </w:r>
      <w:r>
        <w:rPr>
          <w:snapToGrid w:val="0"/>
        </w:rPr>
        <w:tab/>
        <w:t xml:space="preserve">Where a person makes a payment under this section and the licence or renewal of a triennial certificate is not granted, the </w:t>
      </w:r>
      <w:r>
        <w:t>chief executive officer</w:t>
      </w:r>
      <w:r>
        <w:rPr>
          <w:snapToGrid w:val="0"/>
        </w:rPr>
        <w:t xml:space="preserve"> shall refund the payment to him.</w:t>
      </w:r>
    </w:p>
    <w:p>
      <w:pPr>
        <w:pStyle w:val="Footnotesection"/>
        <w:spacing w:before="80"/>
      </w:pPr>
      <w:r>
        <w:tab/>
        <w:t>[Section 92 amended by No. 59 of 1995 s. 86; No. 77 of 2006 Sch. 1 cl. 156(2); No. 58 of 2010 s. 154.]</w:t>
      </w:r>
    </w:p>
    <w:p>
      <w:pPr>
        <w:pStyle w:val="Heading5"/>
        <w:spacing w:before="180"/>
        <w:rPr>
          <w:snapToGrid w:val="0"/>
        </w:rPr>
      </w:pPr>
      <w:bookmarkStart w:id="105" w:name="_Toc468701130"/>
      <w:r>
        <w:rPr>
          <w:rStyle w:val="CharSectno"/>
        </w:rPr>
        <w:t>93</w:t>
      </w:r>
      <w:r>
        <w:rPr>
          <w:snapToGrid w:val="0"/>
        </w:rPr>
        <w:t>.</w:t>
      </w:r>
      <w:r>
        <w:rPr>
          <w:snapToGrid w:val="0"/>
        </w:rPr>
        <w:tab/>
        <w:t xml:space="preserve">Purpose of </w:t>
      </w:r>
      <w:r>
        <w:t>Account; making claims against Account</w:t>
      </w:r>
      <w:bookmarkEnd w:id="105"/>
    </w:p>
    <w:p>
      <w:pPr>
        <w:pStyle w:val="Subsection"/>
        <w:spacing w:before="110"/>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spacing w:before="110"/>
      </w:pPr>
      <w:r>
        <w:tab/>
        <w:t>(2A)</w:t>
      </w:r>
      <w:r>
        <w:tab/>
        <w:t>For the purposes of a claim against the Account, the reference in subsection (1) to any period when the licensee was the holder of a current triennial certificate includes a period when the licensee was not the holder of a current triennial certificate if the chief executive officer considers that it is just and reasonable in the circumstances of the claim.</w:t>
      </w:r>
    </w:p>
    <w:p>
      <w:pPr>
        <w:pStyle w:val="Subsection"/>
        <w:spacing w:before="110"/>
      </w:pPr>
      <w:r>
        <w:tab/>
        <w:t>(2)</w:t>
      </w:r>
      <w:r>
        <w:tab/>
        <w:t>The chief executive officer is to disallow a claim against the Account unless —</w:t>
      </w:r>
    </w:p>
    <w:p>
      <w:pPr>
        <w:pStyle w:val="Indenta"/>
        <w:spacing w:before="60"/>
      </w:pPr>
      <w:r>
        <w:tab/>
        <w:t>(a)</w:t>
      </w:r>
      <w:r>
        <w:tab/>
        <w:t>notice of the claim is given in writing to the chief executive officer within 3 years after the day on which the claimant became aware of the defalcation; or</w:t>
      </w:r>
    </w:p>
    <w:p>
      <w:pPr>
        <w:pStyle w:val="Indenta"/>
      </w:pPr>
      <w:r>
        <w:tab/>
        <w:t>(b)</w:t>
      </w:r>
      <w:r>
        <w:tab/>
        <w:t>the chief executive officer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w:t>
      </w:r>
      <w:r>
        <w:rPr>
          <w:i w:val="0"/>
          <w:iCs/>
          <w:vertAlign w:val="superscript"/>
        </w:rPr>
        <w:t>3</w:t>
      </w:r>
      <w:r>
        <w:t>; No. 77 of 2006 Sch. 1 cl. 156(2); No. 58 of 2010 s. 155; No. 23 of 2014 s. 105.]</w:t>
      </w:r>
    </w:p>
    <w:p>
      <w:pPr>
        <w:pStyle w:val="Heading5"/>
        <w:rPr>
          <w:snapToGrid w:val="0"/>
        </w:rPr>
      </w:pPr>
      <w:bookmarkStart w:id="106" w:name="_Toc468701131"/>
      <w:r>
        <w:rPr>
          <w:rStyle w:val="CharSectno"/>
        </w:rPr>
        <w:t>94</w:t>
      </w:r>
      <w:r>
        <w:rPr>
          <w:snapToGrid w:val="0"/>
        </w:rPr>
        <w:t>.</w:t>
      </w:r>
      <w:r>
        <w:rPr>
          <w:snapToGrid w:val="0"/>
        </w:rPr>
        <w:tab/>
        <w:t>Levies for Account against certificate holders</w:t>
      </w:r>
      <w:bookmarkEnd w:id="106"/>
    </w:p>
    <w:p>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 xml:space="preserve">are in the opinion of the </w:t>
      </w:r>
      <w:r>
        <w:t>chief executive officer</w:t>
      </w:r>
      <w:r>
        <w:rPr>
          <w:snapToGrid w:val="0"/>
        </w:rPr>
        <w:t xml:space="preserve"> not sufficient to satisfy the liabilities of the </w:t>
      </w:r>
      <w:r>
        <w:t>chief executive officer</w:t>
      </w:r>
      <w:r>
        <w:rPr>
          <w:snapToGrid w:val="0"/>
        </w:rPr>
        <w:t xml:space="preserve"> in relation thereto, the </w:t>
      </w:r>
      <w:r>
        <w:t>chief executive officer may</w:t>
      </w:r>
      <w:r>
        <w:rPr>
          <w:snapToGrid w:val="0"/>
        </w:rPr>
        <w:t xml:space="preserve">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rPr>
          <w:snapToGrid w:val="0"/>
        </w:rPr>
      </w:pPr>
      <w:r>
        <w:rPr>
          <w:snapToGrid w:val="0"/>
        </w:rPr>
        <w:tab/>
        <w:t>(2)</w:t>
      </w:r>
      <w:r>
        <w:rPr>
          <w:snapToGrid w:val="0"/>
        </w:rPr>
        <w:tab/>
        <w:t xml:space="preserve">The amount of the levy shall become payable on a date and in a manner to be fixed by the </w:t>
      </w:r>
      <w:r>
        <w:t>chief executive officer,</w:t>
      </w:r>
      <w:r>
        <w:rPr>
          <w:snapToGrid w:val="0"/>
        </w:rPr>
        <w:t xml:space="preserve"> and notice thereof shall be sent by the </w:t>
      </w:r>
      <w:r>
        <w:t>chief executive officer</w:t>
      </w:r>
      <w:r>
        <w:rPr>
          <w:snapToGrid w:val="0"/>
        </w:rPr>
        <w:t xml:space="preserve">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[Section 94 amended by No. 59 of 1995 s. 86; No. 77 of 2006 Sch. 1 cl. 156(2); No. 58 of 2010 s. 156.]</w:t>
      </w:r>
    </w:p>
    <w:p>
      <w:pPr>
        <w:pStyle w:val="Heading5"/>
        <w:rPr>
          <w:snapToGrid w:val="0"/>
        </w:rPr>
      </w:pPr>
      <w:bookmarkStart w:id="107" w:name="_Toc468701132"/>
      <w:r>
        <w:rPr>
          <w:rStyle w:val="CharSectno"/>
        </w:rPr>
        <w:t>95</w:t>
      </w:r>
      <w:r>
        <w:rPr>
          <w:snapToGrid w:val="0"/>
        </w:rPr>
        <w:t>.</w:t>
      </w:r>
      <w:r>
        <w:rPr>
          <w:snapToGrid w:val="0"/>
        </w:rPr>
        <w:tab/>
        <w:t xml:space="preserve">Claims against </w:t>
      </w:r>
      <w:r>
        <w:t>Account; recovery from Account</w:t>
      </w:r>
      <w:bookmarkEnd w:id="107"/>
    </w:p>
    <w:p>
      <w:pPr>
        <w:pStyle w:val="Subsection"/>
        <w:rPr>
          <w:snapToGrid w:val="0"/>
        </w:rPr>
      </w:pPr>
      <w:r>
        <w:rPr>
          <w:snapToGrid w:val="0"/>
        </w:rPr>
        <w:tab/>
        <w:t>(1)</w:t>
      </w:r>
      <w:r>
        <w:rPr>
          <w:snapToGrid w:val="0"/>
        </w:rPr>
        <w:tab/>
        <w:t xml:space="preserve">The </w:t>
      </w:r>
      <w:r>
        <w:t>chief executive officer</w:t>
      </w:r>
      <w:r>
        <w:rPr>
          <w:snapToGrid w:val="0"/>
        </w:rPr>
        <w:t xml:space="preserve"> may </w:t>
      </w:r>
      <w:r>
        <w:t>receive and, subject to section 93(2), settle</w:t>
      </w:r>
      <w:r>
        <w:rPr>
          <w:snapToGrid w:val="0"/>
        </w:rPr>
        <w:t xml:space="preserve"> any claim against the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xml:space="preserve"> to commence any action in relation to the</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b/>
          <w:bCs/>
          <w:i/>
          <w:iCs/>
        </w:rPr>
        <w:t>defalcation by a licensee</w:t>
      </w:r>
      <w:r>
        <w:rPr>
          <w:snapToGrid w:val="0"/>
        </w:rPr>
        <w:t xml:space="preserve"> in section 3.</w:t>
      </w:r>
    </w:p>
    <w:p>
      <w:pPr>
        <w:pStyle w:val="Footnotesection"/>
      </w:pPr>
      <w:r>
        <w:tab/>
        <w:t>[Section 95 amended by No. 59 of 1995 s. 86; No. 3 of 2000 s. 8; No. 28 of 2003 s. 182; No. 77 of 2006 Sch. 1 cl. 156(2); No. 58 of 2010 s. 157.]</w:t>
      </w:r>
    </w:p>
    <w:p>
      <w:pPr>
        <w:pStyle w:val="Heading5"/>
        <w:spacing w:before="600"/>
        <w:rPr>
          <w:snapToGrid w:val="0"/>
        </w:rPr>
      </w:pPr>
      <w:bookmarkStart w:id="108" w:name="_Toc468701133"/>
      <w:r>
        <w:rPr>
          <w:rStyle w:val="CharSectno"/>
        </w:rPr>
        <w:t>96</w:t>
      </w:r>
      <w:r>
        <w:rPr>
          <w:snapToGrid w:val="0"/>
        </w:rPr>
        <w:t>.</w:t>
      </w:r>
      <w:r>
        <w:rPr>
          <w:snapToGrid w:val="0"/>
        </w:rPr>
        <w:tab/>
        <w:t xml:space="preserve">Defences to claims against </w:t>
      </w:r>
      <w:r>
        <w:t>Account</w:t>
      </w:r>
      <w:bookmarkEnd w:id="108"/>
    </w:p>
    <w:p>
      <w:pPr>
        <w:pStyle w:val="Subsection"/>
        <w:rPr>
          <w:snapToGrid w:val="0"/>
        </w:rPr>
      </w:pPr>
      <w:r>
        <w:rPr>
          <w:snapToGrid w:val="0"/>
        </w:rPr>
        <w:tab/>
      </w:r>
      <w:r>
        <w:rPr>
          <w:snapToGrid w:val="0"/>
        </w:rPr>
        <w:tab/>
        <w:t>In any action brought against the State in relation to the</w:t>
      </w:r>
      <w:r>
        <w:t xml:space="preserve"> Account</w:t>
      </w:r>
      <w:r>
        <w:rPr>
          <w:snapToGrid w:val="0"/>
        </w:rPr>
        <w:t>, all defences that would have been available to the defaulting licensee are available to the State.</w:t>
      </w:r>
    </w:p>
    <w:p>
      <w:pPr>
        <w:pStyle w:val="Footnotesection"/>
      </w:pPr>
      <w:r>
        <w:tab/>
        <w:t>[Section 96 amended by No. 77 of 2006 Sch. 1 cl. 156(2); No. 58 of 2010 s. 158.]</w:t>
      </w:r>
    </w:p>
    <w:p>
      <w:pPr>
        <w:pStyle w:val="Heading5"/>
        <w:rPr>
          <w:snapToGrid w:val="0"/>
        </w:rPr>
      </w:pPr>
      <w:bookmarkStart w:id="109" w:name="_Toc468701134"/>
      <w:r>
        <w:rPr>
          <w:rStyle w:val="CharSectno"/>
        </w:rPr>
        <w:t>97</w:t>
      </w:r>
      <w:r>
        <w:rPr>
          <w:snapToGrid w:val="0"/>
        </w:rPr>
        <w:t>.</w:t>
      </w:r>
      <w:r>
        <w:rPr>
          <w:snapToGrid w:val="0"/>
        </w:rPr>
        <w:tab/>
        <w:t>Subrogation of rights of claimant against Account</w:t>
      </w:r>
      <w:bookmarkEnd w:id="109"/>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State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97 amended by No. 59 of 1995 s. 86; No. 77 of 2006 Sch. 1 cl. 156(2); No. 58 of 2010 s. 159.]</w:t>
      </w:r>
    </w:p>
    <w:p>
      <w:pPr>
        <w:pStyle w:val="Heading5"/>
        <w:spacing w:before="240"/>
        <w:rPr>
          <w:snapToGrid w:val="0"/>
        </w:rPr>
      </w:pPr>
      <w:bookmarkStart w:id="110" w:name="_Toc468701135"/>
      <w:r>
        <w:rPr>
          <w:rStyle w:val="CharSectno"/>
        </w:rPr>
        <w:t>98</w:t>
      </w:r>
      <w:r>
        <w:rPr>
          <w:snapToGrid w:val="0"/>
        </w:rPr>
        <w:t>.</w:t>
      </w:r>
      <w:r>
        <w:rPr>
          <w:snapToGrid w:val="0"/>
        </w:rPr>
        <w:tab/>
        <w:t xml:space="preserve">Insufficiency in </w:t>
      </w:r>
      <w:r>
        <w:t>Account</w:t>
      </w:r>
      <w:bookmarkEnd w:id="110"/>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w:t>
      </w:r>
      <w:r>
        <w:t xml:space="preserve"> Account</w:t>
      </w:r>
      <w:r>
        <w:rPr>
          <w:snapToGrid w:val="0"/>
        </w:rPr>
        <w:t xml:space="preserve">, or for the payment of any claim allowed by the </w:t>
      </w:r>
      <w:r>
        <w:t>chief executive officer,</w:t>
      </w:r>
      <w:r>
        <w:rPr>
          <w:snapToGrid w:val="0"/>
        </w:rPr>
        <w:t xml:space="preserve">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w:t>
      </w:r>
      <w:r>
        <w:t>Account</w:t>
      </w:r>
      <w:r>
        <w:rPr>
          <w:snapToGrid w:val="0"/>
        </w:rPr>
        <w:t xml:space="preserve"> towards the settlement of any of the judgments and claims referred to in subsection (2), have regard to the following rules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keepLines/>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 xml:space="preserve">where all other considerations are equal, claimants shall have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[Section 98 amended by No. 59 of 1995 s. 79 and 86; No. 77 of 2006 Sch. 1 cl. 156(2); No. 58 of 2010 s. 160.]</w:t>
      </w:r>
    </w:p>
    <w:p>
      <w:pPr>
        <w:pStyle w:val="Heading5"/>
        <w:rPr>
          <w:snapToGrid w:val="0"/>
        </w:rPr>
      </w:pPr>
      <w:bookmarkStart w:id="111" w:name="_Toc468701136"/>
      <w:r>
        <w:rPr>
          <w:rStyle w:val="CharSectno"/>
        </w:rPr>
        <w:t>99</w:t>
      </w:r>
      <w:r>
        <w:rPr>
          <w:snapToGrid w:val="0"/>
        </w:rPr>
        <w:t>.</w:t>
      </w:r>
      <w:r>
        <w:rPr>
          <w:snapToGrid w:val="0"/>
        </w:rPr>
        <w:tab/>
        <w:t>State may insure against claims</w:t>
      </w:r>
      <w:bookmarkEnd w:id="111"/>
    </w:p>
    <w:p>
      <w:pPr>
        <w:pStyle w:val="Subsection"/>
        <w:rPr>
          <w:snapToGrid w:val="0"/>
        </w:rPr>
      </w:pPr>
      <w:r>
        <w:rPr>
          <w:snapToGrid w:val="0"/>
        </w:rPr>
        <w:tab/>
        <w:t>(1)</w:t>
      </w:r>
      <w:r>
        <w:rPr>
          <w:snapToGrid w:val="0"/>
        </w:rPr>
        <w:tab/>
        <w:t xml:space="preserve">Notwithstanding anything to the contrary in this Act, the </w:t>
      </w:r>
      <w:r>
        <w:t xml:space="preserve">chief executive officer may, on behalf of the State, </w:t>
      </w:r>
      <w:r>
        <w:rPr>
          <w:snapToGrid w:val="0"/>
        </w:rPr>
        <w:t xml:space="preserve">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Subsection"/>
        <w:rPr>
          <w:snapToGrid w:val="0"/>
        </w:rPr>
      </w:pPr>
      <w:r>
        <w:rPr>
          <w:snapToGrid w:val="0"/>
        </w:rPr>
        <w:tab/>
        <w:t>(4)</w:t>
      </w:r>
      <w:r>
        <w:rPr>
          <w:snapToGrid w:val="0"/>
        </w:rPr>
        <w:tab/>
        <w:t xml:space="preserve">An action does not lie against the </w:t>
      </w:r>
      <w:r>
        <w:t>State, the Commissioner, the chief executive officer or an officer of the department</w:t>
      </w:r>
      <w:r>
        <w:rPr>
          <w:snapToGrid w:val="0"/>
        </w:rPr>
        <w:t xml:space="preserve"> for damage alleged to have been suffered by a licensee by reason of the publication in good faith of a statement that a contract entered into under this section does or does not apply with respect to him.</w:t>
      </w:r>
    </w:p>
    <w:p>
      <w:pPr>
        <w:pStyle w:val="Footnotesection"/>
      </w:pPr>
      <w:r>
        <w:tab/>
        <w:t>[Section 99 amended by No. 51 of 1986 s. 46(2); No. 58 of 2010 s. 161.]</w:t>
      </w:r>
    </w:p>
    <w:p>
      <w:pPr>
        <w:pStyle w:val="Heading5"/>
        <w:rPr>
          <w:snapToGrid w:val="0"/>
        </w:rPr>
      </w:pPr>
      <w:bookmarkStart w:id="112" w:name="_Toc468701137"/>
      <w:r>
        <w:rPr>
          <w:rStyle w:val="CharSectno"/>
        </w:rPr>
        <w:t>100</w:t>
      </w:r>
      <w:r>
        <w:rPr>
          <w:snapToGrid w:val="0"/>
        </w:rPr>
        <w:t>.</w:t>
      </w:r>
      <w:r>
        <w:rPr>
          <w:snapToGrid w:val="0"/>
        </w:rPr>
        <w:tab/>
        <w:t>Application of insurance money</w:t>
      </w:r>
      <w:bookmarkEnd w:id="112"/>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[Section 100 amended by No. 59 of 1995 s. 86; No. 77 of 2006 Sch. 1 cl. 156(2).]</w:t>
      </w:r>
    </w:p>
    <w:p>
      <w:pPr>
        <w:pStyle w:val="Heading5"/>
        <w:rPr>
          <w:snapToGrid w:val="0"/>
        </w:rPr>
      </w:pPr>
      <w:bookmarkStart w:id="113" w:name="_Toc468701138"/>
      <w:r>
        <w:rPr>
          <w:rStyle w:val="CharSectno"/>
        </w:rPr>
        <w:t>101</w:t>
      </w:r>
      <w:r>
        <w:rPr>
          <w:snapToGrid w:val="0"/>
        </w:rPr>
        <w:t>.</w:t>
      </w:r>
      <w:r>
        <w:rPr>
          <w:snapToGrid w:val="0"/>
        </w:rPr>
        <w:tab/>
        <w:t>Advertising for claims in relation to defaulting licensee</w:t>
      </w:r>
      <w:bookmarkEnd w:id="113"/>
    </w:p>
    <w:p>
      <w:pPr>
        <w:pStyle w:val="Subsection"/>
        <w:rPr>
          <w:snapToGrid w:val="0"/>
        </w:rPr>
      </w:pPr>
      <w:r>
        <w:rPr>
          <w:snapToGrid w:val="0"/>
        </w:rPr>
        <w:tab/>
        <w:t>(1)</w:t>
      </w:r>
      <w:r>
        <w:rPr>
          <w:snapToGrid w:val="0"/>
        </w:rPr>
        <w:tab/>
        <w:t xml:space="preserve">The </w:t>
      </w:r>
      <w:r>
        <w:t>chief executive officer</w:t>
      </w:r>
      <w:r>
        <w:rPr>
          <w:snapToGrid w:val="0"/>
        </w:rPr>
        <w:t xml:space="preserve">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spacing w:before="120"/>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spacing w:before="80"/>
      </w:pPr>
      <w:r>
        <w:tab/>
        <w:t>[Section 101 amended by No. 77 of 2006 Sch. 1 cl. 156(2); No. 58 of 2010 s. 162.]</w:t>
      </w:r>
    </w:p>
    <w:p>
      <w:pPr>
        <w:pStyle w:val="Heading5"/>
        <w:rPr>
          <w:snapToGrid w:val="0"/>
        </w:rPr>
      </w:pPr>
      <w:bookmarkStart w:id="114" w:name="_Toc468701139"/>
      <w:r>
        <w:rPr>
          <w:rStyle w:val="CharSectno"/>
        </w:rPr>
        <w:t>102</w:t>
      </w:r>
      <w:r>
        <w:rPr>
          <w:snapToGrid w:val="0"/>
        </w:rPr>
        <w:t>.</w:t>
      </w:r>
      <w:r>
        <w:rPr>
          <w:snapToGrid w:val="0"/>
        </w:rPr>
        <w:tab/>
        <w:t>Documents etc. to support claims, CEO may require</w:t>
      </w:r>
      <w:bookmarkEnd w:id="114"/>
    </w:p>
    <w:p>
      <w:pPr>
        <w:pStyle w:val="Subsection"/>
        <w:spacing w:before="120"/>
        <w:rPr>
          <w:snapToGrid w:val="0"/>
        </w:rPr>
      </w:pPr>
      <w:r>
        <w:rPr>
          <w:snapToGrid w:val="0"/>
        </w:rPr>
        <w:tab/>
      </w:r>
      <w:r>
        <w:rPr>
          <w:snapToGrid w:val="0"/>
        </w:rPr>
        <w:tab/>
        <w:t xml:space="preserve">The </w:t>
      </w:r>
      <w:r>
        <w:t>chief executive officer</w:t>
      </w:r>
      <w:r>
        <w:rPr>
          <w:snapToGrid w:val="0"/>
        </w:rPr>
        <w:t xml:space="preserve"> may at any time and from time to time require production and delivery to the </w:t>
      </w:r>
      <w:r>
        <w:t>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spacing w:before="80"/>
      </w:pPr>
      <w:r>
        <w:tab/>
        <w:t>[Section 102 amended by No. 58 of 2010 s. 163.]</w:t>
      </w:r>
    </w:p>
    <w:p>
      <w:pPr>
        <w:pStyle w:val="Heading5"/>
      </w:pPr>
      <w:bookmarkStart w:id="115" w:name="_Toc468701140"/>
      <w:r>
        <w:rPr>
          <w:rStyle w:val="CharSectno"/>
        </w:rPr>
        <w:t>102AA</w:t>
      </w:r>
      <w:r>
        <w:t>.</w:t>
      </w:r>
      <w:r>
        <w:tab/>
        <w:t>Commissioner may investigate claims against Fidelity Account</w:t>
      </w:r>
      <w:bookmarkEnd w:id="115"/>
    </w:p>
    <w:p>
      <w:pPr>
        <w:pStyle w:val="Subsection"/>
        <w:spacing w:before="120"/>
      </w:pPr>
      <w:r>
        <w:tab/>
        <w:t>(1)</w:t>
      </w:r>
      <w:r>
        <w:tab/>
        <w:t xml:space="preserve">Without limiting section 22, the Commissioner may, at and in accordance with the request of the chief executive officer, make an investigation or inquiry under the </w:t>
      </w:r>
      <w:r>
        <w:rPr>
          <w:i/>
        </w:rPr>
        <w:t>Fair Trading Act 2010</w:t>
      </w:r>
      <w:r>
        <w:t xml:space="preserve"> Part 6 in relation to a claim against the Fidelity Account.</w:t>
      </w:r>
    </w:p>
    <w:p>
      <w:pPr>
        <w:pStyle w:val="Subsection"/>
        <w:spacing w:before="120"/>
      </w:pPr>
      <w:r>
        <w:tab/>
        <w:t>(2)</w:t>
      </w:r>
      <w:r>
        <w:tab/>
        <w:t>For the purposes of the investigation or inquiry, the administration of the Fidelity Account is taken to be a function of the Commissioner.</w:t>
      </w:r>
    </w:p>
    <w:p>
      <w:pPr>
        <w:pStyle w:val="Subsection"/>
        <w:spacing w:before="120"/>
      </w:pPr>
      <w:r>
        <w:tab/>
        <w:t>(3)</w:t>
      </w:r>
      <w:r>
        <w:tab/>
        <w:t>The Commissioner must, as soon as practicable after completing the investigation or inquiry, prepare a report on the findings of the investigation or inquiry and give it to the chief executive officer.</w:t>
      </w:r>
    </w:p>
    <w:p>
      <w:pPr>
        <w:pStyle w:val="Footnotesection"/>
        <w:spacing w:before="80"/>
      </w:pPr>
      <w:r>
        <w:tab/>
        <w:t>[Section 102AA inserted by No. 23 of 2014 s. 106.]</w:t>
      </w:r>
    </w:p>
    <w:p>
      <w:pPr>
        <w:pStyle w:val="Heading2"/>
      </w:pPr>
      <w:bookmarkStart w:id="116" w:name="_Toc413409935"/>
      <w:bookmarkStart w:id="117" w:name="_Toc416168609"/>
      <w:bookmarkStart w:id="118" w:name="_Toc468701141"/>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Education and General Purpose Account</w:t>
      </w:r>
      <w:bookmarkEnd w:id="116"/>
      <w:bookmarkEnd w:id="117"/>
      <w:bookmarkEnd w:id="118"/>
    </w:p>
    <w:p>
      <w:pPr>
        <w:pStyle w:val="Footnoteheading"/>
        <w:rPr>
          <w:snapToGrid w:val="0"/>
        </w:rPr>
      </w:pPr>
      <w:r>
        <w:rPr>
          <w:snapToGrid w:val="0"/>
        </w:rPr>
        <w:tab/>
        <w:t>[Heading inserted by No. 59 of 1995 s. 80; amended by No. 77 of 2006 Sch. 1 cl. 156(11).]</w:t>
      </w:r>
    </w:p>
    <w:p>
      <w:pPr>
        <w:pStyle w:val="Heading5"/>
        <w:rPr>
          <w:snapToGrid w:val="0"/>
        </w:rPr>
      </w:pPr>
      <w:bookmarkStart w:id="119" w:name="_Toc468701142"/>
      <w:r>
        <w:rPr>
          <w:rStyle w:val="CharSectno"/>
        </w:rPr>
        <w:t>102A</w:t>
      </w:r>
      <w:r>
        <w:rPr>
          <w:snapToGrid w:val="0"/>
        </w:rPr>
        <w:t xml:space="preserve">. </w:t>
      </w:r>
      <w:r>
        <w:rPr>
          <w:snapToGrid w:val="0"/>
        </w:rPr>
        <w:tab/>
        <w:t>Account established; administration of account</w:t>
      </w:r>
      <w:bookmarkEnd w:id="119"/>
    </w:p>
    <w:p>
      <w:pPr>
        <w:pStyle w:val="Subsection"/>
      </w:pPr>
      <w:r>
        <w:tab/>
        <w:t>(1)</w:t>
      </w:r>
      <w:r>
        <w:tab/>
        <w:t>An account called the Education and General Purpose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w:t>
      </w:r>
      <w:r>
        <w:t>chief executive officer.</w:t>
      </w:r>
    </w:p>
    <w:p>
      <w:pPr>
        <w:pStyle w:val="Footnotesection"/>
      </w:pPr>
      <w:r>
        <w:tab/>
        <w:t>[Section 102A inserted by No. 59 of 1995 s. 80; amended by No. 77 of 2006 Sch. 1 cl. 156(2) and (12); No. 58 of 2010 s. 164.]</w:t>
      </w:r>
    </w:p>
    <w:p>
      <w:pPr>
        <w:pStyle w:val="Heading5"/>
        <w:rPr>
          <w:snapToGrid w:val="0"/>
        </w:rPr>
      </w:pPr>
      <w:bookmarkStart w:id="120" w:name="_Toc468701143"/>
      <w:r>
        <w:rPr>
          <w:rStyle w:val="CharSectno"/>
        </w:rPr>
        <w:t>102B</w:t>
      </w:r>
      <w:r>
        <w:rPr>
          <w:snapToGrid w:val="0"/>
        </w:rPr>
        <w:t xml:space="preserve">. </w:t>
      </w:r>
      <w:r>
        <w:rPr>
          <w:snapToGrid w:val="0"/>
        </w:rPr>
        <w:tab/>
        <w:t>Moneys to be credited to a</w:t>
      </w:r>
      <w:r>
        <w:t>ccount</w:t>
      </w:r>
      <w:bookmarkEnd w:id="120"/>
    </w:p>
    <w:p>
      <w:pPr>
        <w:pStyle w:val="Subsection"/>
        <w:rPr>
          <w:snapToGrid w:val="0"/>
        </w:rPr>
      </w:pPr>
      <w:r>
        <w:rPr>
          <w:snapToGrid w:val="0"/>
        </w:rPr>
        <w:tab/>
      </w:r>
      <w:r>
        <w:rPr>
          <w:snapToGrid w:val="0"/>
        </w:rPr>
        <w:tab/>
        <w:t>There are to be credited to the General Purpose</w:t>
      </w:r>
      <w:r>
        <w:t xml:space="preserve"> Account</w:t>
      </w:r>
      <w:r>
        <w:rPr>
          <w:snapToGrid w:val="0"/>
        </w:rPr>
        <w:t>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 and</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 and</w:t>
      </w:r>
    </w:p>
    <w:p>
      <w:pPr>
        <w:pStyle w:val="Indenta"/>
        <w:rPr>
          <w:snapToGrid w:val="0"/>
        </w:rPr>
      </w:pPr>
      <w:r>
        <w:rPr>
          <w:snapToGrid w:val="0"/>
        </w:rPr>
        <w:tab/>
        <w:t>(c)</w:t>
      </w:r>
      <w:r>
        <w:rPr>
          <w:snapToGrid w:val="0"/>
        </w:rPr>
        <w:tab/>
        <w:t xml:space="preserve">fees, costs and other moneys lawfully received by or payable to the </w:t>
      </w:r>
      <w:r>
        <w:t>chief executive officer;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spacing w:before="100"/>
        <w:ind w:left="890" w:hanging="890"/>
      </w:pPr>
      <w:r>
        <w:tab/>
        <w:t>[Section 102B inserted by No. 59 of 1995 s. 80; amended by No. 55 of 2004 s. 1091; No. 77 of 2006 Sch. 1 cl. 156(2); No. 58 of 2010 s. 165.]</w:t>
      </w:r>
    </w:p>
    <w:p>
      <w:pPr>
        <w:pStyle w:val="Heading5"/>
        <w:rPr>
          <w:snapToGrid w:val="0"/>
        </w:rPr>
      </w:pPr>
      <w:bookmarkStart w:id="121" w:name="_Toc468701144"/>
      <w:r>
        <w:rPr>
          <w:rStyle w:val="CharSectno"/>
        </w:rPr>
        <w:t>102C</w:t>
      </w:r>
      <w:r>
        <w:rPr>
          <w:snapToGrid w:val="0"/>
        </w:rPr>
        <w:t xml:space="preserve">. </w:t>
      </w:r>
      <w:r>
        <w:rPr>
          <w:snapToGrid w:val="0"/>
        </w:rPr>
        <w:tab/>
        <w:t>Expenditure from a</w:t>
      </w:r>
      <w:r>
        <w:t>ccount</w:t>
      </w:r>
      <w:bookmarkEnd w:id="121"/>
    </w:p>
    <w:p>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pPr>
        <w:pStyle w:val="Indenta"/>
        <w:spacing w:before="60"/>
        <w:rPr>
          <w:snapToGrid w:val="0"/>
        </w:rPr>
      </w:pPr>
      <w:r>
        <w:rPr>
          <w:snapToGrid w:val="0"/>
        </w:rPr>
        <w:tab/>
        <w:t>(a)</w:t>
      </w:r>
      <w:r>
        <w:rPr>
          <w:snapToGrid w:val="0"/>
        </w:rPr>
        <w:tab/>
        <w:t>the costs incurred in the administration of the General Purpose</w:t>
      </w:r>
      <w:r>
        <w:t xml:space="preserve"> Account</w:t>
      </w:r>
      <w:r>
        <w:rPr>
          <w:snapToGrid w:val="0"/>
        </w:rPr>
        <w:t>; and</w:t>
      </w:r>
    </w:p>
    <w:p>
      <w:pPr>
        <w:pStyle w:val="Ednotepara"/>
        <w:spacing w:before="60"/>
        <w:ind w:left="1610" w:hanging="1610"/>
        <w:rPr>
          <w:snapToGrid w:val="0"/>
        </w:rPr>
      </w:pPr>
      <w:r>
        <w:tab/>
        <w:t>[(b)</w:t>
      </w:r>
      <w:r>
        <w:tab/>
        <w:t>deleted]</w:t>
      </w:r>
    </w:p>
    <w:p>
      <w:pPr>
        <w:pStyle w:val="Indenta"/>
        <w:spacing w:before="60"/>
        <w:rPr>
          <w:snapToGrid w:val="0"/>
        </w:rPr>
      </w:pPr>
      <w:r>
        <w:rPr>
          <w:snapToGrid w:val="0"/>
        </w:rPr>
        <w:tab/>
        <w:t>(c)</w:t>
      </w:r>
      <w:r>
        <w:rPr>
          <w:snapToGrid w:val="0"/>
        </w:rPr>
        <w:tab/>
        <w:t xml:space="preserve">the costs associated with the provision of secretarial, clerical or other administrative support to the </w:t>
      </w:r>
      <w:r>
        <w:t>Commissioner in the performance of his or her</w:t>
      </w:r>
      <w:r>
        <w:rPr>
          <w:snapToGrid w:val="0"/>
        </w:rPr>
        <w:t xml:space="preserve"> functions under this Act; and</w:t>
      </w:r>
    </w:p>
    <w:p>
      <w:pPr>
        <w:pStyle w:val="Indenta"/>
        <w:spacing w:before="60"/>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pPr>
      <w:r>
        <w:tab/>
        <w:t>(e)</w:t>
      </w:r>
      <w:r>
        <w:tab/>
        <w:t xml:space="preserve">all other expenditure lawfully incurred by the Commissioner in the performance of the Commissioner’s functions under this Act or the Commissioner’s functions under the </w:t>
      </w:r>
      <w:r>
        <w:rPr>
          <w:i/>
        </w:rPr>
        <w:t>Fair Trading Act 2010</w:t>
      </w:r>
      <w:r>
        <w:t xml:space="preserve"> section 57A that are performed for the purposes of this Act.</w:t>
      </w:r>
    </w:p>
    <w:p>
      <w:pPr>
        <w:pStyle w:val="Footnotesection"/>
      </w:pPr>
      <w:r>
        <w:tab/>
        <w:t>[Section 102C inserted by No. 59 of 1995 s. 80; amended by No. 77 of 2006 Sch. 1 cl. 156(2); No. 58 of 2010 s. 166; No. 23 of 2014 s. 107.]</w:t>
      </w:r>
    </w:p>
    <w:p>
      <w:pPr>
        <w:pStyle w:val="Heading5"/>
        <w:rPr>
          <w:snapToGrid w:val="0"/>
        </w:rPr>
      </w:pPr>
      <w:bookmarkStart w:id="122" w:name="_Toc468701145"/>
      <w:r>
        <w:rPr>
          <w:rStyle w:val="CharSectno"/>
        </w:rPr>
        <w:t>102D</w:t>
      </w:r>
      <w:r>
        <w:rPr>
          <w:snapToGrid w:val="0"/>
        </w:rPr>
        <w:t xml:space="preserve">. </w:t>
      </w:r>
      <w:r>
        <w:rPr>
          <w:snapToGrid w:val="0"/>
        </w:rPr>
        <w:tab/>
        <w:t>Investment of moneys in a</w:t>
      </w:r>
      <w:r>
        <w:t>ccount</w:t>
      </w:r>
      <w:bookmarkEnd w:id="122"/>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spacing w:before="100"/>
        <w:ind w:left="890" w:hanging="890"/>
      </w:pPr>
      <w:r>
        <w:tab/>
        <w:t>[Section 102D inserted by No. 59 of 1995 s. 80; amended by No. 77 of 2006 Sch. 1 cl. 156(2) and (13).]</w:t>
      </w:r>
    </w:p>
    <w:p>
      <w:pPr>
        <w:pStyle w:val="Heading2"/>
      </w:pPr>
      <w:bookmarkStart w:id="123" w:name="_Toc413409940"/>
      <w:bookmarkStart w:id="124" w:name="_Toc416168614"/>
      <w:bookmarkStart w:id="125" w:name="_Toc468701146"/>
      <w:r>
        <w:rPr>
          <w:rStyle w:val="CharPartNo"/>
        </w:rPr>
        <w:t>Part VI</w:t>
      </w:r>
      <w:r>
        <w:rPr>
          <w:rStyle w:val="CharDivNo"/>
        </w:rPr>
        <w:t> </w:t>
      </w:r>
      <w:r>
        <w:t>—</w:t>
      </w:r>
      <w:r>
        <w:rPr>
          <w:rStyle w:val="CharDivText"/>
        </w:rPr>
        <w:t> </w:t>
      </w:r>
      <w:r>
        <w:rPr>
          <w:rStyle w:val="CharPartText"/>
        </w:rPr>
        <w:t>Settlement Agents Interest Account</w:t>
      </w:r>
      <w:bookmarkEnd w:id="123"/>
      <w:bookmarkEnd w:id="124"/>
      <w:bookmarkEnd w:id="125"/>
    </w:p>
    <w:p>
      <w:pPr>
        <w:pStyle w:val="Footnoteheading"/>
        <w:rPr>
          <w:snapToGrid w:val="0"/>
        </w:rPr>
      </w:pPr>
      <w:r>
        <w:rPr>
          <w:snapToGrid w:val="0"/>
        </w:rPr>
        <w:tab/>
        <w:t>[Heading inserted by No. 59 of 1995 s. 81; amended by No. 58 of 2010 s. 167.]</w:t>
      </w:r>
    </w:p>
    <w:p>
      <w:pPr>
        <w:pStyle w:val="Heading5"/>
        <w:spacing w:before="180"/>
        <w:rPr>
          <w:snapToGrid w:val="0"/>
        </w:rPr>
      </w:pPr>
      <w:bookmarkStart w:id="126" w:name="_Toc468701147"/>
      <w:r>
        <w:rPr>
          <w:rStyle w:val="CharSectno"/>
        </w:rPr>
        <w:t>103</w:t>
      </w:r>
      <w:r>
        <w:rPr>
          <w:snapToGrid w:val="0"/>
        </w:rPr>
        <w:t>.</w:t>
      </w:r>
      <w:r>
        <w:rPr>
          <w:snapToGrid w:val="0"/>
        </w:rPr>
        <w:tab/>
        <w:t>Account established; administration of account</w:t>
      </w:r>
      <w:bookmarkEnd w:id="126"/>
    </w:p>
    <w:p>
      <w:pPr>
        <w:pStyle w:val="Subsection"/>
      </w:pPr>
      <w:r>
        <w:tab/>
        <w:t>(1)</w:t>
      </w:r>
      <w:r>
        <w:tab/>
        <w:t>An account called the Settlement Agents Interest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w:t>
      </w:r>
      <w:r>
        <w:t>Interest Account</w:t>
      </w:r>
      <w:r>
        <w:rPr>
          <w:snapToGrid w:val="0"/>
        </w:rPr>
        <w:t xml:space="preserve"> is to be administered by the </w:t>
      </w:r>
      <w:r>
        <w:t>chief executive officer.</w:t>
      </w:r>
    </w:p>
    <w:p>
      <w:pPr>
        <w:pStyle w:val="Footnotesection"/>
      </w:pPr>
      <w:r>
        <w:tab/>
        <w:t>[Section 103 inserted by No. 59 of 1995 s. 81; amended by No. 77 of 2006 Sch. 1 cl. 156(14); No. 46 of 2009 s. 15(3); No. 58 of 2010 s. 168.]</w:t>
      </w:r>
    </w:p>
    <w:p>
      <w:pPr>
        <w:pStyle w:val="Heading5"/>
        <w:rPr>
          <w:snapToGrid w:val="0"/>
        </w:rPr>
      </w:pPr>
      <w:bookmarkStart w:id="127" w:name="_Toc468701148"/>
      <w:r>
        <w:rPr>
          <w:rStyle w:val="CharSectno"/>
        </w:rPr>
        <w:t>104</w:t>
      </w:r>
      <w:r>
        <w:rPr>
          <w:snapToGrid w:val="0"/>
        </w:rPr>
        <w:t>.</w:t>
      </w:r>
      <w:r>
        <w:rPr>
          <w:snapToGrid w:val="0"/>
        </w:rPr>
        <w:tab/>
        <w:t>Moneys to be credited to a</w:t>
      </w:r>
      <w:r>
        <w:t>ccount</w:t>
      </w:r>
      <w:bookmarkEnd w:id="127"/>
    </w:p>
    <w:p>
      <w:pPr>
        <w:pStyle w:val="Subsection"/>
        <w:rPr>
          <w:snapToGrid w:val="0"/>
        </w:rPr>
      </w:pPr>
      <w:r>
        <w:rPr>
          <w:snapToGrid w:val="0"/>
        </w:rPr>
        <w:tab/>
      </w:r>
      <w:r>
        <w:rPr>
          <w:snapToGrid w:val="0"/>
        </w:rPr>
        <w:tab/>
        <w:t>There are to be credited to the</w:t>
      </w:r>
      <w:r>
        <w:t xml:space="preserve"> Interest Account</w:t>
      </w:r>
      <w:r>
        <w:rPr>
          <w:snapToGrid w:val="0"/>
        </w:rPr>
        <w:t> —</w:t>
      </w:r>
    </w:p>
    <w:p>
      <w:pPr>
        <w:pStyle w:val="Indenta"/>
        <w:rPr>
          <w:snapToGrid w:val="0"/>
        </w:rPr>
      </w:pPr>
      <w:r>
        <w:rPr>
          <w:snapToGrid w:val="0"/>
        </w:rPr>
        <w:tab/>
        <w:t>(a)</w:t>
      </w:r>
      <w:r>
        <w:rPr>
          <w:snapToGrid w:val="0"/>
        </w:rPr>
        <w:tab/>
        <w:t xml:space="preserve">all moneys paid to the credit of the </w:t>
      </w:r>
      <w:r>
        <w:t>Interest Account</w:t>
      </w:r>
      <w:r>
        <w:rPr>
          <w:snapToGrid w:val="0"/>
        </w:rPr>
        <w:t xml:space="preserve"> under section 49B; and</w:t>
      </w:r>
    </w:p>
    <w:p>
      <w:pPr>
        <w:pStyle w:val="Indenta"/>
        <w:rPr>
          <w:snapToGrid w:val="0"/>
        </w:rPr>
      </w:pPr>
      <w:r>
        <w:rPr>
          <w:snapToGrid w:val="0"/>
        </w:rPr>
        <w:tab/>
        <w:t>(b)</w:t>
      </w:r>
      <w:r>
        <w:rPr>
          <w:snapToGrid w:val="0"/>
        </w:rPr>
        <w:tab/>
        <w:t>income derived from the investment, under section 106, of moneys standing to the credit of the</w:t>
      </w:r>
      <w:r>
        <w:t xml:space="preserve"> Interest Account</w:t>
      </w:r>
      <w:r>
        <w:rPr>
          <w:snapToGrid w:val="0"/>
        </w:rPr>
        <w:t>; and</w:t>
      </w:r>
    </w:p>
    <w:p>
      <w:pPr>
        <w:pStyle w:val="Indenta"/>
        <w:rPr>
          <w:snapToGrid w:val="0"/>
        </w:rPr>
      </w:pPr>
      <w:r>
        <w:rPr>
          <w:snapToGrid w:val="0"/>
        </w:rPr>
        <w:tab/>
        <w:t>(c)</w:t>
      </w:r>
      <w:r>
        <w:rPr>
          <w:snapToGrid w:val="0"/>
        </w:rPr>
        <w:tab/>
        <w:t>any moneys, other than moneys referred to in paragraphs (a) and (b), that may lawfully be credited to the</w:t>
      </w:r>
      <w:r>
        <w:t xml:space="preserve"> Interest Account</w:t>
      </w:r>
      <w:r>
        <w:rPr>
          <w:snapToGrid w:val="0"/>
        </w:rPr>
        <w:t>.</w:t>
      </w:r>
    </w:p>
    <w:p>
      <w:pPr>
        <w:pStyle w:val="Footnotesection"/>
      </w:pPr>
      <w:r>
        <w:tab/>
        <w:t>[Section 104 inserted by No. 59 of 1995 s. 81; amended by No. 46 of 2009 s. 15(3).]</w:t>
      </w:r>
    </w:p>
    <w:p>
      <w:pPr>
        <w:pStyle w:val="Heading5"/>
        <w:rPr>
          <w:snapToGrid w:val="0"/>
        </w:rPr>
      </w:pPr>
      <w:bookmarkStart w:id="128" w:name="_Toc468701149"/>
      <w:r>
        <w:rPr>
          <w:rStyle w:val="CharSectno"/>
        </w:rPr>
        <w:t>105</w:t>
      </w:r>
      <w:r>
        <w:rPr>
          <w:snapToGrid w:val="0"/>
        </w:rPr>
        <w:t>.</w:t>
      </w:r>
      <w:r>
        <w:rPr>
          <w:snapToGrid w:val="0"/>
        </w:rPr>
        <w:tab/>
        <w:t>Expenditure from a</w:t>
      </w:r>
      <w:r>
        <w:t>ccount</w:t>
      </w:r>
      <w:bookmarkEnd w:id="128"/>
    </w:p>
    <w:p>
      <w:pPr>
        <w:pStyle w:val="Subsection"/>
        <w:keepNext/>
        <w:rPr>
          <w:snapToGrid w:val="0"/>
        </w:rPr>
      </w:pPr>
      <w:r>
        <w:rPr>
          <w:snapToGrid w:val="0"/>
        </w:rPr>
        <w:tab/>
      </w:r>
      <w:r>
        <w:rPr>
          <w:snapToGrid w:val="0"/>
        </w:rPr>
        <w:tab/>
        <w:t xml:space="preserve">Moneys standing to the credit of </w:t>
      </w:r>
      <w:r>
        <w:t>the Interest Account are</w:t>
      </w:r>
      <w:r>
        <w:rPr>
          <w:snapToGrid w:val="0"/>
        </w:rPr>
        <w:t xml:space="preserve"> to be applied at such times as are prescribed —</w:t>
      </w:r>
    </w:p>
    <w:p>
      <w:pPr>
        <w:pStyle w:val="Indenta"/>
        <w:rPr>
          <w:snapToGrid w:val="0"/>
        </w:rPr>
      </w:pPr>
      <w:r>
        <w:rPr>
          <w:snapToGrid w:val="0"/>
        </w:rPr>
        <w:tab/>
        <w:t>(a)</w:t>
      </w:r>
      <w:r>
        <w:rPr>
          <w:snapToGrid w:val="0"/>
        </w:rPr>
        <w:tab/>
        <w:t>first, in payment of the costs involved in administering the</w:t>
      </w:r>
      <w:r>
        <w:t xml:space="preserve"> Interest Account</w:t>
      </w:r>
      <w:r>
        <w:rPr>
          <w:snapToGrid w:val="0"/>
        </w:rPr>
        <w: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[Section 105 inserted by No. 59 of 1995 s. 81; amended by No. 77 of 2006 Sch. 1 cl. 156(2); No. 46 of 2009 s. 15(3).]</w:t>
      </w:r>
    </w:p>
    <w:p>
      <w:pPr>
        <w:pStyle w:val="Heading5"/>
        <w:rPr>
          <w:snapToGrid w:val="0"/>
        </w:rPr>
      </w:pPr>
      <w:bookmarkStart w:id="129" w:name="_Toc468701150"/>
      <w:r>
        <w:rPr>
          <w:rStyle w:val="CharSectno"/>
        </w:rPr>
        <w:t>106</w:t>
      </w:r>
      <w:r>
        <w:rPr>
          <w:snapToGrid w:val="0"/>
        </w:rPr>
        <w:t>.</w:t>
      </w:r>
      <w:r>
        <w:rPr>
          <w:snapToGrid w:val="0"/>
        </w:rPr>
        <w:tab/>
        <w:t>Investment of moneys in a</w:t>
      </w:r>
      <w:r>
        <w:t>ccount</w:t>
      </w:r>
      <w:bookmarkEnd w:id="129"/>
    </w:p>
    <w:p>
      <w:pPr>
        <w:pStyle w:val="Subsection"/>
        <w:rPr>
          <w:snapToGrid w:val="0"/>
        </w:rPr>
      </w:pPr>
      <w:r>
        <w:rPr>
          <w:snapToGrid w:val="0"/>
        </w:rPr>
        <w:tab/>
        <w:t>(1)</w:t>
      </w:r>
      <w:r>
        <w:rPr>
          <w:snapToGrid w:val="0"/>
        </w:rPr>
        <w:tab/>
        <w:t xml:space="preserve">Moneys standing to the credit of </w:t>
      </w:r>
      <w:r>
        <w:t xml:space="preserve">the Interest Account may, </w:t>
      </w:r>
      <w:r>
        <w:rPr>
          <w:snapToGrid w:val="0"/>
        </w:rPr>
        <w:t xml:space="preserve">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w:t>
      </w:r>
      <w:r>
        <w:t xml:space="preserve"> Interest Account</w:t>
      </w:r>
      <w:r>
        <w:rPr>
          <w:snapToGrid w:val="0"/>
        </w:rPr>
        <w:t>.</w:t>
      </w:r>
    </w:p>
    <w:p>
      <w:pPr>
        <w:pStyle w:val="Footnotesection"/>
      </w:pPr>
      <w:r>
        <w:tab/>
        <w:t>[Section 106 inserted by No. 59 of 1995 s. 81; amended by No. 77 of 2006 Sch. 1 cl. 156(15); No. 46 of 2009 s. 15(3).]</w:t>
      </w:r>
    </w:p>
    <w:p>
      <w:pPr>
        <w:pStyle w:val="Ednotesection"/>
        <w:tabs>
          <w:tab w:val="clear" w:pos="893"/>
          <w:tab w:val="left" w:pos="1140"/>
        </w:tabs>
      </w:pPr>
      <w:r>
        <w:t>[</w:t>
      </w:r>
      <w:r>
        <w:rPr>
          <w:b/>
        </w:rPr>
        <w:t>107, 108.</w:t>
      </w:r>
      <w:r>
        <w:tab/>
        <w:t>Deleted by No. 59 of 1995 s. 81.]</w:t>
      </w:r>
    </w:p>
    <w:p>
      <w:pPr>
        <w:pStyle w:val="Ednotesection"/>
      </w:pPr>
      <w:r>
        <w:t>[</w:t>
      </w:r>
      <w:r>
        <w:rPr>
          <w:b/>
        </w:rPr>
        <w:t>109.</w:t>
      </w:r>
      <w:r>
        <w:tab/>
        <w:t>Deleted by No. 98 of 1985 s. 3.]</w:t>
      </w:r>
    </w:p>
    <w:p>
      <w:pPr>
        <w:pStyle w:val="Heading2"/>
      </w:pPr>
      <w:bookmarkStart w:id="130" w:name="_Toc413409945"/>
      <w:bookmarkStart w:id="131" w:name="_Toc416168619"/>
      <w:bookmarkStart w:id="132" w:name="_Toc468701151"/>
      <w:r>
        <w:rPr>
          <w:rStyle w:val="CharPartNo"/>
        </w:rPr>
        <w:t>Part VII</w:t>
      </w:r>
      <w:r>
        <w:rPr>
          <w:rStyle w:val="CharDivNo"/>
        </w:rPr>
        <w:t> </w:t>
      </w:r>
      <w:r>
        <w:t>—</w:t>
      </w:r>
      <w:r>
        <w:rPr>
          <w:rStyle w:val="CharDivText"/>
        </w:rPr>
        <w:t> </w:t>
      </w:r>
      <w:r>
        <w:rPr>
          <w:rStyle w:val="CharPartText"/>
        </w:rPr>
        <w:t>Miscellaneous</w:t>
      </w:r>
      <w:bookmarkEnd w:id="130"/>
      <w:bookmarkEnd w:id="131"/>
      <w:bookmarkEnd w:id="132"/>
    </w:p>
    <w:p>
      <w:pPr>
        <w:pStyle w:val="Heading5"/>
        <w:rPr>
          <w:snapToGrid w:val="0"/>
        </w:rPr>
      </w:pPr>
      <w:bookmarkStart w:id="133" w:name="_Toc468701152"/>
      <w:r>
        <w:rPr>
          <w:rStyle w:val="CharSectno"/>
        </w:rPr>
        <w:t>110</w:t>
      </w:r>
      <w:r>
        <w:rPr>
          <w:snapToGrid w:val="0"/>
        </w:rPr>
        <w:t>.</w:t>
      </w:r>
      <w:r>
        <w:rPr>
          <w:snapToGrid w:val="0"/>
        </w:rPr>
        <w:tab/>
        <w:t>Registers of licensees etc., Commissioner to keep etc.</w:t>
      </w:r>
      <w:bookmarkEnd w:id="133"/>
    </w:p>
    <w:p>
      <w:pPr>
        <w:pStyle w:val="Subsection"/>
        <w:rPr>
          <w:snapToGrid w:val="0"/>
        </w:rPr>
      </w:pPr>
      <w:r>
        <w:rPr>
          <w:snapToGrid w:val="0"/>
        </w:rPr>
        <w:tab/>
        <w:t>(1)</w:t>
      </w:r>
      <w:r>
        <w:rPr>
          <w:snapToGrid w:val="0"/>
        </w:rPr>
        <w:tab/>
        <w:t xml:space="preserve">The </w:t>
      </w:r>
      <w:r>
        <w:t>Commissioner</w:t>
      </w:r>
      <w:r>
        <w:rPr>
          <w:snapToGrid w:val="0"/>
        </w:rPr>
        <w:t xml:space="preserve"> shall keep the following registers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110 amended by No. 58 of 2010 s. 176.]</w:t>
      </w:r>
    </w:p>
    <w:p>
      <w:pPr>
        <w:pStyle w:val="Heading5"/>
        <w:rPr>
          <w:snapToGrid w:val="0"/>
        </w:rPr>
      </w:pPr>
      <w:bookmarkStart w:id="134" w:name="_Toc468701153"/>
      <w:r>
        <w:rPr>
          <w:rStyle w:val="CharSectno"/>
        </w:rPr>
        <w:t>111</w:t>
      </w:r>
      <w:r>
        <w:rPr>
          <w:snapToGrid w:val="0"/>
        </w:rPr>
        <w:t>.</w:t>
      </w:r>
      <w:r>
        <w:rPr>
          <w:snapToGrid w:val="0"/>
        </w:rPr>
        <w:tab/>
        <w:t>Commissioner’s certificate</w:t>
      </w:r>
      <w:bookmarkEnd w:id="134"/>
    </w:p>
    <w:p>
      <w:pPr>
        <w:pStyle w:val="Ednotesubsection"/>
      </w:pPr>
      <w:r>
        <w:tab/>
        <w:t>[(1), (2)</w:t>
      </w:r>
      <w:r>
        <w:tab/>
        <w:t>deleted]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111 amended by No. 58 of 2010 s. 176; No. 23 of 2014 s. 108.]</w:t>
      </w:r>
    </w:p>
    <w:p>
      <w:pPr>
        <w:pStyle w:val="Heading5"/>
        <w:rPr>
          <w:snapToGrid w:val="0"/>
        </w:rPr>
      </w:pPr>
      <w:bookmarkStart w:id="135" w:name="_Toc468701154"/>
      <w:r>
        <w:rPr>
          <w:rStyle w:val="CharSectno"/>
        </w:rPr>
        <w:t>112</w:t>
      </w:r>
      <w:r>
        <w:rPr>
          <w:snapToGrid w:val="0"/>
        </w:rPr>
        <w:t>.</w:t>
      </w:r>
      <w:r>
        <w:rPr>
          <w:snapToGrid w:val="0"/>
        </w:rPr>
        <w:tab/>
        <w:t>Annual report by department</w:t>
      </w:r>
      <w:bookmarkEnd w:id="135"/>
    </w:p>
    <w:p>
      <w:pPr>
        <w:pStyle w:val="Ednotesubsection"/>
      </w:pPr>
      <w:r>
        <w:tab/>
        <w:t>[(1)</w:t>
      </w:r>
      <w:r>
        <w:tab/>
        <w:t>deleted]</w:t>
      </w:r>
    </w:p>
    <w:p>
      <w:pPr>
        <w:pStyle w:val="Subsection"/>
      </w:pPr>
      <w:r>
        <w:tab/>
        <w:t>(2)</w:t>
      </w:r>
      <w:r>
        <w:tab/>
        <w:t>The department’s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 xml:space="preserve">investigations and inquiries undertaken by, or at the direction of, the </w:t>
      </w:r>
      <w:r>
        <w:t>Commissioner;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rPr>
          <w:snapToGrid w:val="0"/>
        </w:rPr>
      </w:pPr>
      <w:r>
        <w:rPr>
          <w:snapToGrid w:val="0"/>
        </w:rPr>
        <w:tab/>
      </w:r>
      <w:r>
        <w:rPr>
          <w:snapToGrid w:val="0"/>
        </w:rP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rPr>
          <w:snapToGrid w:val="0"/>
        </w:rPr>
      </w:pPr>
      <w:r>
        <w:tab/>
        <w:t>(e)</w:t>
      </w:r>
      <w:r>
        <w:tab/>
        <w:t>any proposals for improving the operation of the Commissioner.</w:t>
      </w:r>
    </w:p>
    <w:p>
      <w:pPr>
        <w:pStyle w:val="Footnotesection"/>
      </w:pPr>
      <w:r>
        <w:tab/>
        <w:t>[Section 112 inserted by No. 98 of 1985 s. 3; amended by No. 59 of 1995 s. 82; No. 55 of 2004 s. 1092; No. 77 of 2006 Sch. 1 cl. 156(16); No. 58 of 2010 s. 169.]</w:t>
      </w:r>
    </w:p>
    <w:p>
      <w:pPr>
        <w:pStyle w:val="Heading5"/>
        <w:rPr>
          <w:snapToGrid w:val="0"/>
        </w:rPr>
      </w:pPr>
      <w:bookmarkStart w:id="136" w:name="_Toc468701155"/>
      <w:r>
        <w:rPr>
          <w:rStyle w:val="CharSectno"/>
        </w:rPr>
        <w:t>113</w:t>
      </w:r>
      <w:r>
        <w:rPr>
          <w:snapToGrid w:val="0"/>
        </w:rPr>
        <w:t>.</w:t>
      </w:r>
      <w:r>
        <w:rPr>
          <w:snapToGrid w:val="0"/>
        </w:rPr>
        <w:tab/>
        <w:t>Reports by Commissioner to Minister</w:t>
      </w:r>
      <w:bookmarkEnd w:id="136"/>
    </w:p>
    <w:p>
      <w:pPr>
        <w:pStyle w:val="Subsection"/>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keepNext/>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 xml:space="preserve">and where, in the opinion of the </w:t>
      </w:r>
      <w:r>
        <w:t>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pPr>
      <w:r>
        <w:tab/>
        <w:t>[Section 113 amended by No. 58 of 2010 s. 176.]</w:t>
      </w:r>
    </w:p>
    <w:p>
      <w:pPr>
        <w:pStyle w:val="Heading5"/>
        <w:rPr>
          <w:snapToGrid w:val="0"/>
        </w:rPr>
      </w:pPr>
      <w:bookmarkStart w:id="137" w:name="_Toc468701156"/>
      <w:r>
        <w:rPr>
          <w:rStyle w:val="CharSectno"/>
        </w:rPr>
        <w:t>114</w:t>
      </w:r>
      <w:r>
        <w:rPr>
          <w:snapToGrid w:val="0"/>
        </w:rPr>
        <w:t>.</w:t>
      </w:r>
      <w:r>
        <w:rPr>
          <w:snapToGrid w:val="0"/>
        </w:rPr>
        <w:tab/>
        <w:t>Refunds of fees, Commissioner’s powers as to</w:t>
      </w:r>
      <w:bookmarkEnd w:id="137"/>
    </w:p>
    <w:p>
      <w:pPr>
        <w:pStyle w:val="Subsection"/>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licence or triennial certificate or any sum paid by way of contribution or levy to the</w:t>
      </w:r>
      <w:r>
        <w:t xml:space="preserve"> Account</w:t>
      </w:r>
      <w:r>
        <w:rPr>
          <w:snapToGrid w:val="0"/>
        </w:rPr>
        <w:t>.</w:t>
      </w:r>
    </w:p>
    <w:p>
      <w:pPr>
        <w:pStyle w:val="Footnotesection"/>
      </w:pPr>
      <w:r>
        <w:tab/>
        <w:t>[Section 114 amended by No. 77 of 2006 Sch. 1 cl. 156(2); No. 58 of 2010 s. 170 and 176.]</w:t>
      </w:r>
    </w:p>
    <w:p>
      <w:pPr>
        <w:pStyle w:val="Heading5"/>
      </w:pPr>
      <w:bookmarkStart w:id="138" w:name="_Toc468701157"/>
      <w:r>
        <w:rPr>
          <w:rStyle w:val="CharSectno"/>
        </w:rPr>
        <w:t>115</w:t>
      </w:r>
      <w:r>
        <w:t>.</w:t>
      </w:r>
      <w:r>
        <w:tab/>
        <w:t>Protection from personal liability</w:t>
      </w:r>
      <w:bookmarkEnd w:id="138"/>
    </w:p>
    <w:p>
      <w:pPr>
        <w:pStyle w:val="Subsection"/>
      </w:pPr>
      <w:r>
        <w:tab/>
      </w:r>
      <w:r>
        <w:tab/>
        <w:t>A person does not incur any liability in tort for anything that the person does, in good faith, in the performance or purported performance of a function under this Act.</w:t>
      </w:r>
    </w:p>
    <w:p>
      <w:pPr>
        <w:pStyle w:val="Footnotesection"/>
      </w:pPr>
      <w:r>
        <w:tab/>
        <w:t>[Section 115 inserted by No. 58 of 2010 s. 171.]</w:t>
      </w:r>
    </w:p>
    <w:p>
      <w:pPr>
        <w:pStyle w:val="Heading5"/>
      </w:pPr>
      <w:bookmarkStart w:id="139" w:name="_Toc468701158"/>
      <w:r>
        <w:rPr>
          <w:rStyle w:val="CharSectno"/>
        </w:rPr>
        <w:t>116</w:t>
      </w:r>
      <w:r>
        <w:t>.</w:t>
      </w:r>
      <w:r>
        <w:tab/>
        <w:t>Confidentiality of information officially obtained</w:t>
      </w:r>
      <w:bookmarkEnd w:id="139"/>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116 inserted by No. 58 of 2010 s. 172.]</w:t>
      </w:r>
    </w:p>
    <w:p>
      <w:pPr>
        <w:pStyle w:val="Heading5"/>
        <w:rPr>
          <w:snapToGrid w:val="0"/>
        </w:rPr>
      </w:pPr>
      <w:bookmarkStart w:id="140" w:name="_Toc468701159"/>
      <w:r>
        <w:rPr>
          <w:rStyle w:val="CharSectno"/>
        </w:rPr>
        <w:t>117</w:t>
      </w:r>
      <w:r>
        <w:rPr>
          <w:snapToGrid w:val="0"/>
        </w:rPr>
        <w:t>.</w:t>
      </w:r>
      <w:r>
        <w:rPr>
          <w:snapToGrid w:val="0"/>
        </w:rPr>
        <w:tab/>
        <w:t>Liability of directors of body corporate for defalcations</w:t>
      </w:r>
      <w:bookmarkEnd w:id="140"/>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141" w:name="_Toc468701160"/>
      <w:r>
        <w:rPr>
          <w:rStyle w:val="CharSectno"/>
        </w:rPr>
        <w:t>118</w:t>
      </w:r>
      <w:r>
        <w:rPr>
          <w:snapToGrid w:val="0"/>
        </w:rPr>
        <w:t>.</w:t>
      </w:r>
      <w:r>
        <w:rPr>
          <w:snapToGrid w:val="0"/>
        </w:rPr>
        <w:tab/>
        <w:t>Other rights and remedies not affected by this Act</w:t>
      </w:r>
      <w:bookmarkEnd w:id="141"/>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42" w:name="_Toc468701161"/>
      <w:r>
        <w:rPr>
          <w:rStyle w:val="CharSectno"/>
        </w:rPr>
        <w:t>119</w:t>
      </w:r>
      <w:r>
        <w:rPr>
          <w:snapToGrid w:val="0"/>
        </w:rPr>
        <w:t>.</w:t>
      </w:r>
      <w:r>
        <w:rPr>
          <w:snapToGrid w:val="0"/>
        </w:rPr>
        <w:tab/>
        <w:t>Rights conferred by Act cannot be waived</w:t>
      </w:r>
      <w:bookmarkEnd w:id="142"/>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43" w:name="_Toc468701162"/>
      <w:r>
        <w:rPr>
          <w:rStyle w:val="CharSectno"/>
        </w:rPr>
        <w:t>120</w:t>
      </w:r>
      <w:r>
        <w:rPr>
          <w:snapToGrid w:val="0"/>
        </w:rPr>
        <w:t>.</w:t>
      </w:r>
      <w:r>
        <w:rPr>
          <w:snapToGrid w:val="0"/>
        </w:rPr>
        <w:tab/>
        <w:t>General penalty for offences</w:t>
      </w:r>
      <w:bookmarkEnd w:id="143"/>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spacing w:before="110"/>
      </w:pPr>
      <w:r>
        <w:tab/>
        <w:t>[Section 120 amended by No. 59 of 1995 s. 85.]</w:t>
      </w:r>
    </w:p>
    <w:p>
      <w:pPr>
        <w:pStyle w:val="Heading5"/>
        <w:rPr>
          <w:snapToGrid w:val="0"/>
        </w:rPr>
      </w:pPr>
      <w:bookmarkStart w:id="144" w:name="_Toc468701163"/>
      <w:r>
        <w:rPr>
          <w:rStyle w:val="CharSectno"/>
        </w:rPr>
        <w:t>121</w:t>
      </w:r>
      <w:r>
        <w:rPr>
          <w:snapToGrid w:val="0"/>
        </w:rPr>
        <w:t>.</w:t>
      </w:r>
      <w:r>
        <w:rPr>
          <w:snapToGrid w:val="0"/>
        </w:rPr>
        <w:tab/>
        <w:t>Proceedings for offences</w:t>
      </w:r>
      <w:bookmarkEnd w:id="144"/>
    </w:p>
    <w:p>
      <w:pPr>
        <w:pStyle w:val="Subsection"/>
        <w:rPr>
          <w:snapToGrid w:val="0"/>
        </w:rPr>
      </w:pPr>
      <w:r>
        <w:rPr>
          <w:snapToGrid w:val="0"/>
        </w:rPr>
        <w:tab/>
        <w:t>(1)</w:t>
      </w:r>
      <w:r>
        <w:rPr>
          <w:snapToGrid w:val="0"/>
        </w:rPr>
        <w:tab/>
        <w:t xml:space="preserve">Proceedings for an offence against this Act may be taken by the </w:t>
      </w:r>
      <w:r>
        <w:t>Commissioner</w:t>
      </w:r>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An allegation in a charge of an offence against this Act that a person named therein was or was not licensed or the holder of a current triennial certificate at the time specified therein shall, in the absence of proof to the contrary, be taken as proved.</w:t>
      </w:r>
    </w:p>
    <w:p>
      <w:pPr>
        <w:pStyle w:val="Footnotesection"/>
      </w:pPr>
      <w:r>
        <w:tab/>
        <w:t>[Section 121 amended by No. 59 of 2004 s. 141; No. 84 of 2004 s. 80; No. 58 of 2010 s. 176.]</w:t>
      </w:r>
    </w:p>
    <w:p>
      <w:pPr>
        <w:pStyle w:val="Heading5"/>
        <w:rPr>
          <w:snapToGrid w:val="0"/>
        </w:rPr>
      </w:pPr>
      <w:bookmarkStart w:id="145" w:name="_Toc468701164"/>
      <w:r>
        <w:rPr>
          <w:rStyle w:val="CharSectno"/>
        </w:rPr>
        <w:t>122</w:t>
      </w:r>
      <w:r>
        <w:rPr>
          <w:snapToGrid w:val="0"/>
        </w:rPr>
        <w:t>.</w:t>
      </w:r>
      <w:r>
        <w:rPr>
          <w:snapToGrid w:val="0"/>
        </w:rPr>
        <w:tab/>
        <w:t>Forms</w:t>
      </w:r>
      <w:bookmarkEnd w:id="145"/>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r>
        <w:tab/>
        <w:t>[Section 122 amended by No. 58 of 2010 s. 176.]</w:t>
      </w:r>
    </w:p>
    <w:p>
      <w:pPr>
        <w:pStyle w:val="Heading5"/>
        <w:rPr>
          <w:snapToGrid w:val="0"/>
        </w:rPr>
      </w:pPr>
      <w:bookmarkStart w:id="146" w:name="_Toc468701165"/>
      <w:r>
        <w:rPr>
          <w:rStyle w:val="CharSectno"/>
        </w:rPr>
        <w:t>123</w:t>
      </w:r>
      <w:r>
        <w:rPr>
          <w:snapToGrid w:val="0"/>
        </w:rPr>
        <w:t>.</w:t>
      </w:r>
      <w:r>
        <w:rPr>
          <w:snapToGrid w:val="0"/>
        </w:rPr>
        <w:tab/>
        <w:t>Regulations</w:t>
      </w:r>
      <w:bookmarkEnd w:id="146"/>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 xml:space="preserve">prescribe the procedure of the </w:t>
      </w:r>
      <w:r>
        <w:t>Commissioner</w:t>
      </w:r>
      <w:r>
        <w:rPr>
          <w:snapToGrid w:val="0"/>
        </w:rPr>
        <w:t>;</w:t>
      </w:r>
    </w:p>
    <w:p>
      <w:pPr>
        <w:pStyle w:val="Ednotepara"/>
      </w:pPr>
      <w:r>
        <w:tab/>
        <w:t>[(b)</w:t>
      </w:r>
      <w: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 xml:space="preserve">prescribe a body or class of bodies for the purposes of the definition of </w:t>
      </w:r>
      <w:r>
        <w:rPr>
          <w:b/>
          <w:bCs/>
          <w:i/>
          <w:iCs/>
          <w:snapToGrid w:val="0"/>
        </w:rPr>
        <w:t>authorised financial institution</w:t>
      </w:r>
      <w:r>
        <w:rPr>
          <w:snapToGrid w:val="0"/>
        </w:rPr>
        <w:t xml:space="preserve">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deleted]</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[Section 123 amended by No. 65 of 1987 s. 43; No. 59 of 1995 s. 83 and 85; No. 55 of 2004 s. 1093; No. 77 of 2006 Sch. 1 cl. 156(2); No. 58 of 2010 s. 173 and 176.]</w:t>
      </w:r>
    </w:p>
    <w:p>
      <w:pPr>
        <w:pStyle w:val="Heading2"/>
      </w:pPr>
      <w:bookmarkStart w:id="147" w:name="_Toc413409960"/>
      <w:bookmarkStart w:id="148" w:name="_Toc416168634"/>
      <w:bookmarkStart w:id="149" w:name="_Toc468701166"/>
      <w:r>
        <w:rPr>
          <w:rStyle w:val="CharPartNo"/>
        </w:rPr>
        <w:t>Part VIII</w:t>
      </w:r>
      <w:r>
        <w:t> — </w:t>
      </w:r>
      <w:r>
        <w:rPr>
          <w:rStyle w:val="CharPartText"/>
        </w:rPr>
        <w:t>Savings and transitional</w:t>
      </w:r>
      <w:bookmarkEnd w:id="147"/>
      <w:bookmarkEnd w:id="148"/>
      <w:bookmarkEnd w:id="149"/>
    </w:p>
    <w:p>
      <w:pPr>
        <w:pStyle w:val="Footnoteheading"/>
      </w:pPr>
      <w:r>
        <w:tab/>
        <w:t>[Heading inserted by No. 58 of 2010 s. 174.]</w:t>
      </w:r>
    </w:p>
    <w:p>
      <w:pPr>
        <w:pStyle w:val="Heading5"/>
      </w:pPr>
      <w:bookmarkStart w:id="150" w:name="_Toc468701167"/>
      <w:r>
        <w:rPr>
          <w:rStyle w:val="CharSectno"/>
        </w:rPr>
        <w:t>124</w:t>
      </w:r>
      <w:r>
        <w:t>.</w:t>
      </w:r>
      <w:r>
        <w:tab/>
        <w:t>Terms used</w:t>
      </w:r>
      <w:bookmarkEnd w:id="150"/>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 (Fair Trading) Act 2010</w:t>
      </w:r>
      <w:r>
        <w:t xml:space="preserve"> Part 7 comes into operation;</w:t>
      </w:r>
    </w:p>
    <w:p>
      <w:pPr>
        <w:pStyle w:val="Defstart"/>
      </w:pPr>
      <w:r>
        <w:tab/>
      </w:r>
      <w:r>
        <w:rPr>
          <w:rStyle w:val="CharDefText"/>
        </w:rPr>
        <w:t>former Board</w:t>
      </w:r>
      <w:r>
        <w:t xml:space="preserve"> means the Settlement Agents Supervisory Board established by section 5 of this Act immediately prior to the commencement day;</w:t>
      </w:r>
    </w:p>
    <w:p>
      <w:pPr>
        <w:pStyle w:val="Defstart"/>
      </w:pPr>
      <w:r>
        <w:tab/>
      </w:r>
      <w:r>
        <w:rPr>
          <w:rStyle w:val="CharDefText"/>
        </w:rPr>
        <w:t>former Registrar</w:t>
      </w:r>
      <w:r>
        <w:t xml:space="preserve"> means a Registrar appointed under section 12 of this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124 inserted by No. 58 of 2010 s. 174.]</w:t>
      </w:r>
    </w:p>
    <w:p>
      <w:pPr>
        <w:pStyle w:val="Heading5"/>
      </w:pPr>
      <w:bookmarkStart w:id="151" w:name="_Toc468701168"/>
      <w:r>
        <w:rPr>
          <w:rStyle w:val="CharSectno"/>
        </w:rPr>
        <w:t>125</w:t>
      </w:r>
      <w:r>
        <w:t>.</w:t>
      </w:r>
      <w:r>
        <w:tab/>
        <w:t>Former Board abolished</w:t>
      </w:r>
      <w:bookmarkEnd w:id="151"/>
    </w:p>
    <w:p>
      <w:pPr>
        <w:pStyle w:val="Subsection"/>
      </w:pPr>
      <w:r>
        <w:tab/>
      </w:r>
      <w:r>
        <w:tab/>
        <w:t>Subject to sections 132 and 133, at the beginning of the commencement day, the former Board is abolished and its members go out of office.</w:t>
      </w:r>
    </w:p>
    <w:p>
      <w:pPr>
        <w:pStyle w:val="Footnotesection"/>
      </w:pPr>
      <w:r>
        <w:tab/>
        <w:t>[Section 125 inserted by No. 58 of 2010 s. 174.]</w:t>
      </w:r>
    </w:p>
    <w:p>
      <w:pPr>
        <w:pStyle w:val="Heading5"/>
      </w:pPr>
      <w:bookmarkStart w:id="152" w:name="_Toc468701169"/>
      <w:r>
        <w:rPr>
          <w:rStyle w:val="CharSectno"/>
        </w:rPr>
        <w:t>126</w:t>
      </w:r>
      <w:r>
        <w:t>.</w:t>
      </w:r>
      <w:r>
        <w:tab/>
        <w:t>References to former Board</w:t>
      </w:r>
      <w:bookmarkEnd w:id="152"/>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126 inserted by No. 58 of 2010 s. 174.]</w:t>
      </w:r>
    </w:p>
    <w:p>
      <w:pPr>
        <w:pStyle w:val="Heading5"/>
      </w:pPr>
      <w:bookmarkStart w:id="153" w:name="_Toc468701170"/>
      <w:r>
        <w:rPr>
          <w:rStyle w:val="CharSectno"/>
        </w:rPr>
        <w:t>127</w:t>
      </w:r>
      <w:r>
        <w:t>.</w:t>
      </w:r>
      <w:r>
        <w:tab/>
        <w:t>Immunity continues</w:t>
      </w:r>
      <w:bookmarkEnd w:id="153"/>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127 inserted by No. 58 of 2010 s. 174.]</w:t>
      </w:r>
    </w:p>
    <w:p>
      <w:pPr>
        <w:pStyle w:val="Heading5"/>
      </w:pPr>
      <w:bookmarkStart w:id="154" w:name="_Toc468701171"/>
      <w:r>
        <w:rPr>
          <w:rStyle w:val="CharSectno"/>
        </w:rPr>
        <w:t>128</w:t>
      </w:r>
      <w:r>
        <w:t>.</w:t>
      </w:r>
      <w:r>
        <w:tab/>
        <w:t>Notices and rules made by former Board</w:t>
      </w:r>
      <w:bookmarkEnd w:id="154"/>
    </w:p>
    <w:p>
      <w:pPr>
        <w:pStyle w:val="Subsection"/>
      </w:pPr>
      <w:r>
        <w:tab/>
        <w:t>(1)</w:t>
      </w:r>
      <w:r>
        <w:tab/>
        <w:t>If the former Board has fixed by notice the maximum amount of remuneration of a licensee under section 44 of the Act immediately prior to the commencement day, that notice is to be taken to have been given by the Commissioner and continues in force until amended or revoked by the Commissioner.</w:t>
      </w:r>
    </w:p>
    <w:p>
      <w:pPr>
        <w:pStyle w:val="Subsection"/>
      </w:pPr>
      <w:r>
        <w:tab/>
        <w:t>(2)</w:t>
      </w:r>
      <w:r>
        <w:tab/>
        <w:t>If the former Board has made rules prescribing a code of conduct under section 82 of the Act as it was immediately prior to the commencement day, those rules and that code of conduct are taken to be made by the Commissioner for the purposes of that section and continue in force until amended or revoked by the Commissioner.</w:t>
      </w:r>
    </w:p>
    <w:p>
      <w:pPr>
        <w:pStyle w:val="Footnotesection"/>
      </w:pPr>
      <w:r>
        <w:tab/>
        <w:t>[Section 128 inserted by No. 58 of 2010 s. 174.]</w:t>
      </w:r>
    </w:p>
    <w:p>
      <w:pPr>
        <w:pStyle w:val="Heading5"/>
      </w:pPr>
      <w:bookmarkStart w:id="155" w:name="_Toc468701172"/>
      <w:r>
        <w:rPr>
          <w:rStyle w:val="CharSectno"/>
        </w:rPr>
        <w:t>129</w:t>
      </w:r>
      <w:r>
        <w:t>.</w:t>
      </w:r>
      <w:r>
        <w:tab/>
        <w:t>References to former Registrar</w:t>
      </w:r>
      <w:bookmarkEnd w:id="155"/>
    </w:p>
    <w:p>
      <w:pPr>
        <w:pStyle w:val="Subsection"/>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pPr>
      <w:r>
        <w:tab/>
        <w:t>(2)</w:t>
      </w:r>
      <w:r>
        <w:tab/>
        <w:t>If a certificate has been given by a former Registrar under section 111(3) of the Act as it was immediately prior to the commencement day, that certificate is to be treated as if it were given by the Commissioner for the purposes of that subsection.</w:t>
      </w:r>
    </w:p>
    <w:p>
      <w:pPr>
        <w:pStyle w:val="Footnotesection"/>
      </w:pPr>
      <w:r>
        <w:tab/>
        <w:t>[Section 129 inserted by No. 58 of 2010 s. 174.]</w:t>
      </w:r>
    </w:p>
    <w:p>
      <w:pPr>
        <w:pStyle w:val="Heading5"/>
      </w:pPr>
      <w:bookmarkStart w:id="156" w:name="_Toc468701173"/>
      <w:r>
        <w:rPr>
          <w:rStyle w:val="CharSectno"/>
        </w:rPr>
        <w:t>130</w:t>
      </w:r>
      <w:r>
        <w:t>.</w:t>
      </w:r>
      <w:r>
        <w:tab/>
        <w:t>Unfinished investigations by former Board</w:t>
      </w:r>
      <w:bookmarkEnd w:id="156"/>
    </w:p>
    <w:p>
      <w:pPr>
        <w:pStyle w:val="Subsection"/>
      </w:pPr>
      <w:r>
        <w:tab/>
      </w:r>
      <w:r>
        <w:tab/>
        <w:t>Investigations being carried out by the former Board under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[Section 130 inserted by No. 58 of 2010 s. 174.]</w:t>
      </w:r>
    </w:p>
    <w:p>
      <w:pPr>
        <w:pStyle w:val="Heading5"/>
      </w:pPr>
      <w:bookmarkStart w:id="157" w:name="_Toc468701174"/>
      <w:r>
        <w:rPr>
          <w:rStyle w:val="CharSectno"/>
        </w:rPr>
        <w:t>131</w:t>
      </w:r>
      <w:r>
        <w:t>.</w:t>
      </w:r>
      <w:r>
        <w:tab/>
        <w:t>Unfinished proceedings by former Board</w:t>
      </w:r>
      <w:bookmarkEnd w:id="157"/>
    </w:p>
    <w:p>
      <w:pPr>
        <w:pStyle w:val="Subsection"/>
      </w:pPr>
      <w:r>
        <w:tab/>
        <w:t>(1)</w:t>
      </w:r>
      <w:r>
        <w:tab/>
        <w:t>Proceedings before the former Board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settlement agent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131 inserted by No. 58 of 2010 s. 174.]</w:t>
      </w:r>
    </w:p>
    <w:p>
      <w:pPr>
        <w:pStyle w:val="Heading5"/>
      </w:pPr>
      <w:bookmarkStart w:id="158" w:name="_Toc468701175"/>
      <w:r>
        <w:rPr>
          <w:rStyle w:val="CharSectno"/>
        </w:rPr>
        <w:t>132</w:t>
      </w:r>
      <w:r>
        <w:t>.</w:t>
      </w:r>
      <w:r>
        <w:tab/>
        <w:t>Winding</w:t>
      </w:r>
      <w:r>
        <w:noBreakHyphen/>
        <w:t>up former Board</w:t>
      </w:r>
      <w:bookmarkEnd w:id="158"/>
    </w:p>
    <w:p>
      <w:pPr>
        <w:pStyle w:val="Subsection"/>
      </w:pPr>
      <w:r>
        <w:tab/>
      </w:r>
      <w:r>
        <w:tab/>
        <w:t>On and after the commencement day —</w:t>
      </w:r>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Act 2010</w:t>
      </w:r>
      <w:r>
        <w:t xml:space="preserve"> Part 7,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pPr>
      <w:r>
        <w:tab/>
        <w:t>[Section 132 inserted by No. 58 of 2010 s. 174.]</w:t>
      </w:r>
    </w:p>
    <w:p>
      <w:pPr>
        <w:pStyle w:val="Heading5"/>
        <w:spacing w:before="700"/>
      </w:pPr>
      <w:bookmarkStart w:id="159" w:name="_Toc468701176"/>
      <w:r>
        <w:rPr>
          <w:rStyle w:val="CharSectno"/>
        </w:rPr>
        <w:t>133</w:t>
      </w:r>
      <w:r>
        <w:t>.</w:t>
      </w:r>
      <w:r>
        <w:tab/>
        <w:t>Final report by former Board</w:t>
      </w:r>
      <w:bookmarkEnd w:id="159"/>
    </w:p>
    <w:p>
      <w:pPr>
        <w:pStyle w:val="Subsection"/>
      </w:pPr>
      <w:r>
        <w:tab/>
        <w:t>(1)</w:t>
      </w:r>
      <w:r>
        <w:tab/>
        <w:t xml:space="preserve">The provisions of the </w:t>
      </w:r>
      <w:r>
        <w:rPr>
          <w:i/>
          <w:iCs/>
        </w:rPr>
        <w:t>Financial Management Act 2006</w:t>
      </w:r>
      <w:r>
        <w:t xml:space="preserve"> Part 5 Division 3 apply to the former Board.</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133 inserted by No. 58 of 2010 s. 174.]</w:t>
      </w:r>
    </w:p>
    <w:p>
      <w:pPr>
        <w:pStyle w:val="Heading5"/>
      </w:pPr>
      <w:bookmarkStart w:id="160" w:name="_Toc468701177"/>
      <w:r>
        <w:rPr>
          <w:rStyle w:val="CharSectno"/>
        </w:rPr>
        <w:t>134</w:t>
      </w:r>
      <w:r>
        <w:t>.</w:t>
      </w:r>
      <w:r>
        <w:tab/>
        <w:t>Staff of former Board</w:t>
      </w:r>
      <w:bookmarkEnd w:id="160"/>
    </w:p>
    <w:p>
      <w:pPr>
        <w:pStyle w:val="Subsection"/>
      </w:pPr>
      <w:r>
        <w:tab/>
        <w:t>(1)</w:t>
      </w:r>
      <w:r>
        <w:tab/>
        <w:t xml:space="preserve">The officers of the former Board and the former Registrar who held office immediately before the commencement day continue to be employed, under and subject to the </w:t>
      </w:r>
      <w:r>
        <w:rPr>
          <w:i/>
          <w:iCs/>
        </w:rPr>
        <w:t>Public Sector Management Act 1994</w:t>
      </w:r>
      <w:r>
        <w:t xml:space="preserve"> Part 3, as officers of the department.</w:t>
      </w:r>
    </w:p>
    <w:p>
      <w:pPr>
        <w:pStyle w:val="Subsection"/>
      </w:pPr>
      <w:r>
        <w:tab/>
        <w:t>(2)</w:t>
      </w:r>
      <w:r>
        <w:tab/>
        <w:t>A person mentioned in subsection (1) is to be regarded as having been engaged or employed, as is relevant, by the chief executive officer.</w:t>
      </w:r>
    </w:p>
    <w:p>
      <w:pPr>
        <w:pStyle w:val="Subsection"/>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pPr>
      <w:r>
        <w:tab/>
        <w:t>[Section 134 inserted by No. 58 of 2010 s. 174.]</w:t>
      </w:r>
    </w:p>
    <w:p>
      <w:pPr>
        <w:pStyle w:val="Heading5"/>
      </w:pPr>
      <w:bookmarkStart w:id="161" w:name="_Toc468701178"/>
      <w:r>
        <w:rPr>
          <w:rStyle w:val="CharSectno"/>
        </w:rPr>
        <w:t>135</w:t>
      </w:r>
      <w:r>
        <w:t>.</w:t>
      </w:r>
      <w:r>
        <w:tab/>
        <w:t>Transitional regulations</w:t>
      </w:r>
      <w:bookmarkEnd w:id="161"/>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 xml:space="preserve">Acts Amendment (Fair Trading) Act 2010 </w:t>
      </w:r>
      <w:r>
        <w:t>Part 7.</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135 inserted by No. 58 of 2010 s. 174.]</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62" w:name="_Toc413409973"/>
      <w:bookmarkStart w:id="163" w:name="_Toc416168647"/>
      <w:bookmarkStart w:id="164" w:name="_Toc468701179"/>
      <w:r>
        <w:rPr>
          <w:rStyle w:val="CharSchNo"/>
          <w:rFonts w:eastAsia="MS Mincho"/>
        </w:rPr>
        <w:t>Schedule 1</w:t>
      </w:r>
      <w:r>
        <w:rPr>
          <w:rFonts w:eastAsia="MS Mincho"/>
        </w:rPr>
        <w:t> — </w:t>
      </w:r>
      <w:r>
        <w:rPr>
          <w:rStyle w:val="CharSchText"/>
          <w:rFonts w:eastAsia="MS Mincho"/>
        </w:rPr>
        <w:t>Grant of licence</w:t>
      </w:r>
      <w:bookmarkEnd w:id="162"/>
      <w:bookmarkEnd w:id="163"/>
      <w:bookmarkEnd w:id="164"/>
    </w:p>
    <w:p>
      <w:pPr>
        <w:pStyle w:val="yShoulderClause"/>
        <w:rPr>
          <w:rFonts w:eastAsia="MS Mincho"/>
        </w:rPr>
      </w:pPr>
      <w:r>
        <w:rPr>
          <w:rFonts w:eastAsia="MS Mincho"/>
        </w:rPr>
        <w:t>[s. 27, 28 and 29]</w:t>
      </w:r>
    </w:p>
    <w:p>
      <w:pPr>
        <w:pStyle w:val="yFootnoteheading"/>
        <w:rPr>
          <w:rFonts w:eastAsia="MS Mincho"/>
        </w:rPr>
      </w:pPr>
      <w:r>
        <w:rPr>
          <w:rFonts w:eastAsia="MS Mincho"/>
        </w:rPr>
        <w:tab/>
        <w:t>[Heading inserted by No. 19 of 2010 s. 35(2).]</w:t>
      </w:r>
    </w:p>
    <w:p>
      <w:pPr>
        <w:pStyle w:val="yHeading3"/>
        <w:rPr>
          <w:rFonts w:eastAsia="MS Mincho"/>
        </w:rPr>
      </w:pPr>
      <w:bookmarkStart w:id="165" w:name="_Toc413409974"/>
      <w:bookmarkStart w:id="166" w:name="_Toc416168648"/>
      <w:bookmarkStart w:id="167" w:name="_Toc468701180"/>
      <w:r>
        <w:rPr>
          <w:rStyle w:val="CharSDivNo"/>
          <w:rFonts w:eastAsia="MS Mincho"/>
        </w:rPr>
        <w:t>Division 1</w:t>
      </w:r>
      <w:r>
        <w:rPr>
          <w:rFonts w:eastAsia="MS Mincho"/>
          <w:b w:val="0"/>
        </w:rPr>
        <w:t> — </w:t>
      </w:r>
      <w:r>
        <w:rPr>
          <w:rStyle w:val="CharSDivText"/>
          <w:rFonts w:eastAsia="MS Mincho"/>
        </w:rPr>
        <w:t>Qualifications</w:t>
      </w:r>
      <w:bookmarkEnd w:id="165"/>
      <w:bookmarkEnd w:id="166"/>
      <w:bookmarkEnd w:id="167"/>
    </w:p>
    <w:p>
      <w:pPr>
        <w:pStyle w:val="yFootnoteheading"/>
        <w:rPr>
          <w:rFonts w:eastAsia="MS Mincho"/>
        </w:rPr>
      </w:pPr>
      <w:r>
        <w:rPr>
          <w:rFonts w:eastAsia="MS Mincho"/>
        </w:rPr>
        <w:tab/>
        <w:t>[Heading inserted by No. 19 of 2010 s. 35(2).]</w:t>
      </w:r>
    </w:p>
    <w:p>
      <w:pPr>
        <w:pStyle w:val="yHeading5"/>
        <w:outlineLvl w:val="0"/>
        <w:rPr>
          <w:snapToGrid w:val="0"/>
        </w:rPr>
      </w:pPr>
      <w:bookmarkStart w:id="168" w:name="_Toc468701181"/>
      <w:r>
        <w:rPr>
          <w:rStyle w:val="CharSClsNo"/>
        </w:rPr>
        <w:t>1</w:t>
      </w:r>
      <w:r>
        <w:rPr>
          <w:snapToGrid w:val="0"/>
        </w:rPr>
        <w:t>.</w:t>
      </w:r>
      <w:r>
        <w:rPr>
          <w:snapToGrid w:val="0"/>
        </w:rPr>
        <w:tab/>
        <w:t>Real estate settlement agent</w:t>
      </w:r>
      <w:bookmarkEnd w:id="168"/>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real estate settlement agent and the duties and liabilities of a real estate settlement agent and who satisfies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Ednotesubsection"/>
      </w:pPr>
      <w:r>
        <w:tab/>
        <w:t>[(2)</w:t>
      </w:r>
      <w:r>
        <w:tab/>
        <w:t>deleted]</w:t>
      </w:r>
    </w:p>
    <w:p>
      <w:pPr>
        <w:pStyle w:val="yFootnotesection"/>
        <w:keepLines w:val="0"/>
      </w:pPr>
      <w:r>
        <w:tab/>
        <w:t>[Clause 1 amended by No. 64 of 1982 s. 5(a); No. 28 of 2003 s. 183(1); No. 58 of 2010 s. 175 and 176.]</w:t>
      </w:r>
    </w:p>
    <w:p>
      <w:pPr>
        <w:pStyle w:val="yHeading5"/>
        <w:outlineLvl w:val="0"/>
      </w:pPr>
      <w:bookmarkStart w:id="169" w:name="_Toc468701182"/>
      <w:r>
        <w:rPr>
          <w:rStyle w:val="CharSClsNo"/>
        </w:rPr>
        <w:t>2</w:t>
      </w:r>
      <w:r>
        <w:t xml:space="preserve">. </w:t>
      </w:r>
      <w:r>
        <w:tab/>
        <w:t>Business settlement agent</w:t>
      </w:r>
      <w:bookmarkEnd w:id="169"/>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business settlement agent and the duties and liabilities of a business settlement agent and who has satisfied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Ednotesubsection"/>
      </w:pPr>
      <w:r>
        <w:tab/>
        <w:t>[(2)</w:t>
      </w:r>
      <w:r>
        <w:tab/>
        <w:t>deleted]</w:t>
      </w:r>
    </w:p>
    <w:p>
      <w:pPr>
        <w:pStyle w:val="yFootnotesection"/>
      </w:pPr>
      <w:r>
        <w:tab/>
        <w:t>[Clause 2 amended by No. 64 of 1982 s. 5(b); No. 28 of 2003 s. 183(2); No. 58 of 2010 s. 175 and 176.]</w:t>
      </w:r>
    </w:p>
    <w:p>
      <w:pPr>
        <w:pStyle w:val="yHeading5"/>
        <w:outlineLvl w:val="0"/>
      </w:pPr>
      <w:bookmarkStart w:id="170" w:name="_Toc468701183"/>
      <w:r>
        <w:rPr>
          <w:rStyle w:val="CharSClsNo"/>
        </w:rPr>
        <w:t>3</w:t>
      </w:r>
      <w:r>
        <w:t xml:space="preserve">. </w:t>
      </w:r>
      <w:r>
        <w:tab/>
        <w:t>Licence by reason of qualification under cl. 1(1)(c) and 2(1)(c)</w:t>
      </w:r>
      <w:bookmarkEnd w:id="170"/>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171" w:name="_Toc468701184"/>
      <w:r>
        <w:rPr>
          <w:rStyle w:val="CharSClsNo"/>
        </w:rPr>
        <w:t>4</w:t>
      </w:r>
      <w:r>
        <w:t>.</w:t>
      </w:r>
      <w:r>
        <w:tab/>
        <w:t>Licence by reason of qualification under cl. 1(1)(d) and 2(1)(d)</w:t>
      </w:r>
      <w:bookmarkEnd w:id="171"/>
    </w:p>
    <w:p>
      <w:pPr>
        <w:pStyle w:val="ySubsection"/>
        <w:rPr>
          <w:snapToGrid w:val="0"/>
        </w:rPr>
      </w:pPr>
      <w:r>
        <w:rPr>
          <w:snapToGrid w:val="0"/>
        </w:rPr>
        <w:tab/>
      </w:r>
      <w:r>
        <w:rPr>
          <w:snapToGrid w:val="0"/>
        </w:rPr>
        <w:tab/>
        <w:t>Such a licence</w:t>
      </w:r>
      <w:r>
        <w:t xml:space="preserve"> 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r>
        <w:tab/>
        <w:t>[Clause 4 amended by No. 28 of 2003 s. 183(3); No. 58 of 2010 s. 176.]</w:t>
      </w:r>
    </w:p>
    <w:p>
      <w:pPr>
        <w:pStyle w:val="yHeading5"/>
        <w:outlineLvl w:val="0"/>
      </w:pPr>
      <w:bookmarkStart w:id="172" w:name="_Toc468701185"/>
      <w:r>
        <w:rPr>
          <w:rStyle w:val="CharSClsNo"/>
        </w:rPr>
        <w:t>5</w:t>
      </w:r>
      <w:r>
        <w:t xml:space="preserve">. </w:t>
      </w:r>
      <w:r>
        <w:tab/>
        <w:t>Dead or incapacitated licensee, conduct of business of</w:t>
      </w:r>
      <w:bookmarkEnd w:id="172"/>
    </w:p>
    <w:p>
      <w:pPr>
        <w:pStyle w:val="ySubsection"/>
      </w:pPr>
      <w:r>
        <w:rPr>
          <w:snapToGrid w:val="0"/>
        </w:rPr>
        <w:tab/>
        <w:t>(1)</w:t>
      </w:r>
      <w:r>
        <w:rPr>
          <w:snapToGrid w:val="0"/>
        </w:rPr>
        <w:tab/>
        <w:t xml:space="preserve">A person who is </w:t>
      </w:r>
      <w:r>
        <w:t>not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xml:space="preserve">, with the written permission of the </w:t>
      </w:r>
      <w:r>
        <w:t>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written permission for the purposes of subclause (1) unless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[Clause 5 amended by No. 28 of 2003 s. 183(4); No. 58 of 2010 s. 176.]</w:t>
      </w:r>
    </w:p>
    <w:p>
      <w:pPr>
        <w:pStyle w:val="yHeading3"/>
        <w:rPr>
          <w:rFonts w:eastAsia="MS Mincho"/>
        </w:rPr>
      </w:pPr>
      <w:bookmarkStart w:id="173" w:name="_Toc413409980"/>
      <w:bookmarkStart w:id="174" w:name="_Toc416168654"/>
      <w:bookmarkStart w:id="175" w:name="_Toc468701186"/>
      <w:r>
        <w:rPr>
          <w:rStyle w:val="CharSDivNo"/>
          <w:rFonts w:eastAsia="MS Mincho"/>
        </w:rPr>
        <w:t>Division 2</w:t>
      </w:r>
      <w:r>
        <w:rPr>
          <w:rFonts w:eastAsia="MS Mincho"/>
          <w:b w:val="0"/>
        </w:rPr>
        <w:t> — </w:t>
      </w:r>
      <w:r>
        <w:rPr>
          <w:rStyle w:val="CharSDivText"/>
          <w:rFonts w:eastAsia="MS Mincho"/>
        </w:rPr>
        <w:t>Disqualification</w:t>
      </w:r>
      <w:bookmarkEnd w:id="173"/>
      <w:bookmarkEnd w:id="174"/>
      <w:bookmarkEnd w:id="175"/>
    </w:p>
    <w:p>
      <w:pPr>
        <w:pStyle w:val="yFootnoteheading"/>
        <w:rPr>
          <w:rFonts w:eastAsia="MS Mincho"/>
        </w:rPr>
      </w:pPr>
      <w:r>
        <w:rPr>
          <w:rFonts w:eastAsia="MS Mincho"/>
        </w:rPr>
        <w:tab/>
        <w:t>[Heading inserted by No. 19 of 2010 s. 35(3).]</w:t>
      </w:r>
    </w:p>
    <w:p>
      <w:pPr>
        <w:pStyle w:val="yHeading5"/>
        <w:outlineLvl w:val="0"/>
      </w:pPr>
      <w:bookmarkStart w:id="176" w:name="_Toc468701187"/>
      <w:r>
        <w:rPr>
          <w:rStyle w:val="CharSClsNo"/>
        </w:rPr>
        <w:t>6</w:t>
      </w:r>
      <w:r>
        <w:t>.</w:t>
      </w:r>
      <w:r>
        <w:tab/>
        <w:t>Term used: business licence</w:t>
      </w:r>
      <w:bookmarkEnd w:id="176"/>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xml:space="preserve">, or a similar licence or authority held under a law </w:t>
      </w:r>
      <w:r>
        <w:t>of another State, of a Territory or of the Commonwealth</w:t>
      </w:r>
      <w:r>
        <w:rPr>
          <w:snapToGrid w:val="0"/>
        </w:rPr>
        <w:t xml:space="preserve"> regulating the business of finance brokers, real estate agents or business agents.</w:t>
      </w:r>
    </w:p>
    <w:p>
      <w:pPr>
        <w:pStyle w:val="yFootnotesection"/>
      </w:pPr>
      <w:r>
        <w:tab/>
        <w:t>[Clause 6 amended by No. 14 of 2010 s. 79.]</w:t>
      </w:r>
    </w:p>
    <w:p>
      <w:pPr>
        <w:pStyle w:val="yHeading5"/>
        <w:spacing w:before="160"/>
        <w:outlineLvl w:val="0"/>
      </w:pPr>
      <w:bookmarkStart w:id="177" w:name="_Toc468701188"/>
      <w:r>
        <w:rPr>
          <w:rStyle w:val="CharSClsNo"/>
        </w:rPr>
        <w:t>7</w:t>
      </w:r>
      <w:r>
        <w:t xml:space="preserve">. </w:t>
      </w:r>
      <w:r>
        <w:tab/>
        <w:t>Natural persons, disqualification of</w:t>
      </w:r>
      <w:bookmarkEnd w:id="177"/>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person if within the period of 5 years immediately preceding the date of the application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Footnotesection"/>
      </w:pPr>
      <w:r>
        <w:tab/>
        <w:t>[Clause 7 amended by No. 58 of 2010 s. 176.]</w:t>
      </w:r>
    </w:p>
    <w:p>
      <w:pPr>
        <w:pStyle w:val="yHeading5"/>
        <w:spacing w:before="160"/>
        <w:outlineLvl w:val="0"/>
      </w:pPr>
      <w:bookmarkStart w:id="178" w:name="_Toc468701189"/>
      <w:r>
        <w:rPr>
          <w:rStyle w:val="CharSClsNo"/>
        </w:rPr>
        <w:t>8</w:t>
      </w:r>
      <w:r>
        <w:t xml:space="preserve">. </w:t>
      </w:r>
      <w:r>
        <w:tab/>
        <w:t>Bodies corporate, disqualification of</w:t>
      </w:r>
      <w:bookmarkEnd w:id="178"/>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body corporate if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 or</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Footnotesection"/>
      </w:pPr>
      <w:r>
        <w:tab/>
        <w:t>[Clause 8 amended by No. 58 of 2010 s. 176.]</w:t>
      </w:r>
    </w:p>
    <w:p>
      <w:pPr>
        <w:pStyle w:val="yHeading5"/>
        <w:outlineLvl w:val="0"/>
      </w:pPr>
      <w:bookmarkStart w:id="179" w:name="_Toc468701190"/>
      <w:r>
        <w:rPr>
          <w:rStyle w:val="CharSClsNo"/>
        </w:rPr>
        <w:t>9</w:t>
      </w:r>
      <w:r>
        <w:t xml:space="preserve">. </w:t>
      </w:r>
      <w:r>
        <w:tab/>
        <w:t>Firms, disqualification of</w:t>
      </w:r>
      <w:bookmarkEnd w:id="179"/>
    </w:p>
    <w:p>
      <w:pPr>
        <w:pStyle w:val="ySubsection"/>
        <w:spacing w:before="140"/>
        <w:rPr>
          <w:snapToGrid w:val="0"/>
        </w:rPr>
      </w:pPr>
      <w:r>
        <w:rPr>
          <w:snapToGrid w:val="0"/>
        </w:rPr>
        <w:tab/>
      </w:r>
      <w:r>
        <w:rPr>
          <w:snapToGrid w:val="0"/>
        </w:rPr>
        <w:tab/>
        <w:t xml:space="preserve">The </w:t>
      </w:r>
      <w:r>
        <w:t>Commissioner</w:t>
      </w:r>
      <w:r>
        <w:rPr>
          <w:snapToGrid w:val="0"/>
        </w:rPr>
        <w:t xml:space="preserve"> shall not grant a licence on the application of a firm if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 xml:space="preserve">within the period of 5 years immediately preceding the date of the application a business licence held by the applicant, or by a firm that was in the opinion of the </w:t>
      </w:r>
      <w:r>
        <w:t>Commissioner</w:t>
      </w:r>
      <w:r>
        <w:rPr>
          <w:snapToGrid w:val="0"/>
        </w:rPr>
        <w:t xml:space="preserve"> substantially the same as the applicant, has been suspended or cancelled by reason of any offence or misconduct connected with the operation of the business carried on pursuant to the licence.</w:t>
      </w:r>
    </w:p>
    <w:p>
      <w:pPr>
        <w:pStyle w:val="yFootnotesection"/>
      </w:pPr>
      <w:r>
        <w:tab/>
        <w:t>[Clause 9 amended by No. 58 of 2010 s. 176.]</w:t>
      </w:r>
    </w:p>
    <w:p>
      <w:pPr>
        <w:pStyle w:val="yHeading3"/>
      </w:pPr>
      <w:bookmarkStart w:id="180" w:name="_Toc413409985"/>
      <w:bookmarkStart w:id="181" w:name="_Toc416168659"/>
      <w:bookmarkStart w:id="182" w:name="_Toc468701191"/>
      <w:r>
        <w:rPr>
          <w:rStyle w:val="CharSDivNo"/>
        </w:rPr>
        <w:t>Division 3</w:t>
      </w:r>
      <w:r>
        <w:t> — </w:t>
      </w:r>
      <w:r>
        <w:rPr>
          <w:rStyle w:val="CharSDivText"/>
        </w:rPr>
        <w:t>Temporary arrangements</w:t>
      </w:r>
      <w:bookmarkEnd w:id="180"/>
      <w:bookmarkEnd w:id="181"/>
      <w:bookmarkEnd w:id="182"/>
    </w:p>
    <w:p>
      <w:pPr>
        <w:pStyle w:val="yFootnoteheading"/>
        <w:rPr>
          <w:rFonts w:eastAsia="MS Mincho"/>
        </w:rPr>
      </w:pPr>
      <w:r>
        <w:rPr>
          <w:rFonts w:eastAsia="MS Mincho"/>
        </w:rPr>
        <w:tab/>
        <w:t>[Heading inserted by No. 19 of 2010 s. 35(4).]</w:t>
      </w:r>
    </w:p>
    <w:p>
      <w:pPr>
        <w:pStyle w:val="yHeading5"/>
        <w:outlineLvl w:val="0"/>
      </w:pPr>
      <w:bookmarkStart w:id="183" w:name="_Toc468701192"/>
      <w:r>
        <w:rPr>
          <w:rStyle w:val="CharSClsNo"/>
        </w:rPr>
        <w:t>10</w:t>
      </w:r>
      <w:r>
        <w:t xml:space="preserve">. </w:t>
      </w:r>
      <w:r>
        <w:tab/>
        <w:t>Death or withdrawal of partner in firm or director of body corporate, Commissioner to be notified etc.</w:t>
      </w:r>
      <w:bookmarkEnd w:id="183"/>
    </w:p>
    <w:p>
      <w:pPr>
        <w:pStyle w:val="ySubsection"/>
        <w:spacing w:before="140"/>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10 amended by No. 58 of 2010 s. 176.]</w:t>
      </w:r>
    </w:p>
    <w:p>
      <w:pPr>
        <w:pStyle w:val="yScheduleHeading"/>
        <w:outlineLvl w:val="0"/>
      </w:pPr>
      <w:bookmarkStart w:id="184" w:name="_Toc413409987"/>
      <w:bookmarkStart w:id="185" w:name="_Toc416168661"/>
      <w:bookmarkStart w:id="186" w:name="_Toc468701193"/>
      <w:r>
        <w:rPr>
          <w:rStyle w:val="CharSchNo"/>
        </w:rPr>
        <w:t>Schedule 2</w:t>
      </w:r>
      <w:r>
        <w:rPr>
          <w:rStyle w:val="CharSDivNo"/>
        </w:rPr>
        <w:t> </w:t>
      </w:r>
      <w:r>
        <w:t>—</w:t>
      </w:r>
      <w:r>
        <w:rPr>
          <w:rStyle w:val="CharSDivText"/>
        </w:rPr>
        <w:t xml:space="preserve"> </w:t>
      </w:r>
      <w:r>
        <w:rPr>
          <w:rStyle w:val="CharSchText"/>
        </w:rPr>
        <w:t>Functions of a settlement agent</w:t>
      </w:r>
      <w:bookmarkEnd w:id="184"/>
      <w:bookmarkEnd w:id="185"/>
      <w:bookmarkEnd w:id="186"/>
    </w:p>
    <w:p>
      <w:pPr>
        <w:pStyle w:val="yShoulderClause"/>
        <w:rPr>
          <w:snapToGrid w:val="0"/>
        </w:rPr>
      </w:pPr>
      <w:r>
        <w:rPr>
          <w:snapToGrid w:val="0"/>
        </w:rPr>
        <w:t>[s</w:t>
      </w:r>
      <w:r>
        <w:rPr>
          <w:snapToGrid w:val="0"/>
          <w:sz w:val="24"/>
        </w:rPr>
        <w:t>.</w:t>
      </w:r>
      <w:r>
        <w:rPr>
          <w:snapToGrid w:val="0"/>
        </w:rPr>
        <w:t> 46 and 47]</w:t>
      </w:r>
    </w:p>
    <w:p>
      <w:pPr>
        <w:pStyle w:val="yFootnoteheading"/>
        <w:rPr>
          <w:rFonts w:eastAsia="MS Mincho"/>
        </w:rPr>
      </w:pPr>
      <w:r>
        <w:rPr>
          <w:rFonts w:eastAsia="MS Mincho"/>
        </w:rPr>
        <w:tab/>
        <w:t>[Heading amended by No. 19 of 2010 s. 35(5).]</w:t>
      </w:r>
    </w:p>
    <w:p>
      <w:pPr>
        <w:pStyle w:val="yHeading5"/>
        <w:outlineLvl w:val="0"/>
      </w:pPr>
      <w:bookmarkStart w:id="187" w:name="_Toc468701194"/>
      <w:r>
        <w:rPr>
          <w:rStyle w:val="CharSClsNo"/>
        </w:rPr>
        <w:t>1</w:t>
      </w:r>
      <w:r>
        <w:t>.</w:t>
      </w:r>
      <w:r>
        <w:tab/>
        <w:t>Real estate settlement agent</w:t>
      </w:r>
      <w:bookmarkEnd w:id="187"/>
    </w:p>
    <w:p>
      <w:pPr>
        <w:pStyle w:val="ySubsection"/>
      </w:pPr>
      <w:r>
        <w:tab/>
        <w:t>(1A)</w:t>
      </w:r>
      <w:r>
        <w:tab/>
        <w:t xml:space="preserve">A word or expression that is defined in the </w:t>
      </w:r>
      <w:r>
        <w:rPr>
          <w:i/>
        </w:rPr>
        <w:t>Electronic Conveyancing Act 2014</w:t>
      </w:r>
      <w:r>
        <w:t xml:space="preserve"> section 3 has the same meaning in subclause (2A) as it has in that section.</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pPr>
      <w:r>
        <w:tab/>
        <w:t>(ga)</w:t>
      </w:r>
      <w:r>
        <w:tab/>
        <w:t>providing certifications required in respect of the lodging of documents to which paragraph (f) applies;</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completing powers of attorney in such form and subject to such conditions as are prescribed;</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pPr>
      <w:r>
        <w:tab/>
        <w:t>(2A)</w:t>
      </w:r>
      <w:r>
        <w:tab/>
        <w:t xml:space="preserve">A licensee who holds a real estate settlement agent’s licence and a current triennial certificate may perform any function necessary to enable a conveyancing transaction to be completed by means of an ELN, including (without limitation) the following functions — </w:t>
      </w:r>
    </w:p>
    <w:p>
      <w:pPr>
        <w:pStyle w:val="yIndenta"/>
      </w:pPr>
      <w:r>
        <w:tab/>
        <w:t>(a)</w:t>
      </w:r>
      <w:r>
        <w:tab/>
        <w:t>entering into a client authorisation to act as a subscriber;</w:t>
      </w:r>
    </w:p>
    <w:p>
      <w:pPr>
        <w:pStyle w:val="yIndenta"/>
      </w:pPr>
      <w:r>
        <w:tab/>
        <w:t>(b)</w:t>
      </w:r>
      <w:r>
        <w:tab/>
        <w:t xml:space="preserve">with respect to registry instruments and other documents that a licensee is authorised by this Act to prepare — </w:t>
      </w:r>
    </w:p>
    <w:p>
      <w:pPr>
        <w:pStyle w:val="yIndenti0"/>
      </w:pPr>
      <w:r>
        <w:tab/>
        <w:t>(i)</w:t>
      </w:r>
      <w:r>
        <w:tab/>
        <w:t>preparing them in electronic form for lodging by means of an ELN;</w:t>
      </w:r>
    </w:p>
    <w:p>
      <w:pPr>
        <w:pStyle w:val="yIndenti0"/>
      </w:pPr>
      <w:r>
        <w:tab/>
        <w:t>(ii)</w:t>
      </w:r>
      <w:r>
        <w:tab/>
        <w:t>digitally signing them;</w:t>
      </w:r>
    </w:p>
    <w:p>
      <w:pPr>
        <w:pStyle w:val="yIndenti0"/>
      </w:pPr>
      <w:r>
        <w:tab/>
        <w:t>(iii)</w:t>
      </w:r>
      <w:r>
        <w:tab/>
        <w:t>lodging them in electronic form with the Authority or other Government offices or the offices of statutory authorities by means of an ELN;</w:t>
      </w:r>
    </w:p>
    <w:p>
      <w:pPr>
        <w:pStyle w:val="yIndenti0"/>
      </w:pPr>
      <w:r>
        <w:tab/>
        <w:t>(iv)</w:t>
      </w:r>
      <w:r>
        <w:tab/>
        <w:t>providing certifications required in respect of, or in connection with, the lodging of those registry instruments or other documents by means of an ELN;</w:t>
      </w:r>
    </w:p>
    <w:p>
      <w:pPr>
        <w:pStyle w:val="yIndenta"/>
      </w:pPr>
      <w:r>
        <w:tab/>
        <w:t>(c)</w:t>
      </w:r>
      <w:r>
        <w:tab/>
        <w:t>doing anything necessary to enable the completion of an associated financial transaction.</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 or</w:t>
      </w:r>
    </w:p>
    <w:p>
      <w:pPr>
        <w:pStyle w:val="yIndenti0"/>
        <w:rPr>
          <w:snapToGrid w:val="0"/>
        </w:rPr>
      </w:pPr>
      <w:r>
        <w:rPr>
          <w:snapToGrid w:val="0"/>
        </w:rPr>
        <w:tab/>
        <w:t>(ii)</w:t>
      </w:r>
      <w:r>
        <w:rPr>
          <w:snapToGrid w:val="0"/>
        </w:rPr>
        <w:tab/>
      </w:r>
      <w:r>
        <w:rPr>
          <w:i/>
          <w:snapToGrid w:val="0"/>
        </w:rPr>
        <w:t>Registration of Deeds Act 1856</w:t>
      </w:r>
      <w:r>
        <w:rPr>
          <w:snapToGrid w:val="0"/>
        </w:rPr>
        <w:t>; or</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 No. 12 of 2008 Sch. 1 cl. 34; No. 2 of 2014 s. 58.]</w:t>
      </w:r>
    </w:p>
    <w:p>
      <w:pPr>
        <w:pStyle w:val="yHeading5"/>
        <w:outlineLvl w:val="0"/>
      </w:pPr>
      <w:bookmarkStart w:id="188" w:name="_Toc468701195"/>
      <w:r>
        <w:rPr>
          <w:rStyle w:val="CharSClsNo"/>
        </w:rPr>
        <w:t>2</w:t>
      </w:r>
      <w:r>
        <w:t xml:space="preserve">. </w:t>
      </w:r>
      <w:r>
        <w:tab/>
        <w:t>Business settlement agent</w:t>
      </w:r>
      <w:bookmarkEnd w:id="188"/>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subject to such conditions as are imposed by the code of conduct, preparing and arranging the execution of</w:t>
      </w:r>
      <w:r>
        <w:t xml:space="preserve"> any applications necessary under the </w:t>
      </w:r>
      <w:r>
        <w:rPr>
          <w:i/>
        </w:rPr>
        <w:t>Business Names Registration Act 2011</w:t>
      </w:r>
      <w:r>
        <w:t xml:space="preserve"> (Commonwealth) to effect the transfer of a business name under that Act;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[Clause 2 amended by No. 14 of 1996 s. 4; No. 62 of 1996 s. 5(2); No. 81 of 1996 s. 153(2); No. 12 of 2008 Sch. 1 cl. 34; No. 42 of 2011 s. 59; No. 6 of 2012 s. 43.]</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outlineLvl w:val="0"/>
      </w:pPr>
      <w:bookmarkStart w:id="190" w:name="_Toc413409990"/>
      <w:bookmarkStart w:id="191" w:name="_Toc416168664"/>
      <w:bookmarkStart w:id="192" w:name="_Toc468701196"/>
      <w:r>
        <w:t>Notes</w:t>
      </w:r>
      <w:bookmarkEnd w:id="190"/>
      <w:bookmarkEnd w:id="191"/>
      <w:bookmarkEnd w:id="192"/>
    </w:p>
    <w:p>
      <w:pPr>
        <w:pStyle w:val="nSubsection"/>
      </w:pPr>
      <w:r>
        <w:rPr>
          <w:vertAlign w:val="superscript"/>
        </w:rPr>
        <w:t>1</w:t>
      </w:r>
      <w:r>
        <w:tab/>
        <w:t xml:space="preserve">This is a compilation of the </w:t>
      </w:r>
      <w:r>
        <w:rPr>
          <w:i/>
          <w:noProof/>
        </w:rPr>
        <w:t>Settlement Agents Act 1981</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193" w:name="_Toc468701197"/>
      <w:r>
        <w:rPr>
          <w:snapToGrid w:val="0"/>
        </w:rPr>
        <w:t>Compilation table</w:t>
      </w:r>
      <w:bookmarkEnd w:id="19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Settlement Agents Act 1981</w:t>
            </w:r>
          </w:p>
        </w:tc>
        <w:tc>
          <w:tcPr>
            <w:tcW w:w="1134" w:type="dxa"/>
          </w:tcPr>
          <w:p>
            <w:pPr>
              <w:pStyle w:val="nTable"/>
              <w:spacing w:after="40"/>
            </w:pPr>
            <w:r>
              <w:t>33 of 1981</w:t>
            </w:r>
          </w:p>
        </w:tc>
        <w:tc>
          <w:tcPr>
            <w:tcW w:w="1134" w:type="dxa"/>
          </w:tcPr>
          <w:p>
            <w:pPr>
              <w:pStyle w:val="nTable"/>
              <w:spacing w:after="40"/>
            </w:pPr>
            <w:r>
              <w:t>26 May 1981</w:t>
            </w:r>
          </w:p>
        </w:tc>
        <w:tc>
          <w:tcPr>
            <w:tcW w:w="2552" w:type="dxa"/>
          </w:tcPr>
          <w:p>
            <w:pPr>
              <w:pStyle w:val="nTable"/>
              <w:spacing w:after="40"/>
            </w:pPr>
            <w:r>
              <w:t xml:space="preserve">1 Jul 1981 (see s. 2 and </w:t>
            </w:r>
            <w:r>
              <w:rPr>
                <w:i/>
              </w:rPr>
              <w:t>Gazette</w:t>
            </w:r>
            <w:r>
              <w:t xml:space="preserve"> 26 Jun 1981 p. 2285)</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Settlement Agents Amendment Act 1982</w:t>
            </w:r>
          </w:p>
        </w:tc>
        <w:tc>
          <w:tcPr>
            <w:tcW w:w="1134" w:type="dxa"/>
          </w:tcPr>
          <w:p>
            <w:pPr>
              <w:pStyle w:val="nTable"/>
              <w:spacing w:after="40"/>
            </w:pPr>
            <w:r>
              <w:t>64 of 1982</w:t>
            </w:r>
          </w:p>
        </w:tc>
        <w:tc>
          <w:tcPr>
            <w:tcW w:w="1134" w:type="dxa"/>
          </w:tcPr>
          <w:p>
            <w:pPr>
              <w:pStyle w:val="nTable"/>
              <w:spacing w:after="40"/>
            </w:pPr>
            <w:r>
              <w:t>19 Oct 1982</w:t>
            </w:r>
          </w:p>
        </w:tc>
        <w:tc>
          <w:tcPr>
            <w:tcW w:w="2552" w:type="dxa"/>
          </w:tcPr>
          <w:p>
            <w:pPr>
              <w:pStyle w:val="nTable"/>
              <w:spacing w:after="40"/>
            </w:pPr>
            <w:r>
              <w:t>19 Oct 1982</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 xml:space="preserve">State Government Insurance Commission Act 1986 </w:t>
            </w:r>
            <w:r>
              <w:t>s. 46(2)</w:t>
            </w:r>
          </w:p>
        </w:tc>
        <w:tc>
          <w:tcPr>
            <w:tcW w:w="1134" w:type="dxa"/>
          </w:tcPr>
          <w:p>
            <w:pPr>
              <w:pStyle w:val="nTable"/>
              <w:spacing w:after="40"/>
            </w:pPr>
            <w:r>
              <w:t>51 of 1986</w:t>
            </w:r>
          </w:p>
        </w:tc>
        <w:tc>
          <w:tcPr>
            <w:tcW w:w="1134" w:type="dxa"/>
          </w:tcPr>
          <w:p>
            <w:pPr>
              <w:pStyle w:val="nTable"/>
              <w:spacing w:after="40"/>
            </w:pPr>
            <w:r>
              <w:t>5 Aug 1986</w:t>
            </w:r>
          </w:p>
        </w:tc>
        <w:tc>
          <w:tcPr>
            <w:tcW w:w="2552" w:type="dxa"/>
          </w:tcPr>
          <w:p>
            <w:pPr>
              <w:pStyle w:val="nTable"/>
              <w:spacing w:after="40"/>
            </w:pPr>
            <w:r>
              <w:t xml:space="preserve">1 Jan 1987 (see s. 2 and </w:t>
            </w:r>
            <w:r>
              <w:rPr>
                <w:i/>
              </w:rPr>
              <w:t>Gazette</w:t>
            </w:r>
            <w:r>
              <w:t xml:space="preserve"> 19 Dec 1986 p. 4859)</w:t>
            </w:r>
          </w:p>
        </w:tc>
      </w:tr>
      <w:tr>
        <w:trPr>
          <w:cantSplit/>
        </w:trPr>
        <w:tc>
          <w:tcPr>
            <w:tcW w:w="2268" w:type="dxa"/>
          </w:tcPr>
          <w:p>
            <w:pPr>
              <w:pStyle w:val="nTable"/>
              <w:spacing w:after="40"/>
              <w:ind w:right="113"/>
            </w:pPr>
            <w:r>
              <w:rPr>
                <w:i/>
              </w:rPr>
              <w:t xml:space="preserve">Acts Amendment (Legal Practitioners, Costs and Taxation) Act 1987 </w:t>
            </w:r>
            <w:r>
              <w:t>Pt. XVI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2"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pPr>
            <w:r>
              <w:rPr>
                <w:i/>
              </w:rPr>
              <w:t xml:space="preserve">Acts Amendment (Public Sector Management) Act 1994 </w:t>
            </w:r>
            <w:r>
              <w:t>s. 3(2)</w:t>
            </w:r>
          </w:p>
        </w:tc>
        <w:tc>
          <w:tcPr>
            <w:tcW w:w="1134" w:type="dxa"/>
          </w:tcPr>
          <w:p>
            <w:pPr>
              <w:pStyle w:val="nTable"/>
              <w:keepNext/>
              <w:spacing w:after="40"/>
            </w:pPr>
            <w:r>
              <w:t>32 of 1994</w:t>
            </w:r>
          </w:p>
        </w:tc>
        <w:tc>
          <w:tcPr>
            <w:tcW w:w="1134" w:type="dxa"/>
          </w:tcPr>
          <w:p>
            <w:pPr>
              <w:pStyle w:val="nTable"/>
              <w:keepNext/>
              <w:spacing w:after="40"/>
            </w:pPr>
            <w:r>
              <w:t>29 Jun 1994</w:t>
            </w:r>
          </w:p>
        </w:tc>
        <w:tc>
          <w:tcPr>
            <w:tcW w:w="2552" w:type="dxa"/>
          </w:tcPr>
          <w:p>
            <w:pPr>
              <w:pStyle w:val="nTable"/>
              <w:keepNext/>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8" w:type="dxa"/>
          </w:tcPr>
          <w:p>
            <w:pPr>
              <w:pStyle w:val="nTable"/>
              <w:spacing w:after="40"/>
              <w:ind w:right="113"/>
            </w:pPr>
            <w:r>
              <w:rPr>
                <w:i/>
              </w:rPr>
              <w:t xml:space="preserve">Business Licensing Amendment Act 1995 </w:t>
            </w:r>
            <w:r>
              <w:t>Pt. 9</w:t>
            </w:r>
          </w:p>
        </w:tc>
        <w:tc>
          <w:tcPr>
            <w:tcW w:w="1134" w:type="dxa"/>
          </w:tcPr>
          <w:p>
            <w:pPr>
              <w:pStyle w:val="nTable"/>
              <w:spacing w:after="40"/>
            </w:pPr>
            <w:r>
              <w:t>56 of 1995</w:t>
            </w:r>
          </w:p>
        </w:tc>
        <w:tc>
          <w:tcPr>
            <w:tcW w:w="1134" w:type="dxa"/>
          </w:tcPr>
          <w:p>
            <w:pPr>
              <w:pStyle w:val="nTable"/>
              <w:spacing w:after="40"/>
            </w:pPr>
            <w:r>
              <w:t>20 Dec 1995</w:t>
            </w:r>
          </w:p>
        </w:tc>
        <w:tc>
          <w:tcPr>
            <w:tcW w:w="2552" w:type="dxa"/>
          </w:tcPr>
          <w:p>
            <w:pPr>
              <w:pStyle w:val="nTable"/>
              <w:spacing w:after="40"/>
            </w:pPr>
            <w:r>
              <w:t xml:space="preserve">1 Jul 1996 (see s. 2(2) and </w:t>
            </w:r>
            <w:r>
              <w:rPr>
                <w:i/>
              </w:rPr>
              <w:t>Gazette</w:t>
            </w:r>
            <w:r>
              <w:t xml:space="preserve"> 1 Jul 1996 p. 3179)</w:t>
            </w:r>
          </w:p>
        </w:tc>
      </w:tr>
      <w:tr>
        <w:trPr>
          <w:cantSplit/>
        </w:trPr>
        <w:tc>
          <w:tcPr>
            <w:tcW w:w="2268" w:type="dxa"/>
          </w:tcPr>
          <w:p>
            <w:pPr>
              <w:pStyle w:val="nTable"/>
              <w:spacing w:after="40"/>
              <w:ind w:right="113"/>
              <w:rPr>
                <w:vertAlign w:val="superscript"/>
              </w:rPr>
            </w:pPr>
            <w:r>
              <w:rPr>
                <w:i/>
              </w:rPr>
              <w:t xml:space="preserve">Strata Titles Amendment Act 1995 </w:t>
            </w:r>
            <w:r>
              <w:t>s. 98</w:t>
            </w:r>
          </w:p>
        </w:tc>
        <w:tc>
          <w:tcPr>
            <w:tcW w:w="1134" w:type="dxa"/>
          </w:tcPr>
          <w:p>
            <w:pPr>
              <w:pStyle w:val="nTable"/>
              <w:spacing w:after="40"/>
            </w:pPr>
            <w:r>
              <w:t>58 of 1995</w:t>
            </w:r>
          </w:p>
        </w:tc>
        <w:tc>
          <w:tcPr>
            <w:tcW w:w="1134" w:type="dxa"/>
          </w:tcPr>
          <w:p>
            <w:pPr>
              <w:pStyle w:val="nTable"/>
              <w:spacing w:after="40"/>
            </w:pPr>
            <w:r>
              <w:t>20 Dec 1995</w:t>
            </w:r>
          </w:p>
        </w:tc>
        <w:tc>
          <w:tcPr>
            <w:tcW w:w="2552" w:type="dxa"/>
          </w:tcPr>
          <w:p>
            <w:pPr>
              <w:pStyle w:val="nTable"/>
              <w:spacing w:after="40"/>
            </w:pPr>
            <w:r>
              <w:t xml:space="preserve">14 Apr 1996 (see s. 2 and </w:t>
            </w:r>
            <w:r>
              <w:rPr>
                <w:i/>
              </w:rPr>
              <w:t>Gazette</w:t>
            </w:r>
            <w:r>
              <w:t xml:space="preserve"> 15 Mar 1996 p. 981)</w:t>
            </w:r>
          </w:p>
        </w:tc>
      </w:tr>
      <w:tr>
        <w:trPr>
          <w:cantSplit/>
        </w:trPr>
        <w:tc>
          <w:tcPr>
            <w:tcW w:w="2268" w:type="dxa"/>
          </w:tcPr>
          <w:p>
            <w:pPr>
              <w:pStyle w:val="nTable"/>
              <w:spacing w:after="40"/>
              <w:ind w:right="113"/>
              <w:rPr>
                <w:vertAlign w:val="superscript"/>
              </w:rPr>
            </w:pPr>
            <w:r>
              <w:rPr>
                <w:i/>
              </w:rPr>
              <w:t xml:space="preserve">Real Estate Legislation Amendment Act 1995 </w:t>
            </w:r>
            <w:r>
              <w:t>Pt. 4</w:t>
            </w:r>
            <w:r>
              <w:rPr>
                <w:vertAlign w:val="superscript"/>
              </w:rPr>
              <w:t> 6</w:t>
            </w:r>
          </w:p>
        </w:tc>
        <w:tc>
          <w:tcPr>
            <w:tcW w:w="1134" w:type="dxa"/>
          </w:tcPr>
          <w:p>
            <w:pPr>
              <w:pStyle w:val="nTable"/>
              <w:spacing w:after="40"/>
            </w:pPr>
            <w:r>
              <w:t>59 of 1995</w:t>
            </w:r>
          </w:p>
        </w:tc>
        <w:tc>
          <w:tcPr>
            <w:tcW w:w="1134" w:type="dxa"/>
          </w:tcPr>
          <w:p>
            <w:pPr>
              <w:pStyle w:val="nTable"/>
              <w:spacing w:after="40"/>
            </w:pPr>
            <w:r>
              <w:t>20 Dec 1995</w:t>
            </w:r>
          </w:p>
        </w:tc>
        <w:tc>
          <w:tcPr>
            <w:tcW w:w="2552" w:type="dxa"/>
          </w:tcPr>
          <w:p>
            <w:pPr>
              <w:pStyle w:val="nTable"/>
              <w:spacing w:after="40"/>
            </w:pPr>
            <w:r>
              <w:t xml:space="preserve">1 Jul 1996 (see s. 2 and </w:t>
            </w:r>
            <w:r>
              <w:rPr>
                <w:i/>
              </w:rPr>
              <w:t>Gazette</w:t>
            </w:r>
            <w:r>
              <w:t xml:space="preserve"> 25 Jun 1996 p. 2902)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7088" w:type="dxa"/>
            <w:gridSpan w:val="4"/>
          </w:tcPr>
          <w:p>
            <w:pPr>
              <w:pStyle w:val="nTable"/>
              <w:spacing w:after="40"/>
            </w:pPr>
            <w:r>
              <w:rPr>
                <w:b/>
              </w:rPr>
              <w:t xml:space="preserve">Reprint of the </w:t>
            </w:r>
            <w:r>
              <w:rPr>
                <w:b/>
                <w:i/>
              </w:rPr>
              <w:t>Settlement Agents Act 1981</w:t>
            </w:r>
            <w:r>
              <w:rPr>
                <w:b/>
              </w:rPr>
              <w:t xml:space="preserve"> as at 23 Sep 1996</w:t>
            </w:r>
            <w:r>
              <w:t xml:space="preserve"> (includes amendments listed above)</w:t>
            </w:r>
          </w:p>
        </w:tc>
      </w:tr>
      <w:tr>
        <w:trPr>
          <w:cantSplit/>
        </w:trPr>
        <w:tc>
          <w:tcPr>
            <w:tcW w:w="2268" w:type="dxa"/>
          </w:tcPr>
          <w:p>
            <w:pPr>
              <w:pStyle w:val="nTable"/>
              <w:spacing w:after="40"/>
              <w:ind w:right="113"/>
            </w:pPr>
            <w:r>
              <w:rPr>
                <w:i/>
              </w:rPr>
              <w:t>Settlement Agents Amendment Act 1996</w:t>
            </w:r>
          </w:p>
        </w:tc>
        <w:tc>
          <w:tcPr>
            <w:tcW w:w="1134" w:type="dxa"/>
          </w:tcPr>
          <w:p>
            <w:pPr>
              <w:pStyle w:val="nTable"/>
              <w:spacing w:after="40"/>
            </w:pPr>
            <w:r>
              <w:t>62 of 1996</w:t>
            </w:r>
          </w:p>
        </w:tc>
        <w:tc>
          <w:tcPr>
            <w:tcW w:w="1134" w:type="dxa"/>
          </w:tcPr>
          <w:p>
            <w:pPr>
              <w:pStyle w:val="nTable"/>
              <w:spacing w:after="40"/>
            </w:pPr>
            <w:r>
              <w:t>11 Nov 1996</w:t>
            </w:r>
          </w:p>
        </w:tc>
        <w:tc>
          <w:tcPr>
            <w:tcW w:w="2552" w:type="dxa"/>
          </w:tcPr>
          <w:p>
            <w:pPr>
              <w:pStyle w:val="nTable"/>
              <w:spacing w:after="40"/>
            </w:pPr>
            <w:r>
              <w:rPr>
                <w:color w:val="000000"/>
              </w:rPr>
              <w:t>s. 1 and 2: 11 Nov 1996;</w:t>
            </w:r>
            <w:r>
              <w:rPr>
                <w:color w:val="000000"/>
              </w:rPr>
              <w:br/>
              <w:t xml:space="preserve">Act other than s. 1 and 2: </w:t>
            </w:r>
            <w:r>
              <w:t xml:space="preserve">24 May 1997 (see s. 2 and </w:t>
            </w:r>
            <w:r>
              <w:rPr>
                <w:i/>
              </w:rPr>
              <w:t>Gazette</w:t>
            </w:r>
            <w:r>
              <w:t xml:space="preserve"> 23 May 1997 p. 2417)</w:t>
            </w:r>
          </w:p>
        </w:tc>
      </w:tr>
      <w:tr>
        <w:trPr>
          <w:cantSplit/>
        </w:trPr>
        <w:tc>
          <w:tcPr>
            <w:tcW w:w="2268" w:type="dxa"/>
          </w:tcPr>
          <w:p>
            <w:pPr>
              <w:pStyle w:val="nTable"/>
              <w:spacing w:after="40"/>
              <w:ind w:right="113"/>
            </w:pPr>
            <w:r>
              <w:rPr>
                <w:i/>
              </w:rPr>
              <w:t xml:space="preserve">Transfer of Land Amendment Act 1996 </w:t>
            </w:r>
            <w:r>
              <w:t>s. 153(1) and (2)</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14 Nov 1996 (see s. 2(1))</w:t>
            </w:r>
          </w:p>
        </w:tc>
      </w:tr>
      <w:tr>
        <w:trPr>
          <w:cantSplit/>
        </w:trPr>
        <w:tc>
          <w:tcPr>
            <w:tcW w:w="2268" w:type="dxa"/>
          </w:tcPr>
          <w:p>
            <w:pPr>
              <w:pStyle w:val="nTable"/>
              <w:spacing w:after="40"/>
              <w:ind w:right="113"/>
            </w:pPr>
            <w:r>
              <w:rPr>
                <w:i/>
              </w:rPr>
              <w:t xml:space="preserve">Acts Amendment (Land Administration) Act 1997 </w:t>
            </w:r>
            <w:r>
              <w:t>s. 141</w:t>
            </w:r>
          </w:p>
        </w:tc>
        <w:tc>
          <w:tcPr>
            <w:tcW w:w="1134" w:type="dxa"/>
          </w:tcPr>
          <w:p>
            <w:pPr>
              <w:pStyle w:val="nTable"/>
              <w:keepNext/>
              <w:keepLines/>
              <w:spacing w:after="40"/>
            </w:pPr>
            <w:r>
              <w:t>31 of 1997</w:t>
            </w:r>
          </w:p>
        </w:tc>
        <w:tc>
          <w:tcPr>
            <w:tcW w:w="1134" w:type="dxa"/>
          </w:tcPr>
          <w:p>
            <w:pPr>
              <w:pStyle w:val="nTable"/>
              <w:keepNext/>
              <w:keepLines/>
              <w:spacing w:after="40"/>
            </w:pPr>
            <w:r>
              <w:t>3 Oct 1997</w:t>
            </w:r>
          </w:p>
        </w:tc>
        <w:tc>
          <w:tcPr>
            <w:tcW w:w="2552" w:type="dxa"/>
          </w:tcPr>
          <w:p>
            <w:pPr>
              <w:pStyle w:val="nTable"/>
              <w:keepNext/>
              <w:keepLines/>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 xml:space="preserve">Acts Amendment and Repeal (Financial Sector Reform) Act 1999 </w:t>
            </w:r>
            <w:r>
              <w:t>s. 102</w:t>
            </w:r>
          </w:p>
        </w:tc>
        <w:tc>
          <w:tcPr>
            <w:tcW w:w="1134" w:type="dxa"/>
          </w:tcPr>
          <w:p>
            <w:pPr>
              <w:pStyle w:val="nTable"/>
              <w:keepNext/>
              <w:keepLines/>
              <w:spacing w:after="40"/>
            </w:pPr>
            <w:r>
              <w:t>26 of 1999</w:t>
            </w:r>
          </w:p>
        </w:tc>
        <w:tc>
          <w:tcPr>
            <w:tcW w:w="1134" w:type="dxa"/>
          </w:tcPr>
          <w:p>
            <w:pPr>
              <w:pStyle w:val="nTable"/>
              <w:keepNext/>
              <w:keepLines/>
              <w:spacing w:after="40"/>
            </w:pPr>
            <w:r>
              <w:t>29 Jun 1999</w:t>
            </w:r>
          </w:p>
        </w:tc>
        <w:tc>
          <w:tcPr>
            <w:tcW w:w="2552" w:type="dxa"/>
          </w:tcPr>
          <w:p>
            <w:pPr>
              <w:pStyle w:val="nTable"/>
              <w:keepNext/>
              <w:keepLines/>
              <w:spacing w:after="40"/>
            </w:pPr>
            <w:r>
              <w:t xml:space="preserve">1 Jul 1999 (see s. 2(1) and </w:t>
            </w:r>
            <w:r>
              <w:rPr>
                <w:i/>
              </w:rPr>
              <w:t>Gazette</w:t>
            </w:r>
            <w:r>
              <w:t xml:space="preserve"> 30 Jun 1999 p. 2905)</w:t>
            </w:r>
          </w:p>
        </w:tc>
      </w:tr>
      <w:tr>
        <w:trPr>
          <w:cantSplit/>
        </w:trPr>
        <w:tc>
          <w:tcPr>
            <w:tcW w:w="2268" w:type="dxa"/>
          </w:tcPr>
          <w:p>
            <w:pPr>
              <w:pStyle w:val="nTable"/>
              <w:spacing w:after="40"/>
              <w:ind w:right="113"/>
              <w:rPr>
                <w:vertAlign w:val="superscript"/>
              </w:rPr>
            </w:pPr>
            <w:r>
              <w:rPr>
                <w:i/>
              </w:rPr>
              <w:t xml:space="preserve">Real Estate Legislation (Fidelity Guarantee Funds) Amendment Act 2000 </w:t>
            </w:r>
            <w:r>
              <w:t>Pt. 3</w:t>
            </w:r>
            <w:r>
              <w:rPr>
                <w:vertAlign w:val="superscript"/>
              </w:rPr>
              <w:t> 3</w:t>
            </w:r>
          </w:p>
        </w:tc>
        <w:tc>
          <w:tcPr>
            <w:tcW w:w="1134" w:type="dxa"/>
          </w:tcPr>
          <w:p>
            <w:pPr>
              <w:pStyle w:val="nTable"/>
              <w:keepNext/>
              <w:keepLines/>
              <w:spacing w:after="40"/>
            </w:pPr>
            <w:r>
              <w:t>3 of 2000</w:t>
            </w:r>
          </w:p>
        </w:tc>
        <w:tc>
          <w:tcPr>
            <w:tcW w:w="1134" w:type="dxa"/>
          </w:tcPr>
          <w:p>
            <w:pPr>
              <w:pStyle w:val="nTable"/>
              <w:keepNext/>
              <w:keepLines/>
              <w:spacing w:after="40"/>
            </w:pPr>
            <w:r>
              <w:t>12 Apr 2000</w:t>
            </w:r>
          </w:p>
        </w:tc>
        <w:tc>
          <w:tcPr>
            <w:tcW w:w="2552" w:type="dxa"/>
          </w:tcPr>
          <w:p>
            <w:pPr>
              <w:pStyle w:val="nTable"/>
              <w:keepNext/>
              <w:keepLines/>
              <w:spacing w:after="40"/>
            </w:pPr>
            <w:r>
              <w:t>12 Apr 2000 (see s. 2)</w:t>
            </w:r>
          </w:p>
        </w:tc>
      </w:tr>
      <w:tr>
        <w:trPr>
          <w:cantSplit/>
        </w:trPr>
        <w:tc>
          <w:tcPr>
            <w:tcW w:w="7088" w:type="dxa"/>
            <w:gridSpan w:val="4"/>
          </w:tcPr>
          <w:p>
            <w:pPr>
              <w:pStyle w:val="nTable"/>
              <w:spacing w:after="40"/>
            </w:pPr>
            <w:r>
              <w:rPr>
                <w:b/>
              </w:rPr>
              <w:t xml:space="preserve">Reprint of the </w:t>
            </w:r>
            <w:r>
              <w:rPr>
                <w:b/>
                <w:i/>
              </w:rPr>
              <w:t>Settlement Agents Act 1981</w:t>
            </w:r>
            <w:r>
              <w:rPr>
                <w:b/>
              </w:rPr>
              <w:t xml:space="preserve"> as at 3 Nov 2000</w:t>
            </w:r>
            <w:r>
              <w:t xml:space="preserve"> (includes amendments listed above)</w:t>
            </w:r>
          </w:p>
        </w:tc>
      </w:tr>
      <w:tr>
        <w:trPr>
          <w:cantSplit/>
        </w:trPr>
        <w:tc>
          <w:tcPr>
            <w:tcW w:w="2268" w:type="dxa"/>
          </w:tcPr>
          <w:p>
            <w:pPr>
              <w:pStyle w:val="nTable"/>
              <w:spacing w:after="40"/>
              <w:ind w:right="113"/>
              <w:rPr>
                <w:i/>
              </w:rPr>
            </w:pPr>
            <w:r>
              <w:rPr>
                <w:i/>
              </w:rPr>
              <w:t xml:space="preserve">Corporations (Consequential Amendments) Act 2001 </w:t>
            </w:r>
            <w:r>
              <w:t>s. 220 and 222</w:t>
            </w:r>
          </w:p>
        </w:tc>
        <w:tc>
          <w:tcPr>
            <w:tcW w:w="1134" w:type="dxa"/>
          </w:tcPr>
          <w:p>
            <w:pPr>
              <w:pStyle w:val="nTable"/>
              <w:keepNext/>
              <w:keepLines/>
              <w:spacing w:after="40"/>
            </w:pPr>
            <w:r>
              <w:t>10 of 2001</w:t>
            </w:r>
          </w:p>
        </w:tc>
        <w:tc>
          <w:tcPr>
            <w:tcW w:w="1134" w:type="dxa"/>
          </w:tcPr>
          <w:p>
            <w:pPr>
              <w:pStyle w:val="nTable"/>
              <w:keepNext/>
              <w:keepLines/>
              <w:spacing w:after="40"/>
            </w:pPr>
            <w:r>
              <w:t>28 Jun 2001</w:t>
            </w:r>
          </w:p>
        </w:tc>
        <w:tc>
          <w:tcPr>
            <w:tcW w:w="2552" w:type="dxa"/>
          </w:tcPr>
          <w:p>
            <w:pPr>
              <w:pStyle w:val="nTable"/>
              <w:keepNext/>
              <w:keepLines/>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ind w:right="113"/>
              <w:rPr>
                <w:i/>
              </w:rPr>
            </w:pPr>
            <w:r>
              <w:rPr>
                <w:i/>
              </w:rPr>
              <w:t xml:space="preserve">Corporations (Consequential Amendments) Act (No. 3) 2003 </w:t>
            </w:r>
            <w:r>
              <w:t>Pt. 13 </w:t>
            </w:r>
            <w:r>
              <w:rPr>
                <w:vertAlign w:val="superscript"/>
              </w:rPr>
              <w:t>7</w:t>
            </w:r>
          </w:p>
        </w:tc>
        <w:tc>
          <w:tcPr>
            <w:tcW w:w="1134" w:type="dxa"/>
          </w:tcPr>
          <w:p>
            <w:pPr>
              <w:pStyle w:val="nTable"/>
              <w:keepNext/>
              <w:keepLines/>
              <w:spacing w:after="40"/>
            </w:pPr>
            <w:r>
              <w:t>21 of 2003</w:t>
            </w:r>
          </w:p>
        </w:tc>
        <w:tc>
          <w:tcPr>
            <w:tcW w:w="1134" w:type="dxa"/>
          </w:tcPr>
          <w:p>
            <w:pPr>
              <w:pStyle w:val="nTable"/>
              <w:keepNext/>
              <w:keepLines/>
              <w:spacing w:after="40"/>
            </w:pPr>
            <w:r>
              <w:t>23 Apr 2003</w:t>
            </w:r>
          </w:p>
        </w:tc>
        <w:tc>
          <w:tcPr>
            <w:tcW w:w="2552" w:type="dxa"/>
          </w:tcPr>
          <w:p>
            <w:pPr>
              <w:pStyle w:val="nTable"/>
              <w:keepNext/>
              <w:keepLines/>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ind w:right="113"/>
            </w:pPr>
            <w:r>
              <w:rPr>
                <w:i/>
              </w:rPr>
              <w:t>Acts Amendment (Equality of Status) Act 2003</w:t>
            </w:r>
            <w:r>
              <w:t xml:space="preserve"> Pt. 53</w:t>
            </w:r>
          </w:p>
        </w:tc>
        <w:tc>
          <w:tcPr>
            <w:tcW w:w="1134" w:type="dxa"/>
          </w:tcPr>
          <w:p>
            <w:pPr>
              <w:pStyle w:val="nTable"/>
              <w:keepNext/>
              <w:keepLines/>
              <w:spacing w:after="40"/>
            </w:pPr>
            <w:r>
              <w:t>28 of 2003</w:t>
            </w:r>
          </w:p>
        </w:tc>
        <w:tc>
          <w:tcPr>
            <w:tcW w:w="1134" w:type="dxa"/>
          </w:tcPr>
          <w:p>
            <w:pPr>
              <w:pStyle w:val="nTable"/>
              <w:keepNext/>
              <w:keepLines/>
              <w:spacing w:after="40"/>
            </w:pPr>
            <w:r>
              <w:t>22 May 2003</w:t>
            </w:r>
          </w:p>
        </w:tc>
        <w:tc>
          <w:tcPr>
            <w:tcW w:w="2552" w:type="dxa"/>
          </w:tcPr>
          <w:p>
            <w:pPr>
              <w:pStyle w:val="nTable"/>
              <w:keepNext/>
              <w:keepLines/>
              <w:spacing w:after="40"/>
            </w:pPr>
            <w:r>
              <w:t xml:space="preserve">1 Jul 2003 (see s. 2 and </w:t>
            </w:r>
            <w:r>
              <w:rPr>
                <w:i/>
              </w:rPr>
              <w:t xml:space="preserve">Gazette </w:t>
            </w:r>
            <w:r>
              <w:t>30 Jun 2003 p. 2579)</w:t>
            </w:r>
          </w:p>
        </w:tc>
      </w:tr>
      <w:tr>
        <w:trPr>
          <w:cantSplit/>
        </w:trPr>
        <w:tc>
          <w:tcPr>
            <w:tcW w:w="2268" w:type="dxa"/>
          </w:tcPr>
          <w:p>
            <w:pPr>
              <w:pStyle w:val="nTable"/>
              <w:spacing w:after="40"/>
              <w:ind w:right="113"/>
              <w:rPr>
                <w:i/>
              </w:rPr>
            </w:pPr>
            <w:r>
              <w:rPr>
                <w:i/>
              </w:rPr>
              <w:t>Acts Amendment and Repeal (Courts and Legal Practice) Act 2003</w:t>
            </w:r>
            <w:r>
              <w:t xml:space="preserve"> s. 66</w:t>
            </w:r>
          </w:p>
        </w:tc>
        <w:tc>
          <w:tcPr>
            <w:tcW w:w="1134" w:type="dxa"/>
          </w:tcPr>
          <w:p>
            <w:pPr>
              <w:pStyle w:val="nTable"/>
              <w:keepNext/>
              <w:keepLines/>
              <w:spacing w:after="40"/>
            </w:pPr>
            <w:r>
              <w:t>65 of 2003</w:t>
            </w:r>
          </w:p>
        </w:tc>
        <w:tc>
          <w:tcPr>
            <w:tcW w:w="1134" w:type="dxa"/>
          </w:tcPr>
          <w:p>
            <w:pPr>
              <w:pStyle w:val="nTable"/>
              <w:keepNext/>
              <w:keepLines/>
              <w:spacing w:after="40"/>
            </w:pPr>
            <w:r>
              <w:t>4 Dec 2003</w:t>
            </w:r>
          </w:p>
        </w:tc>
        <w:tc>
          <w:tcPr>
            <w:tcW w:w="2552" w:type="dxa"/>
          </w:tcPr>
          <w:p>
            <w:pPr>
              <w:pStyle w:val="nTable"/>
              <w:keepNext/>
              <w:keepLines/>
              <w:spacing w:after="40"/>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13"/>
            </w:pPr>
            <w:r>
              <w:rPr>
                <w:i/>
              </w:rPr>
              <w:t>Statutes (Repeals and Minor Amendments) Act 2003</w:t>
            </w:r>
            <w:r>
              <w:t xml:space="preserve"> s. 109</w:t>
            </w:r>
          </w:p>
        </w:tc>
        <w:tc>
          <w:tcPr>
            <w:tcW w:w="1134" w:type="dxa"/>
          </w:tcPr>
          <w:p>
            <w:pPr>
              <w:pStyle w:val="nTable"/>
              <w:keepNext/>
              <w:keepLines/>
              <w:spacing w:after="40"/>
            </w:pPr>
            <w:r>
              <w:t>74 of 2003</w:t>
            </w:r>
          </w:p>
        </w:tc>
        <w:tc>
          <w:tcPr>
            <w:tcW w:w="1134" w:type="dxa"/>
          </w:tcPr>
          <w:p>
            <w:pPr>
              <w:pStyle w:val="nTable"/>
              <w:keepNext/>
              <w:keepLines/>
              <w:spacing w:after="40"/>
            </w:pPr>
            <w:r>
              <w:t>15 Dec 2003</w:t>
            </w:r>
          </w:p>
        </w:tc>
        <w:tc>
          <w:tcPr>
            <w:tcW w:w="2552" w:type="dxa"/>
          </w:tcPr>
          <w:p>
            <w:pPr>
              <w:pStyle w:val="nTable"/>
              <w:keepNext/>
              <w:keepLines/>
              <w:spacing w:after="40"/>
            </w:pPr>
            <w:r>
              <w:rPr>
                <w:spacing w:val="-2"/>
              </w:rPr>
              <w:t>15 Dec 2003 (see s. 2)</w:t>
            </w:r>
          </w:p>
        </w:tc>
      </w:tr>
      <w:tr>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rPr>
            </w:pPr>
            <w:r>
              <w:rPr>
                <w:i/>
              </w:rPr>
              <w:t xml:space="preserve">State Administrative Tribunal (Conferral of Jurisdiction) Amendment and Repeal Act 2004 </w:t>
            </w:r>
            <w:r>
              <w:t>Pt. 2 Div. 118</w:t>
            </w:r>
            <w:r>
              <w:rPr>
                <w:vertAlign w:val="superscript"/>
              </w:rPr>
              <w:t> 8</w:t>
            </w:r>
          </w:p>
        </w:tc>
        <w:tc>
          <w:tcPr>
            <w:tcW w:w="1134" w:type="dxa"/>
          </w:tcPr>
          <w:p>
            <w:pPr>
              <w:pStyle w:val="nTable"/>
              <w:keepNext/>
              <w:keepLines/>
              <w:spacing w:after="40"/>
            </w:pPr>
            <w:r>
              <w:t>55 of 2004</w:t>
            </w:r>
          </w:p>
        </w:tc>
        <w:tc>
          <w:tcPr>
            <w:tcW w:w="1134" w:type="dxa"/>
          </w:tcPr>
          <w:p>
            <w:pPr>
              <w:pStyle w:val="nTable"/>
              <w:keepNext/>
              <w:keepLines/>
              <w:spacing w:after="40"/>
            </w:pPr>
            <w:r>
              <w:t>24 Nov 2004</w:t>
            </w:r>
          </w:p>
        </w:tc>
        <w:tc>
          <w:tcPr>
            <w:tcW w:w="2552" w:type="dxa"/>
          </w:tcPr>
          <w:p>
            <w:pPr>
              <w:pStyle w:val="nTable"/>
              <w:keepNext/>
              <w:keepLines/>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8" w:type="dxa"/>
          </w:tcPr>
          <w:p>
            <w:pPr>
              <w:pStyle w:val="nTable"/>
              <w:spacing w:after="40"/>
              <w:ind w:right="113"/>
              <w:rPr>
                <w:i/>
              </w:rPr>
            </w:pPr>
            <w:r>
              <w:rPr>
                <w:i/>
                <w:snapToGrid w:val="0"/>
              </w:rPr>
              <w:t>Criminal Procedure and Appeals (Consequential and Other Provisions) Act 2004</w:t>
            </w:r>
            <w:r>
              <w:rPr>
                <w:snapToGrid w:val="0"/>
              </w:rPr>
              <w:t xml:space="preserve"> s. 80 and 82 </w:t>
            </w:r>
          </w:p>
        </w:tc>
        <w:tc>
          <w:tcPr>
            <w:tcW w:w="1134" w:type="dxa"/>
          </w:tcPr>
          <w:p>
            <w:pPr>
              <w:pStyle w:val="nTable"/>
              <w:keepNext/>
              <w:keepLines/>
              <w:spacing w:after="40"/>
            </w:pPr>
            <w:r>
              <w:rPr>
                <w:snapToGrid w:val="0"/>
              </w:rPr>
              <w:t>84 of 2004</w:t>
            </w:r>
          </w:p>
        </w:tc>
        <w:tc>
          <w:tcPr>
            <w:tcW w:w="1134" w:type="dxa"/>
          </w:tcPr>
          <w:p>
            <w:pPr>
              <w:pStyle w:val="nTable"/>
              <w:keepNext/>
              <w:keepLines/>
              <w:spacing w:after="40"/>
            </w:pPr>
            <w:r>
              <w:t>16 Dec 2004</w:t>
            </w:r>
          </w:p>
        </w:tc>
        <w:tc>
          <w:tcPr>
            <w:tcW w:w="2552" w:type="dxa"/>
          </w:tcPr>
          <w:p>
            <w:pPr>
              <w:pStyle w:val="nTable"/>
              <w:keepNext/>
              <w:keepLines/>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spacing w:after="40"/>
              <w:rPr>
                <w:spacing w:val="-2"/>
              </w:rPr>
            </w:pPr>
            <w:r>
              <w:rPr>
                <w:b/>
                <w:spacing w:val="-2"/>
              </w:rPr>
              <w:t xml:space="preserve">Reprint 3: The </w:t>
            </w:r>
            <w:r>
              <w:rPr>
                <w:b/>
                <w:i/>
                <w:spacing w:val="-2"/>
              </w:rPr>
              <w:t>Settlement Agents Act 1981</w:t>
            </w:r>
            <w:r>
              <w:rPr>
                <w:b/>
                <w:spacing w:val="-2"/>
              </w:rPr>
              <w:t xml:space="preserve"> as at 8 Jul 2005</w:t>
            </w:r>
            <w:r>
              <w:rPr>
                <w:spacing w:val="-2"/>
              </w:rPr>
              <w:t xml:space="preserve"> (includes amendments listed above)</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snapToGrid w:val="0"/>
              </w:rPr>
              <w:t>Planning and Development (Consequential and Transitional Provisions) Act 2005</w:t>
            </w:r>
            <w: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rPr>
          <w:cantSplit/>
        </w:trPr>
        <w:tc>
          <w:tcPr>
            <w:tcW w:w="2268" w:type="dxa"/>
          </w:tcPr>
          <w:p>
            <w:pPr>
              <w:pStyle w:val="nTable"/>
              <w:spacing w:after="40"/>
              <w:ind w:right="113"/>
              <w:rPr>
                <w:i/>
                <w:snapToGrid w:val="0"/>
              </w:rPr>
            </w:pPr>
            <w:r>
              <w:rPr>
                <w:i/>
                <w:snapToGrid w:val="0"/>
              </w:rPr>
              <w:t>Land Information Authority Act 2006</w:t>
            </w:r>
            <w:r>
              <w:rPr>
                <w:snapToGrid w:val="0"/>
              </w:rPr>
              <w:t xml:space="preserve"> s. 158</w:t>
            </w:r>
            <w:r>
              <w:rPr>
                <w:snapToGrid w:val="0"/>
                <w:vertAlign w:val="superscript"/>
              </w:rPr>
              <w:t xml:space="preserve"> </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rPr>
              <w:t xml:space="preserve">Gazette </w:t>
            </w:r>
            <w:r>
              <w:t>8 Dec 2006 p. 5369)</w:t>
            </w:r>
          </w:p>
        </w:tc>
      </w:tr>
      <w:tr>
        <w:trPr>
          <w:cantSplit/>
        </w:trPr>
        <w:tc>
          <w:tcPr>
            <w:tcW w:w="2268" w:type="dxa"/>
          </w:tcPr>
          <w:p>
            <w:pPr>
              <w:pStyle w:val="nTable"/>
              <w:spacing w:after="40"/>
              <w:ind w:right="113"/>
              <w:rPr>
                <w:snapToGrid w:val="0"/>
              </w:rPr>
            </w:pPr>
            <w:r>
              <w:rPr>
                <w:i/>
                <w:snapToGrid w:val="0"/>
              </w:rPr>
              <w:t xml:space="preserve">Consumer </w:t>
            </w:r>
            <w:r>
              <w:rPr>
                <w:i/>
              </w:rPr>
              <w:t>Protection</w:t>
            </w:r>
            <w:r>
              <w:rPr>
                <w:i/>
                <w:snapToGrid w:val="0"/>
              </w:rPr>
              <w:t xml:space="preserve"> Legislation Amendment and Repeal Act 2006 </w:t>
            </w:r>
            <w:r>
              <w:rPr>
                <w:snapToGrid w:val="0"/>
              </w:rPr>
              <w:t>Pt. 11</w:t>
            </w:r>
          </w:p>
        </w:tc>
        <w:tc>
          <w:tcPr>
            <w:tcW w:w="1134" w:type="dxa"/>
          </w:tcPr>
          <w:p>
            <w:pPr>
              <w:pStyle w:val="nTable"/>
              <w:spacing w:after="40"/>
              <w:rPr>
                <w:snapToGrid w:val="0"/>
              </w:rPr>
            </w:pPr>
            <w:r>
              <w:rPr>
                <w:snapToGrid w:val="0"/>
              </w:rPr>
              <w:t>69 of 2006</w:t>
            </w:r>
          </w:p>
        </w:tc>
        <w:tc>
          <w:tcPr>
            <w:tcW w:w="1134" w:type="dxa"/>
          </w:tcPr>
          <w:p>
            <w:pPr>
              <w:pStyle w:val="nTable"/>
              <w:spacing w:after="40"/>
              <w:ind w:right="15"/>
              <w:rPr>
                <w:snapToGrid w:val="0"/>
              </w:rPr>
            </w:pPr>
            <w:r>
              <w:rPr>
                <w:snapToGrid w:val="0"/>
              </w:rPr>
              <w:t>13 Dec 2006</w:t>
            </w:r>
          </w:p>
        </w:tc>
        <w:tc>
          <w:tcPr>
            <w:tcW w:w="2552" w:type="dxa"/>
          </w:tcPr>
          <w:p>
            <w:pPr>
              <w:pStyle w:val="nTable"/>
              <w:keepLines/>
              <w:spacing w:after="40"/>
            </w:pPr>
            <w:r>
              <w:t xml:space="preserve">14 Jul 2007 (see s. 2 and </w:t>
            </w:r>
            <w:r>
              <w:rPr>
                <w:i/>
                <w:iCs/>
              </w:rPr>
              <w:t>Gazette</w:t>
            </w:r>
            <w:r>
              <w:t xml:space="preserve"> 13 Jul 2007 p. 3453)</w:t>
            </w:r>
          </w:p>
        </w:tc>
      </w:tr>
      <w:tr>
        <w:trPr>
          <w:cantSplit/>
        </w:trPr>
        <w:tc>
          <w:tcPr>
            <w:tcW w:w="2268" w:type="dxa"/>
          </w:tcPr>
          <w:p>
            <w:pPr>
              <w:pStyle w:val="nTable"/>
              <w:spacing w:after="40"/>
              <w:ind w:right="113"/>
              <w:rPr>
                <w:i/>
                <w:snapToGrid w:val="0"/>
              </w:rPr>
            </w:pPr>
            <w:r>
              <w:rPr>
                <w:i/>
                <w:snapToGrid w:val="0"/>
              </w:rPr>
              <w:t>Financial Legislation Amendment and Repeal Act 2006</w:t>
            </w:r>
            <w:r>
              <w:rPr>
                <w:snapToGrid w:val="0"/>
              </w:rPr>
              <w:t xml:space="preserve"> Sch. 1 cl. 156</w:t>
            </w:r>
          </w:p>
        </w:tc>
        <w:tc>
          <w:tcPr>
            <w:tcW w:w="1134" w:type="dxa"/>
          </w:tcPr>
          <w:p>
            <w:pPr>
              <w:pStyle w:val="nTable"/>
              <w:spacing w:after="40"/>
              <w:rPr>
                <w:snapToGrid w:val="0"/>
              </w:rPr>
            </w:pPr>
            <w:r>
              <w:rPr>
                <w:snapToGrid w:val="0"/>
              </w:rPr>
              <w:t>77 of 2006</w:t>
            </w:r>
          </w:p>
        </w:tc>
        <w:tc>
          <w:tcPr>
            <w:tcW w:w="1134" w:type="dxa"/>
          </w:tcPr>
          <w:p>
            <w:pPr>
              <w:pStyle w:val="nTable"/>
              <w:spacing w:after="40"/>
              <w:rPr>
                <w:snapToGrid w:val="0"/>
              </w:rPr>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7088" w:type="dxa"/>
            <w:gridSpan w:val="4"/>
          </w:tcPr>
          <w:p>
            <w:pPr>
              <w:pStyle w:val="nTable"/>
              <w:spacing w:after="40"/>
              <w:rPr>
                <w:snapToGrid w:val="0"/>
              </w:rPr>
            </w:pPr>
            <w:r>
              <w:rPr>
                <w:b/>
                <w:spacing w:val="-2"/>
              </w:rPr>
              <w:t xml:space="preserve">Reprint 4: The </w:t>
            </w:r>
            <w:r>
              <w:rPr>
                <w:b/>
                <w:i/>
                <w:spacing w:val="-2"/>
              </w:rPr>
              <w:t>Settlement Agents Act 1981</w:t>
            </w:r>
            <w:r>
              <w:rPr>
                <w:b/>
                <w:spacing w:val="-2"/>
              </w:rPr>
              <w:t xml:space="preserve"> as at 25 May 2007</w:t>
            </w:r>
            <w:r>
              <w:rPr>
                <w:spacing w:val="-2"/>
              </w:rPr>
              <w:t xml:space="preserve"> (includes amendments listed above except those in the </w:t>
            </w:r>
            <w:r>
              <w:rPr>
                <w:i/>
                <w:snapToGrid w:val="0"/>
              </w:rPr>
              <w:t xml:space="preserve">Consumer </w:t>
            </w:r>
            <w:r>
              <w:rPr>
                <w:i/>
              </w:rPr>
              <w:t>Protection</w:t>
            </w:r>
            <w:r>
              <w:rPr>
                <w:i/>
                <w:snapToGrid w:val="0"/>
              </w:rPr>
              <w:t xml:space="preserve"> Legislation Amendment and Repeal Act 2006</w:t>
            </w:r>
            <w:r>
              <w:rPr>
                <w:spacing w:val="-2"/>
              </w:rP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34</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rPr>
                <w:i/>
              </w:rPr>
            </w:pPr>
            <w:r>
              <w:rPr>
                <w:i/>
                <w:iCs/>
                <w:snapToGrid w:val="0"/>
              </w:rPr>
              <w:t>Legal Profession Act 2008</w:t>
            </w:r>
            <w:r>
              <w:rPr>
                <w:i/>
                <w:snapToGrid w:val="0"/>
              </w:rPr>
              <w:t xml:space="preserve"> </w:t>
            </w:r>
            <w:r>
              <w:rPr>
                <w:iCs/>
                <w:snapToGrid w:val="0"/>
              </w:rPr>
              <w:t>s. 704</w:t>
            </w:r>
          </w:p>
        </w:tc>
        <w:tc>
          <w:tcPr>
            <w:tcW w:w="1134" w:type="dxa"/>
          </w:tcPr>
          <w:p>
            <w:pPr>
              <w:pStyle w:val="nTable"/>
              <w:spacing w:after="40"/>
            </w:pPr>
            <w:r>
              <w:t>21 of 2008</w:t>
            </w:r>
          </w:p>
        </w:tc>
        <w:tc>
          <w:tcPr>
            <w:tcW w:w="1134" w:type="dxa"/>
          </w:tcPr>
          <w:p>
            <w:pPr>
              <w:pStyle w:val="nTable"/>
              <w:spacing w:after="40"/>
            </w:pPr>
            <w:r>
              <w:t>27 May 2008</w:t>
            </w:r>
          </w:p>
        </w:tc>
        <w:tc>
          <w:tcPr>
            <w:tcW w:w="2552"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80</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8" w:type="dxa"/>
          </w:tcPr>
          <w:p>
            <w:pPr>
              <w:pStyle w:val="nTable"/>
              <w:spacing w:after="40"/>
              <w:rPr>
                <w:iCs/>
                <w:snapToGrid w:val="0"/>
              </w:rPr>
            </w:pPr>
            <w:r>
              <w:rPr>
                <w:i/>
                <w:snapToGrid w:val="0"/>
              </w:rPr>
              <w:t>Statutes (Repeals and Minor Amendments) Act 2009</w:t>
            </w:r>
            <w:r>
              <w:rPr>
                <w:iCs/>
                <w:snapToGrid w:val="0"/>
              </w:rPr>
              <w:t xml:space="preserve"> s. 15</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rPr>
          <w:cantSplit/>
        </w:trPr>
        <w:tc>
          <w:tcPr>
            <w:tcW w:w="7088" w:type="dxa"/>
            <w:gridSpan w:val="4"/>
          </w:tcPr>
          <w:p>
            <w:pPr>
              <w:pStyle w:val="nTable"/>
              <w:spacing w:after="40"/>
            </w:pPr>
            <w:r>
              <w:rPr>
                <w:b/>
                <w:spacing w:val="-2"/>
              </w:rPr>
              <w:t xml:space="preserve">Reprint 5: The </w:t>
            </w:r>
            <w:r>
              <w:rPr>
                <w:b/>
                <w:i/>
                <w:spacing w:val="-2"/>
              </w:rPr>
              <w:t>Settlement Agents Act 1981</w:t>
            </w:r>
            <w:r>
              <w:rPr>
                <w:b/>
                <w:spacing w:val="-2"/>
              </w:rPr>
              <w:t xml:space="preserve"> as at 26 Mar 2010 </w:t>
            </w:r>
            <w:r>
              <w:rPr>
                <w:spacing w:val="-2"/>
              </w:rPr>
              <w:t>(includes amendments listed above)</w:t>
            </w:r>
          </w:p>
        </w:tc>
      </w:tr>
      <w:tr>
        <w:trPr>
          <w:cantSplit/>
        </w:trPr>
        <w:tc>
          <w:tcPr>
            <w:tcW w:w="2268" w:type="dxa"/>
          </w:tcPr>
          <w:p>
            <w:pPr>
              <w:pStyle w:val="nTable"/>
              <w:spacing w:after="40"/>
              <w:rPr>
                <w:iCs/>
                <w:snapToGrid w:val="0"/>
              </w:rPr>
            </w:pPr>
            <w:r>
              <w:rPr>
                <w:i/>
                <w:iCs/>
                <w:snapToGrid w:val="0"/>
              </w:rPr>
              <w:t>Credit (Commonwealth Powers) (Transitional and Consequential Provisions) Act 2010</w:t>
            </w:r>
            <w:r>
              <w:rPr>
                <w:iCs/>
                <w:snapToGrid w:val="0"/>
              </w:rPr>
              <w:t xml:space="preserve"> s. 79</w:t>
            </w:r>
          </w:p>
        </w:tc>
        <w:tc>
          <w:tcPr>
            <w:tcW w:w="1134" w:type="dxa"/>
          </w:tcPr>
          <w:p>
            <w:pPr>
              <w:pStyle w:val="nTable"/>
              <w:spacing w:after="40"/>
            </w:pPr>
            <w:r>
              <w:t>14 of 2010</w:t>
            </w:r>
          </w:p>
        </w:tc>
        <w:tc>
          <w:tcPr>
            <w:tcW w:w="1134" w:type="dxa"/>
          </w:tcPr>
          <w:p>
            <w:pPr>
              <w:pStyle w:val="nTable"/>
              <w:spacing w:after="40"/>
            </w:pPr>
            <w:r>
              <w:t>25 Jun 2010</w:t>
            </w:r>
          </w:p>
        </w:tc>
        <w:tc>
          <w:tcPr>
            <w:tcW w:w="2552" w:type="dxa"/>
          </w:tcPr>
          <w:p>
            <w:pPr>
              <w:pStyle w:val="nTable"/>
              <w:spacing w:after="40"/>
            </w:pPr>
            <w:r>
              <w:t xml:space="preserve">1 Jul 2010 (see s. 2(b) and </w:t>
            </w:r>
            <w:r>
              <w:rPr>
                <w:i/>
                <w:iCs/>
              </w:rPr>
              <w:t xml:space="preserve">Gazette </w:t>
            </w:r>
            <w:r>
              <w:t>30 Jun 2010 p. 3185)</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snapToGrid w:val="0"/>
              </w:rPr>
              <w:t>Standardisation of Formatting Act 2010</w:t>
            </w:r>
            <w:r>
              <w:rPr>
                <w:iCs/>
                <w:snapToGrid w:val="0"/>
              </w:rPr>
              <w:t xml:space="preserve"> s. 35 and 51</w:t>
            </w:r>
          </w:p>
        </w:tc>
        <w:tc>
          <w:tcPr>
            <w:tcW w:w="1134" w:type="dxa"/>
            <w:tcBorders>
              <w:top w:val="nil"/>
              <w:bottom w:val="nil"/>
            </w:tcBorders>
          </w:tcPr>
          <w:p>
            <w:pPr>
              <w:pStyle w:val="nTable"/>
              <w:spacing w:after="40"/>
              <w:rPr>
                <w:snapToGrid w:val="0"/>
              </w:rPr>
            </w:pPr>
            <w:r>
              <w:rPr>
                <w:snapToGrid w:val="0"/>
              </w:rPr>
              <w:t>19 of 2010</w:t>
            </w:r>
          </w:p>
        </w:tc>
        <w:tc>
          <w:tcPr>
            <w:tcW w:w="1134" w:type="dxa"/>
            <w:tcBorders>
              <w:top w:val="nil"/>
              <w:bottom w:val="nil"/>
            </w:tcBorders>
          </w:tcPr>
          <w:p>
            <w:pPr>
              <w:pStyle w:val="nTable"/>
              <w:spacing w:after="40"/>
              <w:rPr>
                <w:snapToGrid w:val="0"/>
              </w:rPr>
            </w:pPr>
            <w:r>
              <w:rPr>
                <w:snapToGrid w:val="0"/>
              </w:rPr>
              <w:t>28 Jun 2010</w:t>
            </w:r>
          </w:p>
        </w:tc>
        <w:tc>
          <w:tcPr>
            <w:tcW w:w="2552" w:type="dxa"/>
            <w:tcBorders>
              <w:top w:val="nil"/>
              <w:bottom w:val="nil"/>
            </w:tcBorders>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rPr>
                <w:i/>
                <w:iCs/>
                <w:snapToGrid w:val="0"/>
              </w:rPr>
            </w:pPr>
            <w:r>
              <w:rPr>
                <w:i/>
                <w:noProof/>
                <w:snapToGrid w:val="0"/>
              </w:rPr>
              <w:t>Acts Amendment (Fair Trading) Act 2010</w:t>
            </w:r>
            <w:r>
              <w:rPr>
                <w:iCs/>
                <w:noProof/>
                <w:snapToGrid w:val="0"/>
              </w:rPr>
              <w:t xml:space="preserve"> Pt. 7</w:t>
            </w:r>
          </w:p>
        </w:tc>
        <w:tc>
          <w:tcPr>
            <w:tcW w:w="1134" w:type="dxa"/>
            <w:tcBorders>
              <w:top w:val="nil"/>
              <w:bottom w:val="nil"/>
            </w:tcBorders>
            <w:shd w:val="clear" w:color="auto" w:fill="auto"/>
          </w:tcPr>
          <w:p>
            <w:pPr>
              <w:pStyle w:val="nTable"/>
              <w:spacing w:after="40"/>
              <w:rPr>
                <w:snapToGrid w:val="0"/>
              </w:rPr>
            </w:pPr>
            <w:r>
              <w:t>58 of 2010</w:t>
            </w:r>
          </w:p>
        </w:tc>
        <w:tc>
          <w:tcPr>
            <w:tcW w:w="1134" w:type="dxa"/>
            <w:tcBorders>
              <w:top w:val="nil"/>
              <w:bottom w:val="nil"/>
            </w:tcBorders>
            <w:shd w:val="clear" w:color="auto" w:fill="auto"/>
          </w:tcPr>
          <w:p>
            <w:pPr>
              <w:pStyle w:val="nTable"/>
              <w:spacing w:after="40"/>
              <w:rPr>
                <w:snapToGrid w:val="0"/>
              </w:rPr>
            </w:pPr>
            <w:r>
              <w:t>8 Dec 2010</w:t>
            </w:r>
          </w:p>
        </w:tc>
        <w:tc>
          <w:tcPr>
            <w:tcW w:w="2552" w:type="dxa"/>
            <w:tcBorders>
              <w:top w:val="nil"/>
              <w:bottom w:val="nil"/>
            </w:tcBorders>
            <w:shd w:val="clear" w:color="auto" w:fill="auto"/>
          </w:tcPr>
          <w:p>
            <w:pPr>
              <w:pStyle w:val="nTable"/>
              <w:spacing w:after="40"/>
              <w:rPr>
                <w:snapToGrid w:val="0"/>
              </w:rPr>
            </w:pPr>
            <w:r>
              <w:t xml:space="preserve">1 Jul 2011 (see s. 2(c) and </w:t>
            </w:r>
            <w:r>
              <w:rPr>
                <w:i/>
              </w:rPr>
              <w:t>Gazette</w:t>
            </w:r>
            <w:r>
              <w:t xml:space="preserve"> 7 Jun 2011 p. 2057)</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rPr>
                <w:i/>
                <w:iCs/>
                <w:snapToGrid w:val="0"/>
              </w:rPr>
            </w:pPr>
            <w:r>
              <w:rPr>
                <w:i/>
                <w:snapToGrid w:val="0"/>
              </w:rPr>
              <w:t>Personal Property Securities (Consequential Repeals and Amendments) Act 2011</w:t>
            </w:r>
            <w:r>
              <w:rPr>
                <w:snapToGrid w:val="0"/>
              </w:rPr>
              <w:t xml:space="preserve"> Pt. 4 Div. 8</w:t>
            </w:r>
          </w:p>
        </w:tc>
        <w:tc>
          <w:tcPr>
            <w:tcW w:w="1134" w:type="dxa"/>
            <w:tcBorders>
              <w:top w:val="nil"/>
              <w:bottom w:val="nil"/>
            </w:tcBorders>
            <w:shd w:val="clear" w:color="auto" w:fill="auto"/>
          </w:tcPr>
          <w:p>
            <w:pPr>
              <w:pStyle w:val="nTable"/>
              <w:spacing w:after="40"/>
              <w:rPr>
                <w:snapToGrid w:val="0"/>
              </w:rPr>
            </w:pPr>
            <w:r>
              <w:rPr>
                <w:snapToGrid w:val="0"/>
              </w:rPr>
              <w:t>42 of 2011</w:t>
            </w:r>
          </w:p>
        </w:tc>
        <w:tc>
          <w:tcPr>
            <w:tcW w:w="1134" w:type="dxa"/>
            <w:tcBorders>
              <w:top w:val="nil"/>
              <w:bottom w:val="nil"/>
            </w:tcBorders>
            <w:shd w:val="clear" w:color="auto" w:fill="auto"/>
          </w:tcPr>
          <w:p>
            <w:pPr>
              <w:pStyle w:val="nTable"/>
              <w:spacing w:after="40"/>
              <w:rPr>
                <w:snapToGrid w:val="0"/>
              </w:rPr>
            </w:pPr>
            <w:r>
              <w:t>4 Oct 2011</w:t>
            </w:r>
          </w:p>
        </w:tc>
        <w:tc>
          <w:tcPr>
            <w:tcW w:w="2552" w:type="dxa"/>
            <w:tcBorders>
              <w:top w:val="nil"/>
              <w:bottom w:val="nil"/>
            </w:tcBorders>
            <w:shd w:val="clear" w:color="auto" w:fill="auto"/>
          </w:tcPr>
          <w:p>
            <w:pPr>
              <w:pStyle w:val="nTable"/>
              <w:spacing w:after="40"/>
              <w:rPr>
                <w:snapToGrid w:val="0"/>
              </w:rPr>
            </w:pPr>
            <w:r>
              <w:rPr>
                <w:snapToGrid w:val="0"/>
              </w:rPr>
              <w:t>30 Jan 2012 (see s. 2(c) and Cwlth Legislative Instrument No. F2011L02397 cl. 5 registered 21 Nov 2011)</w:t>
            </w:r>
          </w:p>
        </w:tc>
      </w:tr>
      <w:tr>
        <w:tblPrEx>
          <w:tblBorders>
            <w:top w:val="single" w:sz="4" w:space="0" w:color="auto"/>
            <w:bottom w:val="single" w:sz="4" w:space="0" w:color="auto"/>
            <w:insideH w:val="single" w:sz="4" w:space="0" w:color="auto"/>
          </w:tblBorders>
        </w:tblPrEx>
        <w:tc>
          <w:tcPr>
            <w:tcW w:w="7088" w:type="dxa"/>
            <w:gridSpan w:val="4"/>
            <w:tcBorders>
              <w:top w:val="nil"/>
              <w:bottom w:val="nil"/>
            </w:tcBorders>
            <w:shd w:val="clear" w:color="auto" w:fill="auto"/>
          </w:tcPr>
          <w:p>
            <w:pPr>
              <w:pStyle w:val="nTable"/>
              <w:spacing w:after="40"/>
            </w:pPr>
            <w:r>
              <w:rPr>
                <w:b/>
                <w:spacing w:val="-2"/>
              </w:rPr>
              <w:t xml:space="preserve">Reprint 6: The </w:t>
            </w:r>
            <w:r>
              <w:rPr>
                <w:b/>
                <w:i/>
                <w:spacing w:val="-2"/>
              </w:rPr>
              <w:t>Settlement Agents Act 1981</w:t>
            </w:r>
            <w:r>
              <w:rPr>
                <w:b/>
                <w:spacing w:val="-2"/>
              </w:rPr>
              <w:t xml:space="preserve"> as at 11 Nov 2011 </w:t>
            </w:r>
            <w:r>
              <w:rPr>
                <w:spacing w:val="-2"/>
              </w:rPr>
              <w:t xml:space="preserve">(includes amendments listed above except those in the </w:t>
            </w:r>
            <w:r>
              <w:rPr>
                <w:i/>
                <w:snapToGrid w:val="0"/>
              </w:rPr>
              <w:t>Personal Property Securities (Consequential Repeals and Amendments) Act 2011</w:t>
            </w:r>
            <w:r>
              <w:rPr>
                <w:spacing w:val="-2"/>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rPr>
                <w:i/>
                <w:iCs/>
                <w:snapToGrid w:val="0"/>
              </w:rPr>
            </w:pPr>
            <w:r>
              <w:rPr>
                <w:i/>
                <w:noProof/>
                <w:snapToGrid w:val="0"/>
              </w:rPr>
              <w:t xml:space="preserve">Business Names (Commonwealth Powers) Act 2012 </w:t>
            </w:r>
            <w:r>
              <w:rPr>
                <w:snapToGrid w:val="0"/>
              </w:rPr>
              <w:t>Pt. 4 Div. 4</w:t>
            </w:r>
          </w:p>
        </w:tc>
        <w:tc>
          <w:tcPr>
            <w:tcW w:w="1134" w:type="dxa"/>
            <w:tcBorders>
              <w:top w:val="nil"/>
              <w:bottom w:val="nil"/>
            </w:tcBorders>
            <w:shd w:val="clear" w:color="auto" w:fill="auto"/>
          </w:tcPr>
          <w:p>
            <w:pPr>
              <w:pStyle w:val="nTable"/>
              <w:spacing w:after="40"/>
              <w:rPr>
                <w:snapToGrid w:val="0"/>
              </w:rPr>
            </w:pPr>
            <w:r>
              <w:rPr>
                <w:snapToGrid w:val="0"/>
              </w:rPr>
              <w:t>6 of 2012</w:t>
            </w:r>
          </w:p>
        </w:tc>
        <w:tc>
          <w:tcPr>
            <w:tcW w:w="1134" w:type="dxa"/>
            <w:tcBorders>
              <w:top w:val="nil"/>
              <w:bottom w:val="nil"/>
            </w:tcBorders>
            <w:shd w:val="clear" w:color="auto" w:fill="auto"/>
          </w:tcPr>
          <w:p>
            <w:pPr>
              <w:pStyle w:val="nTable"/>
              <w:spacing w:after="40"/>
              <w:rPr>
                <w:snapToGrid w:val="0"/>
              </w:rPr>
            </w:pPr>
            <w:r>
              <w:t>10 Apr 2012</w:t>
            </w:r>
          </w:p>
        </w:tc>
        <w:tc>
          <w:tcPr>
            <w:tcW w:w="2552" w:type="dxa"/>
            <w:tcBorders>
              <w:top w:val="nil"/>
              <w:bottom w:val="nil"/>
            </w:tcBorders>
            <w:shd w:val="clear" w:color="auto" w:fill="auto"/>
          </w:tcPr>
          <w:p>
            <w:pPr>
              <w:pStyle w:val="nTable"/>
              <w:spacing w:after="40"/>
              <w:rPr>
                <w:snapToGrid w:val="0"/>
              </w:rPr>
            </w:pPr>
            <w:r>
              <w:rPr>
                <w:snapToGrid w:val="0"/>
              </w:rPr>
              <w:t xml:space="preserve">28 May 2012 (see s. 2(c) and Cwlth </w:t>
            </w:r>
            <w:r>
              <w:rPr>
                <w:i/>
                <w:snapToGrid w:val="0"/>
              </w:rPr>
              <w:t>Gazette</w:t>
            </w:r>
            <w:r>
              <w:rPr>
                <w:snapToGrid w:val="0"/>
              </w:rPr>
              <w:t xml:space="preserve"> 19 Apr 2012 ref. F2012L00891)</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after="40"/>
              <w:rPr>
                <w:i/>
                <w:noProof/>
                <w:snapToGrid w:val="0"/>
              </w:rPr>
            </w:pPr>
            <w:r>
              <w:rPr>
                <w:i/>
                <w:noProof/>
                <w:snapToGrid w:val="0"/>
              </w:rPr>
              <w:t xml:space="preserve">Electronic Conveyancing Act 2014 </w:t>
            </w:r>
            <w:r>
              <w:rPr>
                <w:noProof/>
                <w:snapToGrid w:val="0"/>
              </w:rPr>
              <w:t>Pt. 7</w:t>
            </w:r>
          </w:p>
        </w:tc>
        <w:tc>
          <w:tcPr>
            <w:tcW w:w="1134" w:type="dxa"/>
            <w:tcBorders>
              <w:top w:val="nil"/>
              <w:left w:val="nil"/>
              <w:bottom w:val="nil"/>
              <w:right w:val="nil"/>
            </w:tcBorders>
            <w:shd w:val="clear" w:color="auto" w:fill="auto"/>
          </w:tcPr>
          <w:p>
            <w:pPr>
              <w:pStyle w:val="nTable"/>
              <w:spacing w:after="40"/>
              <w:rPr>
                <w:snapToGrid w:val="0"/>
              </w:rPr>
            </w:pPr>
            <w:r>
              <w:rPr>
                <w:snapToGrid w:val="0"/>
              </w:rPr>
              <w:t>2 of 2014</w:t>
            </w:r>
          </w:p>
        </w:tc>
        <w:tc>
          <w:tcPr>
            <w:tcW w:w="1134" w:type="dxa"/>
            <w:tcBorders>
              <w:top w:val="nil"/>
              <w:left w:val="nil"/>
              <w:bottom w:val="nil"/>
              <w:right w:val="nil"/>
            </w:tcBorders>
            <w:shd w:val="clear" w:color="auto" w:fill="auto"/>
          </w:tcPr>
          <w:p>
            <w:pPr>
              <w:pStyle w:val="nTable"/>
              <w:spacing w:after="40"/>
            </w:pPr>
            <w:r>
              <w:t>24 Mar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after="40"/>
              <w:rPr>
                <w:i/>
                <w:noProof/>
                <w:snapToGrid w:val="0"/>
              </w:rPr>
            </w:pPr>
            <w:r>
              <w:rPr>
                <w:i/>
                <w:noProof/>
                <w:snapToGrid w:val="0"/>
              </w:rPr>
              <w:t>Consumer Protection Legislation Amendment Act 2014</w:t>
            </w:r>
            <w:r>
              <w:rPr>
                <w:noProof/>
                <w:snapToGrid w:val="0"/>
              </w:rPr>
              <w:t xml:space="preserve"> Pt. 14</w:t>
            </w:r>
          </w:p>
        </w:tc>
        <w:tc>
          <w:tcPr>
            <w:tcW w:w="1134" w:type="dxa"/>
            <w:tcBorders>
              <w:top w:val="nil"/>
              <w:left w:val="nil"/>
              <w:bottom w:val="nil"/>
              <w:right w:val="nil"/>
            </w:tcBorders>
            <w:shd w:val="clear" w:color="auto" w:fill="auto"/>
          </w:tcPr>
          <w:p>
            <w:pPr>
              <w:pStyle w:val="nTable"/>
              <w:spacing w:after="40"/>
              <w:rPr>
                <w:snapToGrid w:val="0"/>
              </w:rPr>
            </w:pPr>
            <w:r>
              <w:rPr>
                <w:snapToGrid w:val="0"/>
              </w:rPr>
              <w:t>23 of 2014</w:t>
            </w:r>
          </w:p>
        </w:tc>
        <w:tc>
          <w:tcPr>
            <w:tcW w:w="1134" w:type="dxa"/>
            <w:tcBorders>
              <w:top w:val="nil"/>
              <w:left w:val="nil"/>
              <w:bottom w:val="nil"/>
              <w:right w:val="nil"/>
            </w:tcBorders>
            <w:shd w:val="clear" w:color="auto" w:fill="auto"/>
          </w:tcPr>
          <w:p>
            <w:pPr>
              <w:pStyle w:val="nTable"/>
              <w:spacing w:after="40"/>
            </w:pPr>
            <w:r>
              <w:rPr>
                <w:snapToGrid w:val="0"/>
              </w:rPr>
              <w:t>9 Oct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c>
          <w:tcPr>
            <w:tcW w:w="7088"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7: The </w:t>
            </w:r>
            <w:r>
              <w:rPr>
                <w:b/>
                <w:i/>
                <w:noProof/>
                <w:snapToGrid w:val="0"/>
              </w:rPr>
              <w:t>Settlement Agents Act 1981</w:t>
            </w:r>
            <w:r>
              <w:rPr>
                <w:b/>
                <w:snapToGrid w:val="0"/>
              </w:rPr>
              <w:t xml:space="preserve"> as at 13 Mar 2015</w:t>
            </w:r>
            <w:r>
              <w:rPr>
                <w:snapToGrid w:val="0"/>
              </w:rPr>
              <w:t xml:space="preserve"> (includes amendments listed above)</w:t>
            </w:r>
          </w:p>
        </w:tc>
      </w:tr>
    </w:tbl>
    <w:p>
      <w:pPr>
        <w:pStyle w:val="nSubsection"/>
        <w:widowControl w:val="0"/>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4" w:name="_Toc377996655"/>
      <w:bookmarkStart w:id="195" w:name="_Toc412629096"/>
      <w:bookmarkStart w:id="196" w:name="_Toc468701198"/>
      <w:r>
        <w:t>Provisions that have not come into operation</w:t>
      </w:r>
      <w:bookmarkEnd w:id="194"/>
      <w:bookmarkEnd w:id="195"/>
      <w:bookmarkEnd w:id="196"/>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8"/>
        <w:gridCol w:w="2556"/>
      </w:tblGrid>
      <w:tr>
        <w:trPr>
          <w:cantSplit/>
          <w:tblHeader/>
        </w:trPr>
        <w:tc>
          <w:tcPr>
            <w:tcW w:w="2273" w:type="dxa"/>
            <w:tcBorders>
              <w:top w:val="single" w:sz="4" w:space="0" w:color="auto"/>
              <w:bottom w:val="single" w:sz="4" w:space="0" w:color="auto"/>
            </w:tcBorders>
          </w:tcPr>
          <w:p>
            <w:pPr>
              <w:pStyle w:val="nTable"/>
              <w:keepNext/>
              <w:spacing w:after="40"/>
              <w:ind w:right="113"/>
              <w:rPr>
                <w:b/>
              </w:rPr>
            </w:pPr>
            <w:r>
              <w:rPr>
                <w:b/>
              </w:rPr>
              <w:t>Short title</w:t>
            </w:r>
          </w:p>
        </w:tc>
        <w:tc>
          <w:tcPr>
            <w:tcW w:w="1139" w:type="dxa"/>
            <w:tcBorders>
              <w:top w:val="single" w:sz="4" w:space="0" w:color="auto"/>
              <w:bottom w:val="single" w:sz="4" w:space="0" w:color="auto"/>
            </w:tcBorders>
          </w:tcPr>
          <w:p>
            <w:pPr>
              <w:pStyle w:val="nTable"/>
              <w:keepNext/>
              <w:spacing w:after="40"/>
              <w:rPr>
                <w:b/>
              </w:rPr>
            </w:pPr>
            <w:r>
              <w:rPr>
                <w:b/>
              </w:rPr>
              <w:t>Number and year</w:t>
            </w:r>
          </w:p>
        </w:tc>
        <w:tc>
          <w:tcPr>
            <w:tcW w:w="1138" w:type="dxa"/>
            <w:tcBorders>
              <w:top w:val="single" w:sz="4" w:space="0" w:color="auto"/>
              <w:bottom w:val="single" w:sz="4" w:space="0" w:color="auto"/>
            </w:tcBorders>
          </w:tcPr>
          <w:p>
            <w:pPr>
              <w:pStyle w:val="nTable"/>
              <w:keepNext/>
              <w:spacing w:after="40"/>
              <w:rPr>
                <w:b/>
              </w:rPr>
            </w:pPr>
            <w:r>
              <w:rPr>
                <w:b/>
              </w:rPr>
              <w:t>Assent</w:t>
            </w:r>
          </w:p>
        </w:tc>
        <w:tc>
          <w:tcPr>
            <w:tcW w:w="2556" w:type="dxa"/>
            <w:tcBorders>
              <w:top w:val="single" w:sz="4" w:space="0" w:color="auto"/>
              <w:bottom w:val="single" w:sz="4" w:space="0" w:color="auto"/>
            </w:tcBorders>
          </w:tcPr>
          <w:p>
            <w:pPr>
              <w:pStyle w:val="nTable"/>
              <w:keepNext/>
              <w:spacing w:after="40"/>
              <w:rPr>
                <w:b/>
              </w:rPr>
            </w:pPr>
            <w:r>
              <w:rPr>
                <w:b/>
              </w:rPr>
              <w:t>Commencement</w:t>
            </w:r>
          </w:p>
        </w:tc>
      </w:tr>
      <w:tr>
        <w:trPr>
          <w:cantSplit/>
        </w:trPr>
        <w:tc>
          <w:tcPr>
            <w:tcW w:w="2273" w:type="dxa"/>
            <w:tcBorders>
              <w:bottom w:val="single" w:sz="4" w:space="0" w:color="auto"/>
            </w:tcBorders>
          </w:tcPr>
          <w:p>
            <w:pPr>
              <w:pStyle w:val="nTable"/>
              <w:spacing w:after="40"/>
              <w:rPr>
                <w:snapToGrid w:val="0"/>
              </w:rPr>
            </w:pPr>
            <w:r>
              <w:rPr>
                <w:i/>
              </w:rPr>
              <w:t>Licensing Provisions Amendment Act 2016</w:t>
            </w:r>
            <w:r>
              <w:t xml:space="preserve"> Pt. 8</w:t>
            </w:r>
            <w:r>
              <w:rPr>
                <w:vertAlign w:val="superscript"/>
              </w:rPr>
              <w:t> 9</w:t>
            </w:r>
          </w:p>
        </w:tc>
        <w:tc>
          <w:tcPr>
            <w:tcW w:w="1139" w:type="dxa"/>
            <w:tcBorders>
              <w:bottom w:val="single" w:sz="4" w:space="0" w:color="auto"/>
            </w:tcBorders>
          </w:tcPr>
          <w:p>
            <w:pPr>
              <w:pStyle w:val="nTable"/>
              <w:spacing w:after="40"/>
            </w:pPr>
            <w:r>
              <w:t>44 of 2016</w:t>
            </w:r>
          </w:p>
        </w:tc>
        <w:tc>
          <w:tcPr>
            <w:tcW w:w="1138" w:type="dxa"/>
            <w:tcBorders>
              <w:bottom w:val="single" w:sz="4" w:space="0" w:color="auto"/>
            </w:tcBorders>
          </w:tcPr>
          <w:p>
            <w:pPr>
              <w:pStyle w:val="nTable"/>
              <w:spacing w:after="40"/>
            </w:pPr>
            <w:r>
              <w:t>1 Dec 2016</w:t>
            </w:r>
          </w:p>
        </w:tc>
        <w:tc>
          <w:tcPr>
            <w:tcW w:w="2556" w:type="dxa"/>
            <w:tcBorders>
              <w:bottom w:val="single" w:sz="4" w:space="0" w:color="auto"/>
            </w:tcBorders>
          </w:tcPr>
          <w:p>
            <w:pPr>
              <w:pStyle w:val="nTable"/>
              <w:spacing w:after="40"/>
              <w:rPr>
                <w:snapToGrid w:val="0"/>
              </w:rPr>
            </w:pPr>
            <w:r>
              <w:rPr>
                <w:snapToGrid w:val="0"/>
              </w:rPr>
              <w:t>To be proclaimed (see s. 2(b))</w:t>
            </w:r>
          </w:p>
        </w:tc>
      </w:tr>
    </w:tbl>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w:t>
      </w:r>
    </w:p>
    <w:p>
      <w:pPr>
        <w:pStyle w:val="BlankOpen"/>
        <w:rPr>
          <w:snapToGrid w:val="0"/>
        </w:rPr>
      </w:pP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pPr>
      <w:r>
        <w:rPr>
          <w:vertAlign w:val="superscript"/>
        </w:rPr>
        <w:t>7</w:t>
      </w:r>
      <w:r>
        <w:tab/>
        <w:t xml:space="preserve">The </w:t>
      </w:r>
      <w:r>
        <w:rPr>
          <w:i/>
        </w:rPr>
        <w:t>Corporations (Consequential Amendments) Act (No. 3) 2003</w:t>
      </w:r>
      <w:r>
        <w:t xml:space="preserve"> s. 2</w:t>
      </w:r>
      <w:r>
        <w:noBreakHyphen/>
        <w:t>4 contain validation provisions for certain acts and omissions occurring before 23 Apr 2003.</w:t>
      </w:r>
    </w:p>
    <w:p>
      <w:pPr>
        <w:pStyle w:val="nSubsection"/>
        <w:keepLines/>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snapToGrid w:val="0"/>
          <w:vertAlign w:val="superscript"/>
        </w:rPr>
        <w:t>9</w:t>
      </w:r>
      <w:r>
        <w:rPr>
          <w:snapToGrid w:val="0"/>
        </w:rPr>
        <w:tab/>
      </w:r>
      <w:r>
        <w:t>On</w:t>
      </w:r>
      <w:r>
        <w:rPr>
          <w:snapToGrid w:val="0"/>
        </w:rPr>
        <w:t xml:space="preserve"> the date as at which this compilation was prepared, </w:t>
      </w:r>
      <w:r>
        <w:t xml:space="preserve">the </w:t>
      </w:r>
      <w:r>
        <w:rPr>
          <w:i/>
        </w:rPr>
        <w:t xml:space="preserve">Licensing Provisions Amendment Act 2016 </w:t>
      </w:r>
      <w:r>
        <w:t xml:space="preserve">Pt. 8 </w:t>
      </w:r>
      <w:r>
        <w:rPr>
          <w:snapToGrid w:val="0"/>
        </w:rPr>
        <w:t>had not come into operation. It reads as follows:</w:t>
      </w:r>
    </w:p>
    <w:p>
      <w:pPr>
        <w:pStyle w:val="BlankOpen"/>
      </w:pPr>
    </w:p>
    <w:p>
      <w:pPr>
        <w:pStyle w:val="nzHeading2"/>
      </w:pPr>
      <w:bookmarkStart w:id="197" w:name="_Toc433181794"/>
      <w:bookmarkStart w:id="198" w:name="_Toc433181852"/>
      <w:bookmarkStart w:id="199" w:name="_Toc433181910"/>
      <w:bookmarkStart w:id="200" w:name="_Toc433182029"/>
      <w:bookmarkStart w:id="201" w:name="_Toc433285392"/>
      <w:bookmarkStart w:id="202" w:name="_Toc434580880"/>
      <w:r>
        <w:rPr>
          <w:rStyle w:val="CharPartNo"/>
        </w:rPr>
        <w:t>Part 8</w:t>
      </w:r>
      <w:r>
        <w:rPr>
          <w:rStyle w:val="CharDivNo"/>
        </w:rPr>
        <w:t> </w:t>
      </w:r>
      <w:r>
        <w:t>—</w:t>
      </w:r>
      <w:r>
        <w:rPr>
          <w:rStyle w:val="CharDivText"/>
        </w:rPr>
        <w:t> </w:t>
      </w:r>
      <w:r>
        <w:rPr>
          <w:rStyle w:val="CharPartText"/>
          <w:i/>
        </w:rPr>
        <w:t>Settlement Agents Act 1981</w:t>
      </w:r>
      <w:r>
        <w:rPr>
          <w:rStyle w:val="CharPartText"/>
        </w:rPr>
        <w:t xml:space="preserve"> amended</w:t>
      </w:r>
      <w:bookmarkEnd w:id="197"/>
      <w:bookmarkEnd w:id="198"/>
      <w:bookmarkEnd w:id="199"/>
      <w:bookmarkEnd w:id="200"/>
      <w:bookmarkEnd w:id="201"/>
      <w:bookmarkEnd w:id="202"/>
    </w:p>
    <w:p>
      <w:pPr>
        <w:pStyle w:val="nzHeading5"/>
        <w:rPr>
          <w:snapToGrid w:val="0"/>
        </w:rPr>
      </w:pPr>
      <w:bookmarkStart w:id="203" w:name="_Toc434580881"/>
      <w:r>
        <w:rPr>
          <w:rStyle w:val="CharSectno"/>
        </w:rPr>
        <w:t>36</w:t>
      </w:r>
      <w:r>
        <w:rPr>
          <w:snapToGrid w:val="0"/>
        </w:rPr>
        <w:t>.</w:t>
      </w:r>
      <w:r>
        <w:rPr>
          <w:snapToGrid w:val="0"/>
        </w:rPr>
        <w:tab/>
        <w:t>Act amended</w:t>
      </w:r>
      <w:bookmarkEnd w:id="203"/>
    </w:p>
    <w:p>
      <w:pPr>
        <w:pStyle w:val="nzSubsection"/>
      </w:pPr>
      <w:r>
        <w:tab/>
      </w:r>
      <w:r>
        <w:tab/>
        <w:t>This Part amends the</w:t>
      </w:r>
      <w:r>
        <w:rPr>
          <w:i/>
        </w:rPr>
        <w:t xml:space="preserve"> Settlement Agents Act 1981</w:t>
      </w:r>
      <w:r>
        <w:t>.</w:t>
      </w:r>
    </w:p>
    <w:p>
      <w:pPr>
        <w:pStyle w:val="nzHeading5"/>
      </w:pPr>
      <w:bookmarkStart w:id="204" w:name="_Toc434580882"/>
      <w:r>
        <w:rPr>
          <w:rStyle w:val="CharSectno"/>
        </w:rPr>
        <w:t>37</w:t>
      </w:r>
      <w:r>
        <w:t>.</w:t>
      </w:r>
      <w:r>
        <w:tab/>
        <w:t>Section 24 amended</w:t>
      </w:r>
      <w:bookmarkEnd w:id="204"/>
    </w:p>
    <w:p>
      <w:pPr>
        <w:pStyle w:val="nzSubsection"/>
      </w:pPr>
      <w:r>
        <w:tab/>
        <w:t>(1)</w:t>
      </w:r>
      <w:r>
        <w:tab/>
        <w:t>Delete section 24(3).</w:t>
      </w:r>
    </w:p>
    <w:p>
      <w:pPr>
        <w:pStyle w:val="nzSubsection"/>
      </w:pPr>
      <w:r>
        <w:tab/>
        <w:t>(2)</w:t>
      </w:r>
      <w:r>
        <w:tab/>
        <w:t>In section 24(4) delete “determines, verified if the Commissioner so requires by statutory declaration.” and insert:</w:t>
      </w:r>
    </w:p>
    <w:p>
      <w:pPr>
        <w:pStyle w:val="BlankOpen"/>
      </w:pPr>
    </w:p>
    <w:p>
      <w:pPr>
        <w:pStyle w:val="nzSubsection"/>
      </w:pPr>
      <w:r>
        <w:tab/>
      </w:r>
      <w:r>
        <w:tab/>
        <w:t>determines.</w:t>
      </w:r>
    </w:p>
    <w:p>
      <w:pPr>
        <w:pStyle w:val="BlankClose"/>
      </w:pPr>
    </w:p>
    <w:p>
      <w:pPr>
        <w:pStyle w:val="nzHeading5"/>
      </w:pPr>
      <w:bookmarkStart w:id="205" w:name="_Toc434580883"/>
      <w:r>
        <w:rPr>
          <w:rStyle w:val="CharSectno"/>
        </w:rPr>
        <w:t>38</w:t>
      </w:r>
      <w:r>
        <w:t>.</w:t>
      </w:r>
      <w:r>
        <w:tab/>
        <w:t>Section 26A amended</w:t>
      </w:r>
      <w:bookmarkEnd w:id="205"/>
    </w:p>
    <w:p>
      <w:pPr>
        <w:pStyle w:val="nzSubsection"/>
      </w:pPr>
      <w:r>
        <w:tab/>
        <w:t>(1)</w:t>
      </w:r>
      <w:r>
        <w:tab/>
        <w:t>Delete section 26A(3).</w:t>
      </w:r>
    </w:p>
    <w:p>
      <w:pPr>
        <w:pStyle w:val="nzSubsection"/>
      </w:pPr>
      <w:r>
        <w:tab/>
        <w:t>(2)</w:t>
      </w:r>
      <w:r>
        <w:tab/>
        <w:t>In section 26A(4) delete “determines, verified if the Commissioner so requires by statutory declaration.” and insert:</w:t>
      </w:r>
    </w:p>
    <w:p>
      <w:pPr>
        <w:pStyle w:val="BlankOpen"/>
      </w:pPr>
    </w:p>
    <w:p>
      <w:pPr>
        <w:pStyle w:val="nzSubsection"/>
      </w:pPr>
      <w:r>
        <w:tab/>
      </w:r>
      <w:r>
        <w:tab/>
        <w:t>determines.</w:t>
      </w:r>
    </w:p>
    <w:p>
      <w:pPr>
        <w:pStyle w:val="BlankClose"/>
      </w:pPr>
    </w:p>
    <w:p>
      <w:pPr>
        <w:pStyle w:val="nzHeading5"/>
      </w:pPr>
      <w:bookmarkStart w:id="206" w:name="_Toc434580884"/>
      <w:r>
        <w:rPr>
          <w:rStyle w:val="CharSectno"/>
        </w:rPr>
        <w:t>39</w:t>
      </w:r>
      <w:r>
        <w:t>.</w:t>
      </w:r>
      <w:r>
        <w:tab/>
        <w:t>Section 26B amended</w:t>
      </w:r>
      <w:bookmarkEnd w:id="206"/>
    </w:p>
    <w:p>
      <w:pPr>
        <w:pStyle w:val="nzSubsection"/>
      </w:pPr>
      <w:r>
        <w:tab/>
        <w:t>(1)</w:t>
      </w:r>
      <w:r>
        <w:tab/>
        <w:t>Delete section 26B(3).</w:t>
      </w:r>
    </w:p>
    <w:p>
      <w:pPr>
        <w:pStyle w:val="nzSubsection"/>
      </w:pPr>
      <w:r>
        <w:tab/>
        <w:t>(2)</w:t>
      </w:r>
      <w:r>
        <w:tab/>
        <w:t>In section 26B(4) delete “determines, verified if the Commissioner so requires by statutory declaration.” and insert:</w:t>
      </w:r>
    </w:p>
    <w:p>
      <w:pPr>
        <w:pStyle w:val="BlankOpen"/>
      </w:pPr>
    </w:p>
    <w:p>
      <w:pPr>
        <w:pStyle w:val="nzSubsection"/>
      </w:pPr>
      <w:r>
        <w:tab/>
      </w:r>
      <w:r>
        <w:tab/>
        <w:t>determines.</w:t>
      </w:r>
    </w:p>
    <w:p>
      <w:pPr>
        <w:pStyle w:val="BlankClose"/>
      </w:pPr>
    </w:p>
    <w:p>
      <w:pPr>
        <w:pStyle w:val="nzHeading5"/>
      </w:pPr>
      <w:bookmarkStart w:id="207" w:name="_Toc434580885"/>
      <w:r>
        <w:rPr>
          <w:rStyle w:val="CharSectno"/>
        </w:rPr>
        <w:t>40</w:t>
      </w:r>
      <w:r>
        <w:t>.</w:t>
      </w:r>
      <w:r>
        <w:tab/>
        <w:t>Section 33 amended</w:t>
      </w:r>
      <w:bookmarkEnd w:id="207"/>
    </w:p>
    <w:p>
      <w:pPr>
        <w:pStyle w:val="nzSubsection"/>
      </w:pPr>
      <w:r>
        <w:tab/>
        <w:t>(1)</w:t>
      </w:r>
      <w:r>
        <w:tab/>
        <w:t>Delete section 33(3).</w:t>
      </w:r>
    </w:p>
    <w:p>
      <w:pPr>
        <w:pStyle w:val="nzSubsection"/>
      </w:pPr>
      <w:r>
        <w:tab/>
        <w:t>(2)</w:t>
      </w:r>
      <w:r>
        <w:tab/>
        <w:t>In section 33(4) delete “determines, verified if the Commissioner so requires by statutory declaration.” and insert:</w:t>
      </w:r>
    </w:p>
    <w:p>
      <w:pPr>
        <w:pStyle w:val="BlankOpen"/>
      </w:pPr>
    </w:p>
    <w:p>
      <w:pPr>
        <w:pStyle w:val="nzSubsection"/>
      </w:pPr>
      <w:r>
        <w:tab/>
      </w:r>
      <w:r>
        <w:tab/>
        <w:t>determines.</w:t>
      </w:r>
    </w:p>
    <w:p>
      <w:pPr>
        <w:pStyle w:val="BlankClose"/>
      </w:pPr>
    </w:p>
    <w:p>
      <w:pPr>
        <w:pStyle w:val="nzHeading5"/>
      </w:pPr>
      <w:bookmarkStart w:id="208" w:name="_Toc434580886"/>
      <w:r>
        <w:rPr>
          <w:rStyle w:val="CharSectno"/>
        </w:rPr>
        <w:t>41</w:t>
      </w:r>
      <w:r>
        <w:t>.</w:t>
      </w:r>
      <w:r>
        <w:tab/>
        <w:t>Section 111A inserted</w:t>
      </w:r>
      <w:bookmarkEnd w:id="208"/>
    </w:p>
    <w:p>
      <w:pPr>
        <w:pStyle w:val="nzSubsection"/>
      </w:pPr>
      <w:r>
        <w:tab/>
      </w:r>
      <w:r>
        <w:tab/>
        <w:t>After section 110 insert:</w:t>
      </w:r>
    </w:p>
    <w:p>
      <w:pPr>
        <w:pStyle w:val="BlankOpen"/>
      </w:pPr>
    </w:p>
    <w:p>
      <w:pPr>
        <w:pStyle w:val="nzHeading5"/>
      </w:pPr>
      <w:bookmarkStart w:id="209" w:name="_Toc434580887"/>
      <w:r>
        <w:t>111A.</w:t>
      </w:r>
      <w:r>
        <w:tab/>
        <w:t>Offence to give false or misleading information</w:t>
      </w:r>
      <w:bookmarkEnd w:id="209"/>
    </w:p>
    <w:p>
      <w:pPr>
        <w:pStyle w:val="nzSubsection"/>
      </w:pPr>
      <w:r>
        <w:tab/>
        <w:t>(1)</w:t>
      </w:r>
      <w:r>
        <w:tab/>
        <w:t>A person who gives false or misleading information in relation to an application under section 24, 26A, 26B, 31 or 33 commits an offence.</w:t>
      </w:r>
    </w:p>
    <w:p>
      <w:pPr>
        <w:pStyle w:val="nzPenstart"/>
      </w:pPr>
      <w:r>
        <w:tab/>
        <w:t>Penalty for this subsection: a fine of $20 000.</w:t>
      </w:r>
    </w:p>
    <w:p>
      <w:pPr>
        <w:pStyle w:val="nzSubsection"/>
      </w:pPr>
      <w:r>
        <w:tab/>
        <w:t>(2)</w:t>
      </w:r>
      <w:r>
        <w:tab/>
        <w:t>For the purposes of subsection (1), a person gives false or misleading information in relation to an application referred to in subsection (1) if the person does one or more of the following —</w:t>
      </w:r>
    </w:p>
    <w:p>
      <w:pPr>
        <w:pStyle w:val="nzIndenta"/>
      </w:pPr>
      <w:r>
        <w:tab/>
        <w:t>(a)</w:t>
      </w:r>
      <w:r>
        <w:tab/>
        <w:t>states anything in relation to an application that the person knows is false or misleading in a material particular;</w:t>
      </w:r>
    </w:p>
    <w:p>
      <w:pPr>
        <w:pStyle w:val="nzIndenta"/>
      </w:pPr>
      <w:r>
        <w:tab/>
        <w:t>(b)</w:t>
      </w:r>
      <w:r>
        <w:tab/>
        <w:t>omits anything from a statement made in relation to an application without which the statement is, to the person’s knowledge, misleading in a material particular;</w:t>
      </w:r>
    </w:p>
    <w:p>
      <w:pPr>
        <w:pStyle w:val="nzIndenta"/>
      </w:pPr>
      <w:r>
        <w:tab/>
        <w:t>(c)</w:t>
      </w:r>
      <w:r>
        <w:tab/>
        <w:t>gives or produces any information in relation to an application that —</w:t>
      </w:r>
    </w:p>
    <w:p>
      <w:pPr>
        <w:pStyle w:val="nzIndenti"/>
      </w:pPr>
      <w:r>
        <w:tab/>
        <w:t>(i)</w:t>
      </w:r>
      <w:r>
        <w:tab/>
        <w:t>the person knows is false or misleading in a material particular; or</w:t>
      </w:r>
    </w:p>
    <w:p>
      <w:pPr>
        <w:pStyle w:val="nzIndenti"/>
      </w:pPr>
      <w:r>
        <w:tab/>
        <w:t>(ii)</w:t>
      </w:r>
      <w:r>
        <w:tab/>
        <w:t>omits anything without which the information is, to the person’s knowledge, misleading in a material particular.</w:t>
      </w:r>
    </w:p>
    <w:p>
      <w:pPr>
        <w:pStyle w:val="BlankClose"/>
      </w:pPr>
    </w:p>
    <w:p>
      <w:pPr>
        <w:pStyle w:val="BlankClose"/>
      </w:pP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211" w:name="_Toc413409992"/>
      <w:bookmarkStart w:id="212" w:name="_Toc416168666"/>
      <w:bookmarkStart w:id="213" w:name="_Toc468701199"/>
      <w:r>
        <w:rPr>
          <w:sz w:val="28"/>
        </w:rPr>
        <w:t>Defined terms</w:t>
      </w:r>
      <w:bookmarkEnd w:id="211"/>
      <w:bookmarkEnd w:id="212"/>
      <w:bookmarkEnd w:id="2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3(1)</w:t>
      </w:r>
    </w:p>
    <w:p>
      <w:pPr>
        <w:pStyle w:val="DefinedTerms"/>
      </w:pPr>
      <w:r>
        <w:t>agent</w:t>
      </w:r>
      <w:r>
        <w:tab/>
        <w:t>49(5b)</w:t>
      </w:r>
    </w:p>
    <w:p>
      <w:pPr>
        <w:pStyle w:val="DefinedTerms"/>
      </w:pPr>
      <w:r>
        <w:t>appointed day</w:t>
      </w:r>
      <w:r>
        <w:tab/>
        <w:t>3(1), 26(2)</w:t>
      </w:r>
    </w:p>
    <w:p>
      <w:pPr>
        <w:pStyle w:val="DefinedTerms"/>
      </w:pPr>
      <w:r>
        <w:t>approved</w:t>
      </w:r>
      <w:r>
        <w:tab/>
        <w:t>3(1)</w:t>
      </w:r>
    </w:p>
    <w:p>
      <w:pPr>
        <w:pStyle w:val="DefinedTerms"/>
      </w:pPr>
      <w:r>
        <w:t>auditor</w:t>
      </w:r>
      <w:r>
        <w:tab/>
        <w:t>3(1)</w:t>
      </w:r>
    </w:p>
    <w:p>
      <w:pPr>
        <w:pStyle w:val="DefinedTerms"/>
      </w:pPr>
      <w:r>
        <w:t>authorised financial institution</w:t>
      </w:r>
      <w:r>
        <w:tab/>
        <w:t>48</w:t>
      </w:r>
    </w:p>
    <w:p>
      <w:pPr>
        <w:pStyle w:val="DefinedTerms"/>
      </w:pPr>
      <w:r>
        <w:t>Authority</w:t>
      </w:r>
      <w:r>
        <w:tab/>
        <w:t>Sch. 2 cl. 1(1)(a)</w:t>
      </w:r>
    </w:p>
    <w:p>
      <w:pPr>
        <w:pStyle w:val="DefinedTerms"/>
      </w:pPr>
      <w:r>
        <w:t>bank</w:t>
      </w:r>
      <w:r>
        <w:tab/>
        <w:t>3(1)</w:t>
      </w:r>
    </w:p>
    <w:p>
      <w:pPr>
        <w:pStyle w:val="DefinedTerms"/>
      </w:pPr>
      <w:r>
        <w:t>bank account</w:t>
      </w:r>
      <w:r>
        <w:tab/>
        <w:t>48</w:t>
      </w:r>
    </w:p>
    <w:p>
      <w:pPr>
        <w:pStyle w:val="DefinedTerms"/>
      </w:pPr>
      <w:r>
        <w:t>banker</w:t>
      </w:r>
      <w:r>
        <w:tab/>
        <w:t>48</w:t>
      </w:r>
    </w:p>
    <w:p>
      <w:pPr>
        <w:pStyle w:val="DefinedTerms"/>
      </w:pPr>
      <w:r>
        <w:t>body corporate</w:t>
      </w:r>
      <w:r>
        <w:tab/>
        <w:t>36(3)</w:t>
      </w:r>
    </w:p>
    <w:p>
      <w:pPr>
        <w:pStyle w:val="DefinedTerms"/>
      </w:pPr>
      <w:r>
        <w:t>business</w:t>
      </w:r>
      <w:r>
        <w:tab/>
        <w:t>3(1)</w:t>
      </w:r>
    </w:p>
    <w:p>
      <w:pPr>
        <w:pStyle w:val="DefinedTerms"/>
      </w:pPr>
      <w:r>
        <w:t>business day</w:t>
      </w:r>
      <w:r>
        <w:tab/>
        <w:t>48</w:t>
      </w:r>
    </w:p>
    <w:p>
      <w:pPr>
        <w:pStyle w:val="DefinedTerms"/>
      </w:pPr>
      <w:r>
        <w:t>business licence</w:t>
      </w:r>
      <w:r>
        <w:tab/>
        <w:t>Sch. 1 cl. 6</w:t>
      </w:r>
    </w:p>
    <w:p>
      <w:pPr>
        <w:pStyle w:val="DefinedTerms"/>
      </w:pPr>
      <w:r>
        <w:t>business settlement agent</w:t>
      </w:r>
      <w:r>
        <w:tab/>
        <w:t>3(1)</w:t>
      </w:r>
    </w:p>
    <w:p>
      <w:pPr>
        <w:pStyle w:val="DefinedTerms"/>
      </w:pPr>
      <w:r>
        <w:t>business transaction</w:t>
      </w:r>
      <w:r>
        <w:tab/>
        <w:t>3(1)</w:t>
      </w:r>
    </w:p>
    <w:p>
      <w:pPr>
        <w:pStyle w:val="DefinedTerms"/>
      </w:pPr>
      <w:r>
        <w:t>code of conduct</w:t>
      </w:r>
      <w:r>
        <w:tab/>
        <w:t>3(1)</w:t>
      </w:r>
    </w:p>
    <w:p>
      <w:pPr>
        <w:pStyle w:val="DefinedTerms"/>
      </w:pPr>
      <w:r>
        <w:t>commencement day</w:t>
      </w:r>
      <w:r>
        <w:tab/>
        <w:t>124</w:t>
      </w:r>
    </w:p>
    <w:p>
      <w:pPr>
        <w:pStyle w:val="DefinedTerms"/>
      </w:pPr>
      <w:r>
        <w:t>Commissioner</w:t>
      </w:r>
      <w:r>
        <w:tab/>
        <w:t>3(1)</w:t>
      </w:r>
    </w:p>
    <w:p>
      <w:pPr>
        <w:pStyle w:val="DefinedTerms"/>
      </w:pPr>
      <w:r>
        <w:t>defalcation by a licensee</w:t>
      </w:r>
      <w:r>
        <w:tab/>
        <w:t>3(1)</w:t>
      </w:r>
    </w:p>
    <w:p>
      <w:pPr>
        <w:pStyle w:val="DefinedTerms"/>
      </w:pPr>
      <w:r>
        <w:t>department</w:t>
      </w:r>
      <w:r>
        <w:tab/>
        <w:t>3(1)</w:t>
      </w:r>
    </w:p>
    <w:p>
      <w:pPr>
        <w:pStyle w:val="DefinedTerms"/>
      </w:pPr>
      <w:r>
        <w:t>discharge of mortgage</w:t>
      </w:r>
      <w:r>
        <w:tab/>
        <w:t>46(7)</w:t>
      </w:r>
    </w:p>
    <w:p>
      <w:pPr>
        <w:pStyle w:val="DefinedTerms"/>
      </w:pPr>
      <w:r>
        <w:t>Fidelity Guarantee Account</w:t>
      </w:r>
      <w:r>
        <w:tab/>
        <w:t>3(1)</w:t>
      </w:r>
    </w:p>
    <w:p>
      <w:pPr>
        <w:pStyle w:val="DefinedTerms"/>
      </w:pPr>
      <w:r>
        <w:t>fidelity guarantee fee</w:t>
      </w:r>
      <w:r>
        <w:tab/>
        <w:t>3(1)</w:t>
      </w:r>
    </w:p>
    <w:p>
      <w:pPr>
        <w:pStyle w:val="DefinedTerms"/>
      </w:pPr>
      <w:r>
        <w:t>fit and proper</w:t>
      </w:r>
      <w:r>
        <w:tab/>
        <w:t>27(2)</w:t>
      </w:r>
    </w:p>
    <w:p>
      <w:pPr>
        <w:pStyle w:val="DefinedTerms"/>
      </w:pPr>
      <w:r>
        <w:t>former Board</w:t>
      </w:r>
      <w:r>
        <w:tab/>
        <w:t>124</w:t>
      </w:r>
    </w:p>
    <w:p>
      <w:pPr>
        <w:pStyle w:val="DefinedTerms"/>
      </w:pPr>
      <w:r>
        <w:t>former Registrar</w:t>
      </w:r>
      <w:r>
        <w:tab/>
        <w:t>124</w:t>
      </w:r>
    </w:p>
    <w:p>
      <w:pPr>
        <w:pStyle w:val="DefinedTerms"/>
      </w:pPr>
      <w:r>
        <w:t>General Purpose Account</w:t>
      </w:r>
      <w:r>
        <w:tab/>
        <w:t>3(1)</w:t>
      </w:r>
    </w:p>
    <w:p>
      <w:pPr>
        <w:pStyle w:val="DefinedTerms"/>
      </w:pPr>
      <w:r>
        <w:t>Interest Account</w:t>
      </w:r>
      <w:r>
        <w:tab/>
        <w:t>3(1)</w:t>
      </w:r>
    </w:p>
    <w:p>
      <w:pPr>
        <w:pStyle w:val="DefinedTerms"/>
      </w:pPr>
      <w:r>
        <w:t>land</w:t>
      </w:r>
      <w:r>
        <w:tab/>
        <w:t>3(1)</w:t>
      </w:r>
    </w:p>
    <w:p>
      <w:pPr>
        <w:pStyle w:val="DefinedTerms"/>
      </w:pPr>
      <w:r>
        <w:t>legal practitioner</w:t>
      </w:r>
      <w:r>
        <w:tab/>
        <w:t>3(1)</w:t>
      </w:r>
    </w:p>
    <w:p>
      <w:pPr>
        <w:pStyle w:val="DefinedTerms"/>
      </w:pPr>
      <w:r>
        <w:t>liability</w:t>
      </w:r>
      <w:r>
        <w:tab/>
        <w:t>124</w:t>
      </w:r>
    </w:p>
    <w:p>
      <w:pPr>
        <w:pStyle w:val="DefinedTerms"/>
      </w:pPr>
      <w:r>
        <w:t>licence</w:t>
      </w:r>
      <w:r>
        <w:tab/>
        <w:t>3(1)</w:t>
      </w:r>
    </w:p>
    <w:p>
      <w:pPr>
        <w:pStyle w:val="DefinedTerms"/>
      </w:pPr>
      <w:r>
        <w:t>licensed</w:t>
      </w:r>
      <w:r>
        <w:tab/>
        <w:t>3(1)</w:t>
      </w:r>
    </w:p>
    <w:p>
      <w:pPr>
        <w:pStyle w:val="DefinedTerms"/>
      </w:pPr>
      <w:r>
        <w:t>licensee</w:t>
      </w:r>
      <w:r>
        <w:tab/>
        <w:t>3(1)</w:t>
      </w:r>
    </w:p>
    <w:p>
      <w:pPr>
        <w:pStyle w:val="DefinedTerms"/>
      </w:pPr>
      <w:r>
        <w:t>person aggrieved</w:t>
      </w:r>
      <w:r>
        <w:tab/>
        <w:t>23(2)</w:t>
      </w:r>
    </w:p>
    <w:p>
      <w:pPr>
        <w:pStyle w:val="DefinedTerms"/>
      </w:pPr>
      <w:r>
        <w:t>prescribed financial market</w:t>
      </w:r>
      <w:r>
        <w:tab/>
        <w:t>36(4)</w:t>
      </w:r>
    </w:p>
    <w:p>
      <w:pPr>
        <w:pStyle w:val="DefinedTerms"/>
      </w:pPr>
      <w:r>
        <w:t>real estate</w:t>
      </w:r>
      <w:r>
        <w:tab/>
        <w:t>3(1)</w:t>
      </w:r>
    </w:p>
    <w:p>
      <w:pPr>
        <w:pStyle w:val="DefinedTerms"/>
      </w:pPr>
      <w:r>
        <w:t>real estate settlement agent</w:t>
      </w:r>
      <w:r>
        <w:tab/>
        <w:t>3(1)</w:t>
      </w:r>
    </w:p>
    <w:p>
      <w:pPr>
        <w:pStyle w:val="DefinedTerms"/>
      </w:pPr>
      <w:r>
        <w:t>real estate transaction</w:t>
      </w:r>
      <w:r>
        <w:tab/>
        <w:t>3(1)</w:t>
      </w:r>
    </w:p>
    <w:p>
      <w:pPr>
        <w:pStyle w:val="DefinedTerms"/>
      </w:pPr>
      <w:r>
        <w:t>renewal</w:t>
      </w:r>
      <w:r>
        <w:tab/>
        <w:t>3(1)</w:t>
      </w:r>
    </w:p>
    <w:p>
      <w:pPr>
        <w:pStyle w:val="DefinedTerms"/>
      </w:pPr>
      <w:r>
        <w:t>request</w:t>
      </w:r>
      <w:r>
        <w:tab/>
        <w:t>49A(7)</w:t>
      </w:r>
    </w:p>
    <w:p>
      <w:pPr>
        <w:pStyle w:val="DefinedTerms"/>
      </w:pPr>
      <w:r>
        <w:t>reviewable decision</w:t>
      </w:r>
      <w:r>
        <w:tab/>
        <w:t>23(2)</w:t>
      </w:r>
    </w:p>
    <w:p>
      <w:pPr>
        <w:pStyle w:val="DefinedTerms"/>
      </w:pPr>
      <w:r>
        <w:t>reward</w:t>
      </w:r>
      <w:r>
        <w:tab/>
        <w:t>3(1)</w:t>
      </w:r>
    </w:p>
    <w:p>
      <w:pPr>
        <w:pStyle w:val="DefinedTerms"/>
      </w:pPr>
      <w:r>
        <w:t>right</w:t>
      </w:r>
      <w:r>
        <w:tab/>
        <w:t>124</w:t>
      </w:r>
    </w:p>
    <w:p>
      <w:pPr>
        <w:pStyle w:val="DefinedTerms"/>
      </w:pPr>
      <w:r>
        <w:t>separate account</w:t>
      </w:r>
      <w:r>
        <w:tab/>
        <w:t>48</w:t>
      </w:r>
    </w:p>
    <w:p>
      <w:pPr>
        <w:pStyle w:val="DefinedTerms"/>
      </w:pPr>
      <w:r>
        <w:t>settlement</w:t>
      </w:r>
      <w:r>
        <w:tab/>
        <w:t>3(1)</w:t>
      </w:r>
    </w:p>
    <w:p>
      <w:pPr>
        <w:pStyle w:val="DefinedTerms"/>
      </w:pPr>
      <w:r>
        <w:t>settlement agent</w:t>
      </w:r>
      <w:r>
        <w:tab/>
        <w:t>3(1), 4(1), 73(5)(b)</w:t>
      </w:r>
    </w:p>
    <w:p>
      <w:pPr>
        <w:pStyle w:val="DefinedTerms"/>
      </w:pPr>
      <w:r>
        <w:t>settlement agents’ code of conduct</w:t>
      </w:r>
      <w:r>
        <w:tab/>
        <w:t>3(1)</w:t>
      </w:r>
    </w:p>
    <w:p>
      <w:pPr>
        <w:pStyle w:val="DefinedTerms"/>
      </w:pPr>
      <w:r>
        <w:t>specified</w:t>
      </w:r>
      <w:r>
        <w:tab/>
        <w:t>135(6)</w:t>
      </w:r>
    </w:p>
    <w:p>
      <w:pPr>
        <w:pStyle w:val="DefinedTerms"/>
      </w:pPr>
      <w:r>
        <w:t>supervisor</w:t>
      </w:r>
      <w:r>
        <w:tab/>
        <w:t>3(1)</w:t>
      </w:r>
    </w:p>
    <w:p>
      <w:pPr>
        <w:pStyle w:val="DefinedTerms"/>
      </w:pPr>
      <w:r>
        <w:t>transaction</w:t>
      </w:r>
      <w:r>
        <w:tab/>
        <w:t>3(1)</w:t>
      </w:r>
    </w:p>
    <w:p>
      <w:pPr>
        <w:pStyle w:val="DefinedTerms"/>
      </w:pPr>
      <w:r>
        <w:t>transitional matter</w:t>
      </w:r>
      <w:r>
        <w:tab/>
        <w:t>135(2)</w:t>
      </w:r>
    </w:p>
    <w:p>
      <w:pPr>
        <w:pStyle w:val="DefinedTerms"/>
      </w:pPr>
      <w:r>
        <w:t>Treasurer</w:t>
      </w:r>
      <w:r>
        <w:tab/>
        <w:t>3(1)</w:t>
      </w:r>
    </w:p>
    <w:p>
      <w:pPr>
        <w:pStyle w:val="DefinedTerms"/>
      </w:pPr>
      <w:r>
        <w:t>Treasury</w:t>
      </w:r>
      <w:r>
        <w:tab/>
        <w:t>3(1)</w:t>
      </w:r>
    </w:p>
    <w:p>
      <w:pPr>
        <w:pStyle w:val="DefinedTerms"/>
      </w:pPr>
      <w:r>
        <w:t>triennial certificate</w:t>
      </w:r>
      <w:r>
        <w:tab/>
        <w:t>3(1)</w:t>
      </w:r>
    </w:p>
    <w:p>
      <w:pPr>
        <w:pStyle w:val="DefinedTerms"/>
      </w:pPr>
      <w:r>
        <w:t>trust account</w:t>
      </w:r>
      <w:r>
        <w:tab/>
        <w:t>73(5)(a)</w:t>
      </w:r>
    </w:p>
    <w:p>
      <w:pPr>
        <w:pStyle w:val="DefinedTerms"/>
      </w:pPr>
      <w:r>
        <w:t>trust accounts</w:t>
      </w:r>
      <w:r>
        <w:tab/>
        <w:t>48</w:t>
      </w:r>
    </w:p>
    <w:p>
      <w:pPr>
        <w:pStyle w:val="DefinedTerms"/>
      </w:pPr>
      <w:r>
        <w:t>trustee company</w:t>
      </w:r>
      <w:r>
        <w:tab/>
        <w:t>3(1)</w:t>
      </w:r>
    </w:p>
    <w:p>
      <w:pPr>
        <w:pStyle w:val="DefinedTerms"/>
      </w:pPr>
      <w:r>
        <w:t>vendor</w:t>
      </w:r>
      <w:r>
        <w:tab/>
        <w:t>49(5b)</w:t>
      </w:r>
    </w:p>
    <w:p>
      <w:pPr>
        <w:pStyle w:val="DefinedTerms"/>
      </w:pPr>
      <w:r>
        <w:t>year</w:t>
      </w:r>
      <w:r>
        <w:tab/>
        <w:t>48</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fldSimple w:instr=" Styleref &quot;Name of Act/Reg&quot; ">
              <w:r>
                <w:rPr>
                  <w:noProof/>
                </w:rPr>
                <w:t>Settlement Agents Act 1981</w:t>
              </w:r>
            </w:fldSimple>
          </w:p>
        </w:tc>
      </w:tr>
      <w:tr>
        <w:tc>
          <w:tcPr>
            <w:tcW w:w="1548" w:type="dxa"/>
          </w:tcPr>
          <w:p/>
        </w:tc>
        <w:tc>
          <w:tcPr>
            <w:tcW w:w="5612" w:type="dxa"/>
          </w:tcPr>
          <w:p/>
        </w:tc>
      </w:tr>
      <w:tr>
        <w:tc>
          <w:tcPr>
            <w:tcW w:w="1548" w:type="dxa"/>
          </w:tcPr>
          <w:p/>
        </w:tc>
        <w:tc>
          <w:tcPr>
            <w:tcW w:w="5612" w:type="dxa"/>
          </w:tcPr>
          <w:p/>
        </w:tc>
      </w:tr>
      <w:tr>
        <w:trPr>
          <w:cantSplit/>
        </w:trPr>
        <w:tc>
          <w:tcPr>
            <w:tcW w:w="7160" w:type="dxa"/>
            <w:gridSpan w:val="2"/>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fldSimple w:instr=" Styleref &quot;Name of Act/Reg&quot; ">
              <w:r>
                <w:rPr>
                  <w:noProof/>
                </w:rPr>
                <w:t>Settlement Agents Act 1981</w:t>
              </w:r>
            </w:fldSimple>
          </w:p>
        </w:tc>
      </w:tr>
      <w:tr>
        <w:tc>
          <w:tcPr>
            <w:tcW w:w="5760" w:type="dxa"/>
          </w:tcPr>
          <w:p/>
        </w:tc>
        <w:tc>
          <w:tcPr>
            <w:tcW w:w="1400" w:type="dxa"/>
          </w:tcPr>
          <w:p/>
        </w:tc>
      </w:tr>
      <w:tr>
        <w:tc>
          <w:tcPr>
            <w:tcW w:w="5760" w:type="dxa"/>
          </w:tcPr>
          <w:p/>
        </w:tc>
        <w:tc>
          <w:tcPr>
            <w:tcW w:w="1400" w:type="dxa"/>
          </w:tcPr>
          <w:p/>
        </w:tc>
      </w:tr>
      <w:tr>
        <w:trPr>
          <w:cantSplit/>
        </w:trPr>
        <w:tc>
          <w:tcPr>
            <w:tcW w:w="7160" w:type="dxa"/>
            <w:gridSpan w:val="2"/>
          </w:tcPr>
          <w:p>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72"/>
      <w:gridCol w:w="149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5772" w:type="dxa"/>
          <w:vAlign w:val="bottom"/>
        </w:tcPr>
        <w:p>
          <w:pPr>
            <w:pStyle w:val="Header"/>
            <w:spacing w:before="40"/>
            <w:jc w:val="right"/>
          </w:pPr>
          <w:r>
            <w:fldChar w:fldCharType="begin"/>
          </w:r>
          <w:r>
            <w:instrText>styleref CharSchText</w:instrText>
          </w:r>
          <w:r>
            <w:fldChar w:fldCharType="end"/>
          </w:r>
        </w:p>
      </w:tc>
      <w:tc>
        <w:tcPr>
          <w:tcW w:w="1491" w:type="dxa"/>
        </w:tcPr>
        <w:p>
          <w:pPr>
            <w:pStyle w:val="Header"/>
            <w:spacing w:before="40"/>
            <w:ind w:right="17"/>
            <w:jc w:val="right"/>
          </w:pPr>
          <w:r>
            <w:rPr>
              <w:b/>
            </w:rPr>
            <w:fldChar w:fldCharType="begin"/>
          </w:r>
          <w:r>
            <w:rPr>
              <w:b/>
            </w:rPr>
            <w:instrText>styleref CharSchno</w:instrText>
          </w:r>
          <w:r>
            <w:rPr>
              <w:b/>
            </w:rPr>
            <w:fldChar w:fldCharType="end"/>
          </w:r>
        </w:p>
      </w:tc>
    </w:tr>
    <w:tr>
      <w:tc>
        <w:tcPr>
          <w:tcW w:w="5772" w:type="dxa"/>
        </w:tcPr>
        <w:p>
          <w:pPr>
            <w:pStyle w:val="Header"/>
            <w:spacing w:before="40"/>
            <w:jc w:val="right"/>
          </w:pPr>
          <w:r>
            <w:fldChar w:fldCharType="begin"/>
          </w:r>
          <w:r>
            <w:instrText xml:space="preserve"> styleref CharSDivText </w:instrText>
          </w:r>
          <w:r>
            <w:fldChar w:fldCharType="end"/>
          </w:r>
        </w:p>
      </w:tc>
      <w:tc>
        <w:tcPr>
          <w:tcW w:w="149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72" w:type="dxa"/>
        </w:tcPr>
        <w:p>
          <w:pPr>
            <w:pStyle w:val="Header"/>
            <w:spacing w:before="40"/>
            <w:jc w:val="right"/>
          </w:pPr>
        </w:p>
      </w:tc>
      <w:tc>
        <w:tcPr>
          <w:tcW w:w="149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89" w:name="Schedule"/>
    <w:bookmarkEnd w:id="18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10" w:name="Compilation"/>
    <w:bookmarkEnd w:id="21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Settlement Agents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4" w:name="DefinedTerms"/>
    <w:bookmarkEnd w:id="21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5" w:name="Coversheet"/>
    <w:bookmarkEnd w:id="21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CA44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A0D8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9866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F6D0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B4DD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9FE98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C253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87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AC1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D6DC5C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1789C2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60302"/>
    <w:docVar w:name="WAFER_20140131151529" w:val="RemoveTocBookmarks,RemoveUnusedBookmarks,RemoveLanguageTags,UsedStyles,ResetPageSize,UpdateArrangement"/>
    <w:docVar w:name="WAFER_20140131151529_GUID" w:val="1406f87d-fb74-453b-b44a-77da7fcf9646"/>
    <w:docVar w:name="WAFER_20140131160732" w:val="RemoveTocBookmarks,RunningHeaders"/>
    <w:docVar w:name="WAFER_20140131160732_GUID" w:val="77461795-ed3d-474b-9ebc-1bcab078880b"/>
    <w:docVar w:name="WAFER_20140325103139" w:val="RemoveTocBookmarks,RemoveUnusedBookmarks,RemoveLanguageTags,UsedStyles,ResetPageSize,UpdateArrangement"/>
    <w:docVar w:name="WAFER_20140325103139_GUID" w:val="eb8dd6b4-b34d-4b7f-bb7d-6752bb47ae6f"/>
    <w:docVar w:name="WAFER_20140527170216" w:val="RemoveTocBookmarks,RemoveUnusedBookmarks,RemoveLanguageTags,UsedStyles,ResetPageSize,UpdateArrangement"/>
    <w:docVar w:name="WAFER_20140527170216_GUID" w:val="5e4f8e15-c4bb-4fff-a61c-788607e9a5e6"/>
    <w:docVar w:name="WAFER_20141015123050" w:val="RemoveTocBookmarks,RemoveUnusedBookmarks,RemoveLanguageTags,UsedStyles,ResetPageSize,UpdateArrangement"/>
    <w:docVar w:name="WAFER_20141015123050_GUID" w:val="a9b0bb80-6304-4ca2-9f3f-d62ec5e2a53b"/>
    <w:docVar w:name="WAFER_20141119103531" w:val="RemoveTocBookmarks,RunningHeaders"/>
    <w:docVar w:name="WAFER_20141119103531_GUID" w:val="f63e2abf-7c2f-4701-a08a-24f4b744f7dd"/>
    <w:docVar w:name="WAFER_20150306110947" w:val="ResetPageSize,UpdateArrangement,UpdateNTable"/>
    <w:docVar w:name="WAFER_20150306110947_GUID" w:val="533c6234-e6c5-430f-ab57-1abfaeee2e3d"/>
    <w:docVar w:name="WAFER_20150306125430" w:val="RemoveTocBookmarks,RemoveUnusedBookmarks,RemoveLanguageTags,UsedStyles,RemoveTrackChanges"/>
    <w:docVar w:name="WAFER_20150306125430_GUID" w:val="ee0719d0-67bd-4550-9265-368ce64dbb63"/>
    <w:docVar w:name="WAFER_20150306125445" w:val="RemoveTocBookmarks,RemoveLanguageTags,RemoveTrackChanges,RunningHeaders"/>
    <w:docVar w:name="WAFER_20150306125445_GUID" w:val="c0bb3cba-5302-4223-813d-90abc3f84d82"/>
    <w:docVar w:name="WAFER_20151109160253" w:val="UpdateStyles,UsedStyles"/>
    <w:docVar w:name="WAFER_20151109160253_GUID" w:val="0adaf651-b859-4348-a1ae-de65ce18a01a"/>
    <w:docVar w:name="WAFER_20151109160302" w:val="UpdateStyles,UsedStyles"/>
    <w:docVar w:name="WAFER_20151109160302_GUID" w:val="bb4c42a4-9349-4026-96f9-d17ec71899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122</Pages>
  <Words>32448</Words>
  <Characters>154132</Characters>
  <Application>Microsoft Office Word</Application>
  <DocSecurity>0</DocSecurity>
  <Lines>4056</Lines>
  <Paragraphs>2028</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184552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1981 - 07-b0-00</dc:title>
  <dc:subject/>
  <dc:creator/>
  <cp:keywords/>
  <dc:description/>
  <cp:lastModifiedBy>svcMRProcess</cp:lastModifiedBy>
  <cp:revision>4</cp:revision>
  <cp:lastPrinted>2015-03-06T04:55:00Z</cp:lastPrinted>
  <dcterms:created xsi:type="dcterms:W3CDTF">2018-09-08T16:31:00Z</dcterms:created>
  <dcterms:modified xsi:type="dcterms:W3CDTF">2018-09-08T16:31:00Z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DocumentType">
    <vt:lpwstr>Act</vt:lpwstr>
  </property>
  <property fmtid="{D5CDD505-2E9C-101B-9397-08002B2CF9AE}" pid="4" name="OwlsUID">
    <vt:i4>744</vt:i4>
  </property>
  <property fmtid="{D5CDD505-2E9C-101B-9397-08002B2CF9AE}" pid="5" name="ReprintedAsAt">
    <vt:filetime>2015-03-12T16:00:00Z</vt:filetime>
  </property>
  <property fmtid="{D5CDD505-2E9C-101B-9397-08002B2CF9AE}" pid="6" name="ReprintNo">
    <vt:lpwstr>7</vt:lpwstr>
  </property>
  <property fmtid="{D5CDD505-2E9C-101B-9397-08002B2CF9AE}" pid="7" name="AsAtDate">
    <vt:lpwstr>01 Dec 2016</vt:lpwstr>
  </property>
  <property fmtid="{D5CDD505-2E9C-101B-9397-08002B2CF9AE}" pid="8" name="Suffix">
    <vt:lpwstr>07-b0-00</vt:lpwstr>
  </property>
  <property fmtid="{D5CDD505-2E9C-101B-9397-08002B2CF9AE}" pid="9" name="CommencementDate">
    <vt:lpwstr>20161201</vt:lpwstr>
  </property>
</Properties>
</file>