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_Toc469407546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_Toc469407547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_Toc469407548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_Toc469407549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_Toc469407550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_Toc469407551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_Toc469407552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_Toc469407553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_Toc469407554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_Toc469407555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_Toc469407556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_Toc469407557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_Toc469407558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_Toc469407559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_Toc469407560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_Toc469407561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_Toc469407562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_Toc469407563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13C.</w:t>
      </w:r>
      <w:r>
        <w:tab/>
        <w:t>Disclosure of information about land transfers (section 114(3)(g))</w:t>
      </w:r>
      <w:r>
        <w:tab/>
      </w:r>
      <w:r>
        <w:fldChar w:fldCharType="begin"/>
      </w:r>
      <w:r>
        <w:instrText xml:space="preserve"> PAGEREF _Toc469407564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_Toc469407565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_Toc469407566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_Toc469407567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_Toc469407568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_Toc469407569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_Toc469407570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_Toc469407572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69407546"/>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69407547"/>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7" w:name="_Toc469407548"/>
      <w:r>
        <w:rPr>
          <w:rStyle w:val="CharSectno"/>
        </w:rPr>
        <w:t>3A</w:t>
      </w:r>
      <w:r>
        <w:t>.</w:t>
      </w:r>
      <w:r>
        <w:tab/>
        <w:t>Rates of interest under compromise assessments (section 20A)</w:t>
      </w:r>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8" w:name="_Toc408482374"/>
      <w:bookmarkStart w:id="9" w:name="_Toc469407549"/>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0" w:name="_Toc408482375"/>
      <w:bookmarkStart w:id="11" w:name="_Toc469407550"/>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2" w:name="_Toc408482376"/>
      <w:bookmarkStart w:id="13" w:name="_Toc469407551"/>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4" w:name="_Toc408482377"/>
      <w:bookmarkStart w:id="15" w:name="_Toc469407552"/>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6" w:name="_Toc408482378"/>
      <w:bookmarkStart w:id="17" w:name="_Toc469407553"/>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18" w:name="_Toc408482379"/>
      <w:bookmarkStart w:id="19" w:name="_Toc469407554"/>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0" w:name="_Toc408482380"/>
      <w:bookmarkStart w:id="21" w:name="_Toc469407555"/>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08482381"/>
      <w:bookmarkStart w:id="23" w:name="_Toc469407556"/>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08482382"/>
      <w:bookmarkStart w:id="25" w:name="_Toc469407557"/>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$38.90.</w:t>
      </w:r>
    </w:p>
    <w:p>
      <w:pPr>
        <w:pStyle w:val="Footnotesection"/>
        <w:ind w:left="890" w:hanging="890"/>
      </w:pPr>
      <w:r>
        <w:tab/>
        <w:t>[Regulation 8 inserted in Gazette 25 Jun 2010 p. 2880; amended in Gazette 5 Jun 2015 p. 1977; 24 Jun 2016 p. 2345.]</w:t>
      </w:r>
    </w:p>
    <w:p>
      <w:pPr>
        <w:pStyle w:val="Heading5"/>
      </w:pPr>
      <w:bookmarkStart w:id="26" w:name="_Toc408482383"/>
      <w:bookmarkStart w:id="27" w:name="_Toc469407558"/>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8" w:name="_Toc408482384"/>
      <w:bookmarkStart w:id="29" w:name="_Toc469407559"/>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0" w:name="_Toc408482385"/>
      <w:bookmarkStart w:id="31" w:name="_Toc469407560"/>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2" w:name="_Toc408482386"/>
      <w:bookmarkStart w:id="33" w:name="_Toc469407561"/>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408482387"/>
      <w:bookmarkStart w:id="35" w:name="_Toc469407562"/>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6" w:name="_Toc408482388"/>
      <w:bookmarkStart w:id="37" w:name="_Toc469407563"/>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8" w:name="_Toc408482389"/>
      <w:bookmarkStart w:id="39" w:name="_Toc469407564"/>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40" w:name="_Toc408482390"/>
      <w:bookmarkStart w:id="41" w:name="_Toc469407565"/>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2" w:name="_Toc408482391"/>
      <w:bookmarkStart w:id="43" w:name="_Toc469407566"/>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4" w:name="_Toc408482392"/>
      <w:bookmarkStart w:id="45" w:name="_Toc469407567"/>
      <w:r>
        <w:rPr>
          <w:rStyle w:val="CharSectno"/>
        </w:rPr>
        <w:t>13</w:t>
      </w:r>
      <w:r>
        <w:t>.</w:t>
      </w:r>
      <w:r>
        <w:tab/>
        <w:t>Disclosure of information about pastoral lessees (section 114(3)(g))</w:t>
      </w:r>
      <w:bookmarkEnd w:id="44"/>
      <w:bookmarkEnd w:id="4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6" w:name="_Toc408482393"/>
      <w:bookmarkStart w:id="47" w:name="_Toc469407568"/>
      <w:r>
        <w:rPr>
          <w:rStyle w:val="CharSectno"/>
        </w:rPr>
        <w:t>14A</w:t>
      </w:r>
      <w:r>
        <w:t>.</w:t>
      </w:r>
      <w:r>
        <w:tab/>
        <w:t>Disclosure of information about settlement agents (section 114)</w:t>
      </w:r>
      <w:bookmarkEnd w:id="46"/>
      <w:bookmarkEnd w:id="47"/>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8" w:name="_Toc408482394"/>
      <w:bookmarkStart w:id="49" w:name="_Toc469407569"/>
      <w:r>
        <w:rPr>
          <w:rStyle w:val="CharSectno"/>
        </w:rPr>
        <w:t>14</w:t>
      </w:r>
      <w:r>
        <w:t>.</w:t>
      </w:r>
      <w:r>
        <w:tab/>
        <w:t>Service on Commissioner (section 115)</w:t>
      </w:r>
      <w:bookmarkEnd w:id="48"/>
      <w:bookmarkEnd w:id="49"/>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w:t>
      </w:r>
    </w:p>
    <w:p>
      <w:pPr>
        <w:pStyle w:val="Heading5"/>
      </w:pPr>
      <w:bookmarkStart w:id="50" w:name="_Toc408482395"/>
      <w:bookmarkStart w:id="51" w:name="_Toc469407570"/>
      <w:r>
        <w:rPr>
          <w:rStyle w:val="CharSectno"/>
        </w:rPr>
        <w:t>15</w:t>
      </w:r>
      <w:r>
        <w:t>.</w:t>
      </w:r>
      <w:r>
        <w:tab/>
        <w:t>Prescription of Commissioner as State taxation officer</w:t>
      </w:r>
      <w:bookmarkEnd w:id="50"/>
      <w:bookmarkEnd w:id="5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2" w:name="_Toc408482396"/>
      <w:bookmarkStart w:id="53" w:name="_Toc417464582"/>
      <w:bookmarkStart w:id="54" w:name="_Toc417656667"/>
      <w:bookmarkStart w:id="55" w:name="_Toc421265595"/>
      <w:bookmarkStart w:id="56" w:name="_Toc421536755"/>
      <w:bookmarkStart w:id="57" w:name="_Toc421536795"/>
      <w:bookmarkStart w:id="58" w:name="_Toc421536955"/>
      <w:bookmarkStart w:id="59" w:name="_Toc423505599"/>
      <w:bookmarkStart w:id="60" w:name="_Toc423505626"/>
      <w:bookmarkStart w:id="61" w:name="_Toc439167812"/>
      <w:bookmarkStart w:id="62" w:name="_Toc455137830"/>
      <w:bookmarkStart w:id="63" w:name="_Toc469407571"/>
      <w:r>
        <w:t>Notes</w:t>
      </w:r>
      <w:bookmarkEnd w:id="52"/>
      <w:bookmarkEnd w:id="53"/>
      <w:bookmarkEnd w:id="54"/>
      <w:bookmarkEnd w:id="55"/>
      <w:bookmarkEnd w:id="56"/>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4" w:name="_Toc408482397"/>
      <w:bookmarkStart w:id="65" w:name="_Toc469407572"/>
      <w: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rPr>
                <w:i/>
              </w:rPr>
            </w:pPr>
            <w:r>
              <w:rPr>
                <w:i/>
              </w:rPr>
              <w:t>Taxation Administration Amendment Regulations (No. 2) 2016</w:t>
            </w:r>
          </w:p>
        </w:tc>
        <w:tc>
          <w:tcPr>
            <w:tcW w:w="1276" w:type="dxa"/>
            <w:tcBorders>
              <w:top w:val="nil"/>
              <w:bottom w:val="single" w:sz="4" w:space="0" w:color="auto"/>
            </w:tcBorders>
          </w:tcPr>
          <w:p>
            <w:pPr>
              <w:pStyle w:val="nTable"/>
              <w:keepNext/>
              <w:spacing w:after="40"/>
            </w:pPr>
            <w:r>
              <w:t>13 Dec 2016 p. 5634</w:t>
            </w:r>
          </w:p>
        </w:tc>
        <w:tc>
          <w:tcPr>
            <w:tcW w:w="2693" w:type="dxa"/>
            <w:tcBorders>
              <w:top w:val="nil"/>
              <w:bottom w:val="single" w:sz="4" w:space="0" w:color="auto"/>
            </w:tcBorders>
          </w:tcPr>
          <w:p>
            <w:pPr>
              <w:pStyle w:val="nTable"/>
              <w:keepNext/>
              <w:spacing w:after="40"/>
            </w:pPr>
            <w:r>
              <w:t>r. 1 and 2: 13 Dec 2016</w:t>
            </w:r>
            <w:r>
              <w:rPr>
                <w:bCs/>
                <w:snapToGrid w:val="0"/>
                <w:spacing w:val="-2"/>
              </w:rPr>
              <w:t xml:space="preserve"> (see r. 2(a));</w:t>
            </w:r>
            <w:r>
              <w:br/>
              <w:t>Regulations other than r. 1 and 2: 14 Dec 2016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66" w:name="Start_Cursor"/>
      <w:bookmarkEnd w:id="66"/>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8" w:name="_Toc439167814"/>
      <w:bookmarkStart w:id="69" w:name="_Toc455137832"/>
      <w:bookmarkStart w:id="70" w:name="_Toc469407573"/>
      <w:r>
        <w:rPr>
          <w:sz w:val="28"/>
        </w:rPr>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3640</Words>
  <Characters>17987</Characters>
  <Application>Microsoft Office Word</Application>
  <DocSecurity>0</DocSecurity>
  <Lines>599</Lines>
  <Paragraphs>343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2003 - 03-i0-00</dc:title>
  <dc:subject/>
  <dc:creator/>
  <cp:keywords/>
  <dc:description/>
  <cp:lastModifiedBy>svcMRProcess</cp:lastModifiedBy>
  <cp:revision>4</cp:revision>
  <cp:lastPrinted>2014-08-12T01:49:00Z</cp:lastPrinted>
  <dcterms:created xsi:type="dcterms:W3CDTF">2016-12-13T07:52:00Z</dcterms:created>
  <dcterms:modified xsi:type="dcterms:W3CDTF">2016-12-13T07:52:00Z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14 Dec 2016</vt:lpwstr>
  </property>
  <property fmtid="{D5CDD505-2E9C-101B-9397-08002B2CF9AE}" pid="8" name="Suffix">
    <vt:lpwstr>03-i0-00</vt:lpwstr>
  </property>
  <property fmtid="{D5CDD505-2E9C-101B-9397-08002B2CF9AE}" pid="9" name="CommencementDate">
    <vt:lpwstr>20161214</vt:lpwstr>
  </property>
</Properties>
</file>