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800" w:after="4200"/>
        <w:ind w:left="426" w:right="576"/>
        <w:outlineLvl w:val="0"/>
      </w:pPr>
      <w:r>
        <w:fldChar w:fldCharType="begin"/>
      </w:r>
      <w:r>
        <w:instrText xml:space="preserve"> STYLEREF "Name Of Act/Reg"</w:instrText>
      </w:r>
      <w:r>
        <w:fldChar w:fldCharType="separate"/>
      </w:r>
      <w:r>
        <w:rPr>
          <w:noProof/>
        </w:rPr>
        <w:t>Government Railways (Parking Stations) By-law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Government Railways (Parking Stations) By-law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1A.</w:t>
      </w:r>
      <w:r>
        <w:tab/>
        <w:t>Citation</w:t>
      </w:r>
      <w:r>
        <w:tab/>
      </w:r>
      <w:r>
        <w:fldChar w:fldCharType="begin"/>
      </w:r>
      <w:r>
        <w:instrText xml:space="preserve"> PAGEREF _Toc470187242 \h </w:instrText>
      </w:r>
      <w:r>
        <w:fldChar w:fldCharType="separate"/>
      </w:r>
      <w:r>
        <w:t>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_Toc470187243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_Toc470187244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Constitution of parking stations</w:t>
      </w:r>
      <w:r>
        <w:tab/>
      </w:r>
      <w:r>
        <w:fldChar w:fldCharType="begin"/>
      </w:r>
      <w:r>
        <w:instrText xml:space="preserve"> PAGEREF _Toc470187245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Parking in specified areas</w:t>
      </w:r>
      <w:r>
        <w:tab/>
      </w:r>
      <w:r>
        <w:fldChar w:fldCharType="begin"/>
      </w:r>
      <w:r>
        <w:instrText xml:space="preserve"> PAGEREF _Toc470187246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Parking within parking space</w:t>
      </w:r>
      <w:r>
        <w:tab/>
      </w:r>
      <w:r>
        <w:fldChar w:fldCharType="begin"/>
      </w:r>
      <w:r>
        <w:instrText xml:space="preserve"> PAGEREF _Toc470187247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Obstruction</w:t>
      </w:r>
      <w:r>
        <w:tab/>
      </w:r>
      <w:r>
        <w:fldChar w:fldCharType="begin"/>
      </w:r>
      <w:r>
        <w:instrText xml:space="preserve"> PAGEREF _Toc470187248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 standing area</w:t>
      </w:r>
      <w:r>
        <w:tab/>
      </w:r>
      <w:r>
        <w:fldChar w:fldCharType="begin"/>
      </w:r>
      <w:r>
        <w:instrText xml:space="preserve"> PAGEREF _Toc470187249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Direction not to park in area</w:t>
      </w:r>
      <w:r>
        <w:tab/>
      </w:r>
      <w:r>
        <w:fldChar w:fldCharType="begin"/>
      </w:r>
      <w:r>
        <w:instrText xml:space="preserve"> PAGEREF _Toc470187250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One vehicle only in parking space</w:t>
      </w:r>
      <w:r>
        <w:tab/>
      </w:r>
      <w:r>
        <w:fldChar w:fldCharType="begin"/>
      </w:r>
      <w:r>
        <w:instrText xml:space="preserve"> PAGEREF _Toc470187251 \h </w:instrText>
      </w:r>
      <w:r>
        <w:fldChar w:fldCharType="separate"/>
      </w:r>
      <w:r>
        <w:t>5</w:t>
      </w:r>
      <w:r>
        <w:fldChar w:fldCharType="end"/>
      </w:r>
    </w:p>
    <w:p>
      <w:pPr>
        <w:pStyle w:val="TOC8"/>
        <w:rPr>
          <w:rFonts w:asciiTheme="minorHAnsi" w:eastAsiaTheme="minorEastAsia" w:hAnsiTheme="minorHAnsi" w:cstheme="minorBidi"/>
          <w:szCs w:val="22"/>
        </w:rPr>
      </w:pPr>
      <w:r>
        <w:t>10.</w:t>
      </w:r>
      <w:r>
        <w:tab/>
        <w:t>Loading zone</w:t>
      </w:r>
      <w:r>
        <w:tab/>
      </w:r>
      <w:r>
        <w:fldChar w:fldCharType="begin"/>
      </w:r>
      <w:r>
        <w:instrText xml:space="preserve"> PAGEREF _Toc470187252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Designation of parking spaces for vehicles of persons with disability</w:t>
      </w:r>
      <w:r>
        <w:tab/>
      </w:r>
      <w:r>
        <w:fldChar w:fldCharType="begin"/>
      </w:r>
      <w:r>
        <w:instrText xml:space="preserve"> PAGEREF _Toc470187253 \h </w:instrText>
      </w:r>
      <w:r>
        <w:fldChar w:fldCharType="separate"/>
      </w:r>
      <w:r>
        <w:t>6</w:t>
      </w:r>
      <w:r>
        <w:fldChar w:fldCharType="end"/>
      </w:r>
    </w:p>
    <w:p>
      <w:pPr>
        <w:pStyle w:val="TOC8"/>
        <w:rPr>
          <w:rFonts w:asciiTheme="minorHAnsi" w:eastAsiaTheme="minorEastAsia" w:hAnsiTheme="minorHAnsi" w:cstheme="minorBidi"/>
          <w:szCs w:val="22"/>
        </w:rPr>
      </w:pPr>
      <w:r>
        <w:t>12.</w:t>
      </w:r>
      <w:r>
        <w:tab/>
        <w:t>Disabled parking</w:t>
      </w:r>
      <w:r>
        <w:tab/>
      </w:r>
      <w:r>
        <w:fldChar w:fldCharType="begin"/>
      </w:r>
      <w:r>
        <w:instrText xml:space="preserve"> PAGEREF _Toc470187254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w:t>
      </w:r>
      <w:r>
        <w:tab/>
      </w:r>
      <w:r>
        <w:fldChar w:fldCharType="begin"/>
      </w:r>
      <w:r>
        <w:instrText xml:space="preserve"> PAGEREF _Toc470187255 \h </w:instrText>
      </w:r>
      <w:r>
        <w:fldChar w:fldCharType="separate"/>
      </w:r>
      <w:r>
        <w:t>7</w:t>
      </w:r>
      <w:r>
        <w:fldChar w:fldCharType="end"/>
      </w:r>
    </w:p>
    <w:p>
      <w:pPr>
        <w:pStyle w:val="TOC8"/>
        <w:rPr>
          <w:rFonts w:asciiTheme="minorHAnsi" w:eastAsiaTheme="minorEastAsia" w:hAnsiTheme="minorHAnsi" w:cstheme="minorBidi"/>
          <w:szCs w:val="22"/>
        </w:rPr>
      </w:pPr>
      <w:r>
        <w:t>14.</w:t>
      </w:r>
      <w:r>
        <w:tab/>
        <w:t>Parking charges</w:t>
      </w:r>
      <w:r>
        <w:tab/>
      </w:r>
      <w:r>
        <w:fldChar w:fldCharType="begin"/>
      </w:r>
      <w:r>
        <w:instrText xml:space="preserve"> PAGEREF _Toc470187256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charge</w:t>
      </w:r>
      <w:r>
        <w:tab/>
      </w:r>
      <w:r>
        <w:fldChar w:fldCharType="begin"/>
      </w:r>
      <w:r>
        <w:instrText xml:space="preserve"> PAGEREF _Toc470187257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Receipt</w:t>
      </w:r>
      <w:r>
        <w:tab/>
      </w:r>
      <w:r>
        <w:fldChar w:fldCharType="begin"/>
      </w:r>
      <w:r>
        <w:instrText xml:space="preserve"> PAGEREF _Toc470187258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Production of receipt</w:t>
      </w:r>
      <w:r>
        <w:tab/>
      </w:r>
      <w:r>
        <w:fldChar w:fldCharType="begin"/>
      </w:r>
      <w:r>
        <w:instrText xml:space="preserve"> PAGEREF _Toc470187259 \h </w:instrText>
      </w:r>
      <w:r>
        <w:fldChar w:fldCharType="separate"/>
      </w:r>
      <w:r>
        <w:t>8</w:t>
      </w:r>
      <w:r>
        <w:fldChar w:fldCharType="end"/>
      </w:r>
    </w:p>
    <w:p>
      <w:pPr>
        <w:pStyle w:val="TOC8"/>
        <w:rPr>
          <w:rFonts w:asciiTheme="minorHAnsi" w:eastAsiaTheme="minorEastAsia" w:hAnsiTheme="minorHAnsi" w:cstheme="minorBidi"/>
          <w:szCs w:val="22"/>
        </w:rPr>
      </w:pPr>
      <w:r>
        <w:t>18A.</w:t>
      </w:r>
      <w:r>
        <w:tab/>
        <w:t>Removing vehicle from secured parking station between designated hours</w:t>
      </w:r>
      <w:r>
        <w:tab/>
      </w:r>
      <w:r>
        <w:fldChar w:fldCharType="begin"/>
      </w:r>
      <w:r>
        <w:instrText xml:space="preserve"> PAGEREF _Toc470187260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Removal of vehicles from parking station by Authority</w:t>
      </w:r>
      <w:r>
        <w:tab/>
      </w:r>
      <w:r>
        <w:fldChar w:fldCharType="begin"/>
      </w:r>
      <w:r>
        <w:instrText xml:space="preserve"> PAGEREF _Toc470187261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Appointment of authorised persons</w:t>
      </w:r>
      <w:r>
        <w:tab/>
      </w:r>
      <w:r>
        <w:fldChar w:fldCharType="begin"/>
      </w:r>
      <w:r>
        <w:instrText xml:space="preserve"> PAGEREF _Toc470187262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Personation of authorised person</w:t>
      </w:r>
      <w:r>
        <w:tab/>
      </w:r>
      <w:r>
        <w:fldChar w:fldCharType="begin"/>
      </w:r>
      <w:r>
        <w:instrText xml:space="preserve"> PAGEREF _Toc470187263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Obstruction of authorised person</w:t>
      </w:r>
      <w:r>
        <w:tab/>
      </w:r>
      <w:r>
        <w:fldChar w:fldCharType="begin"/>
      </w:r>
      <w:r>
        <w:instrText xml:space="preserve"> PAGEREF _Toc470187264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authorised person</w:t>
      </w:r>
      <w:r>
        <w:tab/>
      </w:r>
      <w:r>
        <w:fldChar w:fldCharType="begin"/>
      </w:r>
      <w:r>
        <w:instrText xml:space="preserve"> PAGEREF _Toc470187265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Responsible person to reveal identity of driver</w:t>
      </w:r>
      <w:r>
        <w:tab/>
      </w:r>
      <w:r>
        <w:fldChar w:fldCharType="begin"/>
      </w:r>
      <w:r>
        <w:instrText xml:space="preserve"> PAGEREF _Toc470187266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Erection of signs</w:t>
      </w:r>
      <w:r>
        <w:tab/>
      </w:r>
      <w:r>
        <w:fldChar w:fldCharType="begin"/>
      </w:r>
      <w:r>
        <w:instrText xml:space="preserve"> PAGEREF _Toc470187267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Damage to parking station and removal of tickets</w:t>
      </w:r>
      <w:r>
        <w:tab/>
      </w:r>
      <w:r>
        <w:fldChar w:fldCharType="begin"/>
      </w:r>
      <w:r>
        <w:instrText xml:space="preserve"> PAGEREF _Toc470187268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 and penalties</w:t>
      </w:r>
      <w:r>
        <w:tab/>
      </w:r>
      <w:r>
        <w:fldChar w:fldCharType="begin"/>
      </w:r>
      <w:r>
        <w:instrText xml:space="preserve"> PAGEREF _Toc470187269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w:t>
      </w:r>
      <w:r>
        <w:tab/>
      </w:r>
      <w:r>
        <w:fldChar w:fldCharType="begin"/>
      </w:r>
      <w:r>
        <w:instrText xml:space="preserve"> PAGEREF _Toc470187270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Responsible person deemed to be driver</w:t>
      </w:r>
      <w:r>
        <w:tab/>
      </w:r>
      <w:r>
        <w:fldChar w:fldCharType="begin"/>
      </w:r>
      <w:r>
        <w:instrText xml:space="preserve"> PAGEREF _Toc470187271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 of infringement notices to be kept</w:t>
      </w:r>
      <w:r>
        <w:tab/>
      </w:r>
      <w:r>
        <w:fldChar w:fldCharType="begin"/>
      </w:r>
      <w:r>
        <w:instrText xml:space="preserve"> PAGEREF _Toc470187272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Recovery of penalty</w:t>
      </w:r>
      <w:r>
        <w:tab/>
      </w:r>
      <w:r>
        <w:fldChar w:fldCharType="begin"/>
      </w:r>
      <w:r>
        <w:instrText xml:space="preserve"> PAGEREF _Toc470187273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Service of notices</w:t>
      </w:r>
      <w:r>
        <w:tab/>
      </w:r>
      <w:r>
        <w:fldChar w:fldCharType="begin"/>
      </w:r>
      <w:r>
        <w:instrText xml:space="preserve"> PAGEREF _Toc470187274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Parking charges</w:t>
      </w:r>
    </w:p>
    <w:p>
      <w:pPr>
        <w:pStyle w:val="TOC8"/>
        <w:rPr>
          <w:rFonts w:asciiTheme="minorHAnsi" w:eastAsiaTheme="minorEastAsia" w:hAnsiTheme="minorHAnsi" w:cstheme="minorBidi"/>
          <w:szCs w:val="22"/>
        </w:rPr>
      </w:pPr>
      <w:r>
        <w:tab/>
        <w:t>1.</w:t>
      </w:r>
      <w:r>
        <w:tab/>
      </w:r>
      <w:r>
        <w:fldChar w:fldCharType="begin"/>
      </w:r>
      <w:r>
        <w:instrText xml:space="preserve"> PAGEREF _Toc470187277 \h </w:instrText>
      </w:r>
      <w:r>
        <w:fldChar w:fldCharType="separate"/>
      </w:r>
      <w:r>
        <w:t>15</w:t>
      </w:r>
      <w:r>
        <w:fldChar w:fldCharType="end"/>
      </w:r>
    </w:p>
    <w:p>
      <w:pPr>
        <w:pStyle w:val="TOC8"/>
        <w:rPr>
          <w:rFonts w:asciiTheme="minorHAnsi" w:eastAsiaTheme="minorEastAsia" w:hAnsiTheme="minorHAnsi" w:cstheme="minorBidi"/>
          <w:szCs w:val="22"/>
        </w:rPr>
      </w:pPr>
      <w:r>
        <w:tab/>
        <w:t>2A.</w:t>
      </w:r>
      <w:r>
        <w:tab/>
      </w:r>
      <w:r>
        <w:fldChar w:fldCharType="begin"/>
      </w:r>
      <w:r>
        <w:instrText xml:space="preserve"> PAGEREF _Toc470187278 \h </w:instrText>
      </w:r>
      <w:r>
        <w:fldChar w:fldCharType="separate"/>
      </w:r>
      <w:r>
        <w:t>15</w:t>
      </w:r>
      <w:r>
        <w:fldChar w:fldCharType="end"/>
      </w:r>
    </w:p>
    <w:p>
      <w:pPr>
        <w:pStyle w:val="TOC8"/>
        <w:rPr>
          <w:rFonts w:asciiTheme="minorHAnsi" w:eastAsiaTheme="minorEastAsia" w:hAnsiTheme="minorHAnsi" w:cstheme="minorBidi"/>
          <w:szCs w:val="22"/>
        </w:rPr>
      </w:pPr>
      <w:r>
        <w:tab/>
        <w:t>2.</w:t>
      </w:r>
      <w:r>
        <w:tab/>
      </w:r>
      <w:r>
        <w:fldChar w:fldCharType="begin"/>
      </w:r>
      <w:r>
        <w:instrText xml:space="preserve"> PAGEREF _Toc470187279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_Toc470187282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rPr>
          <w:snapToGrid w:val="0"/>
        </w:rPr>
      </w:pPr>
      <w:r>
        <w:rPr>
          <w:snapToGrid w:val="0"/>
        </w:rPr>
        <w:t>Government Railways Act 1904</w:t>
      </w:r>
    </w:p>
    <w:p>
      <w:pPr>
        <w:pStyle w:val="NameofActReg"/>
        <w:ind w:left="284" w:right="575"/>
      </w:pPr>
      <w:r>
        <w:t>Government Railways (Parking Stations) By</w:t>
      </w:r>
      <w:r>
        <w:noBreakHyphen/>
        <w:t>law 1997</w:t>
      </w:r>
    </w:p>
    <w:p>
      <w:pPr>
        <w:pStyle w:val="Heading5"/>
      </w:pPr>
      <w:bookmarkStart w:id="3" w:name="_Toc470187242"/>
      <w:r>
        <w:rPr>
          <w:rStyle w:val="CharSectno"/>
        </w:rPr>
        <w:t>1A</w:t>
      </w:r>
      <w:r>
        <w:t>.</w:t>
      </w:r>
      <w:r>
        <w:tab/>
        <w:t>Citation</w:t>
      </w:r>
      <w:bookmarkEnd w:id="3"/>
    </w:p>
    <w:p>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pPr>
        <w:pStyle w:val="Subsection"/>
      </w:pPr>
      <w:r>
        <w:tab/>
        <w:t>(2)</w:t>
      </w:r>
      <w:r>
        <w:tab/>
        <w:t>The main legislative units of this by</w:t>
      </w:r>
      <w:r>
        <w:noBreakHyphen/>
        <w:t>law are called rules, and a rule may contain 2 or more subrules (this sentence, for example, being subrule (2) of rule 1A).</w:t>
      </w:r>
    </w:p>
    <w:p>
      <w:pPr>
        <w:pStyle w:val="Footnotesection"/>
      </w:pPr>
      <w:r>
        <w:tab/>
        <w:t>[Rule 1A inserted: Gazette 12 Dec 2003 p. 5042.]</w:t>
      </w:r>
    </w:p>
    <w:p>
      <w:pPr>
        <w:pStyle w:val="Heading5"/>
        <w:rPr>
          <w:snapToGrid w:val="0"/>
        </w:rPr>
      </w:pPr>
      <w:bookmarkStart w:id="4" w:name="_Toc470187243"/>
      <w:r>
        <w:rPr>
          <w:rStyle w:val="CharSectno"/>
        </w:rPr>
        <w:t>1</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by</w:t>
      </w:r>
      <w:r>
        <w:rPr>
          <w:snapToGrid w:val="0"/>
        </w:rPr>
        <w:noBreakHyphen/>
        <w:t>law, unless the context otherwise requires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pPr>
      <w:r>
        <w:rPr>
          <w:b/>
        </w:rPr>
        <w:tab/>
      </w:r>
      <w:r>
        <w:rPr>
          <w:rStyle w:val="CharDefText"/>
        </w:rPr>
        <w:t>authorised person</w:t>
      </w:r>
      <w:r>
        <w:t xml:space="preserve"> means a person appointed by the Authority under rule 19;</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any person driving or in control of a vehicle;</w:t>
      </w:r>
    </w:p>
    <w:p>
      <w:pPr>
        <w:pStyle w:val="Defstart"/>
      </w:pPr>
      <w:r>
        <w:tab/>
      </w:r>
      <w:r>
        <w:rPr>
          <w:rStyle w:val="CharDefText"/>
        </w:rPr>
        <w:t>motor cycle</w:t>
      </w:r>
      <w:r>
        <w:t xml:space="preserve"> has the meaning given in the </w:t>
      </w:r>
      <w:r>
        <w:rPr>
          <w:i/>
        </w:rPr>
        <w:t>Road Traffic Code 2000</w:t>
      </w:r>
      <w:r>
        <w:t xml:space="preserve"> regulation 3(1);</w:t>
      </w:r>
    </w:p>
    <w:p>
      <w:pPr>
        <w:pStyle w:val="Defstart"/>
      </w:pPr>
      <w:r>
        <w:tab/>
      </w:r>
      <w:r>
        <w:rPr>
          <w:rStyle w:val="CharDefText"/>
        </w:rPr>
        <w:t>motor cycle space</w:t>
      </w:r>
      <w:r>
        <w:t xml:space="preserve"> means a defined area marked for parking a motor cycle without a side</w:t>
      </w:r>
      <w:r>
        <w:noBreakHyphen/>
        <w:t>car, a motorised scooter or a bicycle;</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paid parking station</w:t>
      </w:r>
      <w:r>
        <w:t xml:space="preserve"> means a parking station designated by the Authority for parking subject to the payment of a charge;</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pPr>
      <w:r>
        <w:tab/>
      </w:r>
      <w:r>
        <w:rPr>
          <w:rStyle w:val="CharDefText"/>
        </w:rPr>
        <w:t>parking space</w:t>
      </w:r>
      <w:r>
        <w:t xml:space="preserve"> means a section or part of a parking station, that is designated as a place where a vehicle may stand or be parked whether on payment of a charge or otherwise;</w:t>
      </w:r>
    </w:p>
    <w:p>
      <w:pPr>
        <w:pStyle w:val="Defstart"/>
      </w:pPr>
      <w:r>
        <w:rPr>
          <w:b/>
        </w:rPr>
        <w:tab/>
      </w:r>
      <w:r>
        <w:rPr>
          <w:rStyle w:val="CharDefText"/>
        </w:rPr>
        <w:t>parking station</w:t>
      </w:r>
      <w:r>
        <w:t xml:space="preserve"> means a parking station constituted under rule 3(a);</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secured parking station</w:t>
      </w:r>
      <w:r>
        <w:t xml:space="preserve"> means a parking station which is fenced and to which entry can only be gained through a gate that is locked between designated hours;</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pPr>
      <w:r>
        <w:tab/>
      </w:r>
      <w:r>
        <w:rPr>
          <w:rStyle w:val="CharDefText"/>
        </w:rPr>
        <w:t>vehicle</w:t>
      </w:r>
      <w:r>
        <w:t xml:space="preserve"> has the meaning given in the</w:t>
      </w:r>
      <w:r>
        <w:rPr>
          <w:i/>
        </w:rPr>
        <w:t xml:space="preserve"> Road Traffic (Administration) Act 2008</w:t>
      </w:r>
      <w:r>
        <w:t xml:space="preserve"> section 4.</w:t>
      </w:r>
    </w:p>
    <w:p>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w:t>
      </w:r>
      <w:r>
        <w:t xml:space="preserve">an alphanumeric designation </w:t>
      </w:r>
      <w:r>
        <w:rPr>
          <w:snapToGrid w:val="0"/>
        </w:rPr>
        <w:t>is a reference to the Form so designated set out in Schedule 2.</w:t>
      </w:r>
    </w:p>
    <w:p>
      <w:pPr>
        <w:pStyle w:val="Footnotesection"/>
      </w:pPr>
      <w:r>
        <w:tab/>
        <w:t>[Rule 1 amended: Gazette 12 Dec 2003 p. 5042</w:t>
      </w:r>
      <w:r>
        <w:noBreakHyphen/>
        <w:t>3, 5044 and 5045; 5 Nov 2013 p. 4943-4; 8 Jan 2015 p. 143</w:t>
      </w:r>
      <w:r>
        <w:noBreakHyphen/>
        <w:t>4; 23 Dec 2016 p. 5910.]</w:t>
      </w:r>
    </w:p>
    <w:p>
      <w:pPr>
        <w:pStyle w:val="Heading5"/>
        <w:rPr>
          <w:snapToGrid w:val="0"/>
        </w:rPr>
      </w:pPr>
      <w:bookmarkStart w:id="5" w:name="_Toc470187244"/>
      <w:r>
        <w:rPr>
          <w:rStyle w:val="CharSectno"/>
        </w:rPr>
        <w:t>2</w:t>
      </w:r>
      <w:r>
        <w:rPr>
          <w:snapToGrid w:val="0"/>
        </w:rPr>
        <w:t>.</w:t>
      </w:r>
      <w:r>
        <w:rPr>
          <w:snapToGrid w:val="0"/>
        </w:rPr>
        <w:tab/>
        <w:t>Application</w:t>
      </w:r>
      <w:bookmarkEnd w:id="5"/>
      <w:r>
        <w:rPr>
          <w:snapToGrid w:val="0"/>
        </w:rPr>
        <w:t xml:space="preserve"> </w:t>
      </w:r>
    </w:p>
    <w:p>
      <w:pPr>
        <w:pStyle w:val="Subsection"/>
        <w:rPr>
          <w:snapToGrid w:val="0"/>
        </w:rPr>
      </w:pPr>
      <w:r>
        <w:rPr>
          <w:snapToGrid w:val="0"/>
        </w:rPr>
        <w:tab/>
        <w:t>(1)</w:t>
      </w:r>
      <w:r>
        <w:rPr>
          <w:snapToGrid w:val="0"/>
        </w:rPr>
        <w:tab/>
        <w:t>This by</w:t>
      </w:r>
      <w:r>
        <w:rPr>
          <w:snapToGrid w:val="0"/>
        </w:rPr>
        <w:noBreakHyphen/>
        <w:t>law applies to the parking of vehicles in a parking station.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 xml:space="preserve">was </w:t>
      </w:r>
      <w:r>
        <w:t xml:space="preserve">placed </w:t>
      </w:r>
      <w:r>
        <w:rPr>
          <w:snapToGrid w:val="0"/>
        </w:rPr>
        <w:t xml:space="preserve">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pPr>
        <w:pStyle w:val="Indenta"/>
        <w:rPr>
          <w:snapToGrid w:val="0"/>
        </w:rPr>
      </w:pPr>
      <w:r>
        <w:rPr>
          <w:snapToGrid w:val="0"/>
        </w:rPr>
        <w:tab/>
        <w:t>(b)</w:t>
      </w:r>
      <w:r>
        <w:rPr>
          <w:snapToGrid w:val="0"/>
        </w:rPr>
        <w:tab/>
        <w:t>relates to the parking or standing of vehicles within a parking station,</w:t>
      </w:r>
    </w:p>
    <w:p>
      <w:pPr>
        <w:pStyle w:val="Subsection"/>
        <w:rPr>
          <w:snapToGrid w:val="0"/>
        </w:rPr>
      </w:pPr>
      <w:r>
        <w:rPr>
          <w:snapToGrid w:val="0"/>
        </w:rPr>
        <w:tab/>
      </w:r>
      <w:r>
        <w:rPr>
          <w:snapToGrid w:val="0"/>
        </w:rPr>
        <w:tab/>
        <w:t>is deemed, for the purposes of this by</w:t>
      </w:r>
      <w:r>
        <w:rPr>
          <w:snapToGrid w:val="0"/>
        </w:rPr>
        <w:noBreakHyphen/>
        <w:t xml:space="preserve">law, to have been </w:t>
      </w:r>
      <w:r>
        <w:t xml:space="preserve">placed </w:t>
      </w:r>
      <w:r>
        <w:rPr>
          <w:snapToGrid w:val="0"/>
        </w:rPr>
        <w:t xml:space="preserve">by the </w:t>
      </w:r>
      <w:r>
        <w:t>Authority</w:t>
      </w:r>
      <w:r>
        <w:rPr>
          <w:snapToGrid w:val="0"/>
        </w:rPr>
        <w:t xml:space="preserve"> under the authority of this by</w:t>
      </w:r>
      <w:r>
        <w:rPr>
          <w:snapToGrid w:val="0"/>
        </w:rPr>
        <w:noBreakHyphen/>
        <w:t>law.</w:t>
      </w:r>
    </w:p>
    <w:p>
      <w:pPr>
        <w:pStyle w:val="Footnotesection"/>
      </w:pPr>
      <w:r>
        <w:tab/>
        <w:t xml:space="preserve">[Rule 2 amended: Gazette 12 Dec 2003 p. 5043 and 5044; 5 Nov 2013 p. 4944.] </w:t>
      </w:r>
    </w:p>
    <w:p>
      <w:pPr>
        <w:pStyle w:val="Heading5"/>
        <w:rPr>
          <w:snapToGrid w:val="0"/>
        </w:rPr>
      </w:pPr>
      <w:bookmarkStart w:id="6" w:name="_Toc470187245"/>
      <w:r>
        <w:rPr>
          <w:rStyle w:val="CharSectno"/>
        </w:rPr>
        <w:t>3</w:t>
      </w:r>
      <w:r>
        <w:rPr>
          <w:snapToGrid w:val="0"/>
        </w:rPr>
        <w:t>.</w:t>
      </w:r>
      <w:r>
        <w:rPr>
          <w:snapToGrid w:val="0"/>
        </w:rPr>
        <w:tab/>
        <w:t>Constitution of parking stations</w:t>
      </w:r>
      <w:bookmarkEnd w:id="6"/>
      <w:r>
        <w:rPr>
          <w:snapToGrid w:val="0"/>
        </w:rPr>
        <w:t xml:space="preserve"> </w:t>
      </w:r>
    </w:p>
    <w:p>
      <w:pPr>
        <w:pStyle w:val="Subsection"/>
        <w:rPr>
          <w:snapToGrid w:val="0"/>
        </w:rPr>
      </w:pPr>
      <w:r>
        <w:rPr>
          <w:snapToGrid w:val="0"/>
        </w:rPr>
        <w:tab/>
      </w:r>
      <w:r>
        <w:rPr>
          <w:snapToGrid w:val="0"/>
        </w:rPr>
        <w:tab/>
        <w:t>The Authority may constitute, determine and vary, and also indicate by signs, from time to time — </w:t>
      </w:r>
    </w:p>
    <w:p>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pPr>
        <w:pStyle w:val="Indenta"/>
        <w:rPr>
          <w:snapToGrid w:val="0"/>
        </w:rPr>
      </w:pPr>
      <w:r>
        <w:rPr>
          <w:snapToGrid w:val="0"/>
        </w:rPr>
        <w:tab/>
        <w:t>(b)</w:t>
      </w:r>
      <w:r>
        <w:rPr>
          <w:snapToGrid w:val="0"/>
        </w:rPr>
        <w:tab/>
        <w:t>parking spaces;</w:t>
      </w:r>
    </w:p>
    <w:p>
      <w:pPr>
        <w:pStyle w:val="Indenta"/>
        <w:rPr>
          <w:snapToGrid w:val="0"/>
        </w:rPr>
      </w:pPr>
      <w:r>
        <w:rPr>
          <w:snapToGrid w:val="0"/>
        </w:rPr>
        <w:tab/>
        <w:t>(c)</w:t>
      </w:r>
      <w:r>
        <w:rPr>
          <w:snapToGrid w:val="0"/>
        </w:rPr>
        <w:tab/>
        <w:t>permitted times and conditions of parking in parking spaces and parking stations depending on and varying with locality;</w:t>
      </w:r>
    </w:p>
    <w:p>
      <w:pPr>
        <w:pStyle w:val="Indenta"/>
        <w:rPr>
          <w:snapToGrid w:val="0"/>
        </w:rPr>
      </w:pPr>
      <w:r>
        <w:rPr>
          <w:snapToGrid w:val="0"/>
        </w:rPr>
        <w:tab/>
        <w:t>(d)</w:t>
      </w:r>
      <w:r>
        <w:rPr>
          <w:snapToGrid w:val="0"/>
        </w:rPr>
        <w:tab/>
        <w:t>permitted classes of vehicles to park in parking spaces and parking stations; and</w:t>
      </w:r>
    </w:p>
    <w:p>
      <w:pPr>
        <w:pStyle w:val="Indenta"/>
        <w:rPr>
          <w:snapToGrid w:val="0"/>
        </w:rPr>
      </w:pPr>
      <w:r>
        <w:rPr>
          <w:snapToGrid w:val="0"/>
        </w:rPr>
        <w:tab/>
        <w:t>(e)</w:t>
      </w:r>
      <w:r>
        <w:rPr>
          <w:snapToGrid w:val="0"/>
        </w:rPr>
        <w:tab/>
        <w:t>the manner of parking in parking spaces and parking stations.</w:t>
      </w:r>
    </w:p>
    <w:p>
      <w:pPr>
        <w:pStyle w:val="Footnotesection"/>
      </w:pPr>
      <w:r>
        <w:tab/>
        <w:t xml:space="preserve">[Rule 3 amended: Gazette 12 Dec 2003 p. 5043 and 5044.] </w:t>
      </w:r>
    </w:p>
    <w:p>
      <w:pPr>
        <w:pStyle w:val="Heading5"/>
        <w:rPr>
          <w:snapToGrid w:val="0"/>
        </w:rPr>
      </w:pPr>
      <w:bookmarkStart w:id="7" w:name="_Toc470187246"/>
      <w:r>
        <w:rPr>
          <w:rStyle w:val="CharSectno"/>
        </w:rPr>
        <w:t>4</w:t>
      </w:r>
      <w:r>
        <w:rPr>
          <w:snapToGrid w:val="0"/>
        </w:rPr>
        <w:t>.</w:t>
      </w:r>
      <w:r>
        <w:rPr>
          <w:snapToGrid w:val="0"/>
        </w:rPr>
        <w:tab/>
        <w:t>Parking in specified areas</w:t>
      </w:r>
      <w:bookmarkEnd w:id="7"/>
      <w:r>
        <w:rPr>
          <w:snapToGrid w:val="0"/>
        </w:rPr>
        <w:t xml:space="preserve"> </w:t>
      </w:r>
    </w:p>
    <w:p>
      <w:pPr>
        <w:pStyle w:val="Subsection"/>
        <w:rPr>
          <w:snapToGrid w:val="0"/>
        </w:rPr>
      </w:pPr>
      <w:r>
        <w:rPr>
          <w:snapToGrid w:val="0"/>
        </w:rPr>
        <w:tab/>
        <w:t>(1)</w:t>
      </w:r>
      <w:r>
        <w:rPr>
          <w:snapToGrid w:val="0"/>
        </w:rPr>
        <w:tab/>
        <w:t>A person shall not stand a vehicle in a parking space — </w:t>
      </w:r>
    </w:p>
    <w:p>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parking space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pPr>
        <w:pStyle w:val="Indenta"/>
        <w:rPr>
          <w:snapToGrid w:val="0"/>
        </w:rPr>
      </w:pPr>
      <w:r>
        <w:rPr>
          <w:snapToGrid w:val="0"/>
        </w:rPr>
        <w:tab/>
        <w:t>(c)</w:t>
      </w:r>
      <w:r>
        <w:rPr>
          <w:snapToGrid w:val="0"/>
        </w:rPr>
        <w:tab/>
        <w:t xml:space="preserve">in a parking station contrary to any limitation </w:t>
      </w:r>
      <w:r>
        <w:t>or condition</w:t>
      </w:r>
      <w:r>
        <w:rPr>
          <w:snapToGrid w:val="0"/>
        </w:rPr>
        <w:t xml:space="preserve"> indicated by the inscription on the sign or signs associated with the parking station; or</w:t>
      </w:r>
    </w:p>
    <w:p>
      <w:pPr>
        <w:pStyle w:val="Indenta"/>
      </w:pPr>
      <w:r>
        <w:tab/>
        <w:t>(d)</w:t>
      </w:r>
      <w:r>
        <w:tab/>
        <w:t>in a motor cycle space unless the vehicle is a motor cycle without a side</w:t>
      </w:r>
      <w:r>
        <w:noBreakHyphen/>
        <w:t>car, a motorised scooter or a bicycle.</w:t>
      </w:r>
    </w:p>
    <w:p>
      <w:pPr>
        <w:pStyle w:val="Subsection"/>
      </w:pPr>
      <w:r>
        <w:tab/>
        <w:t>(3)</w:t>
      </w:r>
      <w:r>
        <w:tab/>
        <w:t>A person must not stand a motor cycle without a side</w:t>
      </w:r>
      <w:r>
        <w:noBreakHyphen/>
        <w:t>car, a motorised scooter or a bicycle in a parking space unless the parking space is a motor cycle space.</w:t>
      </w:r>
    </w:p>
    <w:p>
      <w:pPr>
        <w:pStyle w:val="Footnotesection"/>
      </w:pPr>
      <w:r>
        <w:tab/>
        <w:t>[Rule 4 amended: Gazette 5 Nov 2013 p. 4944-5; 23 Dec 2016 p. 5910</w:t>
      </w:r>
      <w:r>
        <w:noBreakHyphen/>
        <w:t>11.]</w:t>
      </w:r>
    </w:p>
    <w:p>
      <w:pPr>
        <w:pStyle w:val="Heading5"/>
        <w:rPr>
          <w:snapToGrid w:val="0"/>
        </w:rPr>
      </w:pPr>
      <w:bookmarkStart w:id="8" w:name="_Toc470187247"/>
      <w:r>
        <w:rPr>
          <w:rStyle w:val="CharSectno"/>
        </w:rPr>
        <w:t>5</w:t>
      </w:r>
      <w:r>
        <w:rPr>
          <w:snapToGrid w:val="0"/>
        </w:rPr>
        <w:t>.</w:t>
      </w:r>
      <w:r>
        <w:rPr>
          <w:snapToGrid w:val="0"/>
        </w:rPr>
        <w:tab/>
        <w:t>Parking within parking space</w:t>
      </w:r>
      <w:bookmarkEnd w:id="8"/>
      <w:r>
        <w:rPr>
          <w:snapToGrid w:val="0"/>
        </w:rPr>
        <w:t xml:space="preserve"> </w:t>
      </w:r>
    </w:p>
    <w:p>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pPr>
        <w:pStyle w:val="Heading5"/>
        <w:rPr>
          <w:snapToGrid w:val="0"/>
        </w:rPr>
      </w:pPr>
      <w:bookmarkStart w:id="9" w:name="_Toc470187248"/>
      <w:r>
        <w:rPr>
          <w:rStyle w:val="CharSectno"/>
        </w:rPr>
        <w:t>6</w:t>
      </w:r>
      <w:r>
        <w:rPr>
          <w:snapToGrid w:val="0"/>
        </w:rPr>
        <w:t>.</w:t>
      </w:r>
      <w:r>
        <w:rPr>
          <w:snapToGrid w:val="0"/>
        </w:rPr>
        <w:tab/>
        <w:t>Obstruction</w:t>
      </w:r>
      <w:bookmarkEnd w:id="9"/>
      <w:r>
        <w:rPr>
          <w:snapToGrid w:val="0"/>
        </w:rPr>
        <w:t xml:space="preserve"> </w:t>
      </w:r>
    </w:p>
    <w:p>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pPr>
        <w:pStyle w:val="Heading5"/>
        <w:spacing w:before="180"/>
        <w:rPr>
          <w:snapToGrid w:val="0"/>
        </w:rPr>
      </w:pPr>
      <w:bookmarkStart w:id="10" w:name="_Toc470187249"/>
      <w:r>
        <w:rPr>
          <w:rStyle w:val="CharSectno"/>
        </w:rPr>
        <w:t>7</w:t>
      </w:r>
      <w:r>
        <w:rPr>
          <w:snapToGrid w:val="0"/>
        </w:rPr>
        <w:t>.</w:t>
      </w:r>
      <w:r>
        <w:rPr>
          <w:snapToGrid w:val="0"/>
        </w:rPr>
        <w:tab/>
        <w:t>No standing area</w:t>
      </w:r>
      <w:bookmarkEnd w:id="10"/>
      <w:r>
        <w:rPr>
          <w:snapToGrid w:val="0"/>
        </w:rPr>
        <w:t xml:space="preserve"> </w:t>
      </w:r>
    </w:p>
    <w:p>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pPr>
        <w:pStyle w:val="Footnotesection"/>
      </w:pPr>
      <w:r>
        <w:tab/>
        <w:t>[Rule 7 amended: Gazette 12 Dec 2003 p. 5044.]</w:t>
      </w:r>
    </w:p>
    <w:p>
      <w:pPr>
        <w:pStyle w:val="Heading5"/>
        <w:spacing w:before="180"/>
        <w:rPr>
          <w:snapToGrid w:val="0"/>
        </w:rPr>
      </w:pPr>
      <w:bookmarkStart w:id="11" w:name="_Toc470187250"/>
      <w:r>
        <w:rPr>
          <w:rStyle w:val="CharSectno"/>
        </w:rPr>
        <w:t>8</w:t>
      </w:r>
      <w:r>
        <w:rPr>
          <w:snapToGrid w:val="0"/>
        </w:rPr>
        <w:t>.</w:t>
      </w:r>
      <w:r>
        <w:rPr>
          <w:snapToGrid w:val="0"/>
        </w:rPr>
        <w:tab/>
        <w:t>Direction not to park in area</w:t>
      </w:r>
      <w:bookmarkEnd w:id="11"/>
      <w:r>
        <w:rPr>
          <w:snapToGrid w:val="0"/>
        </w:rPr>
        <w:t xml:space="preserve"> </w:t>
      </w:r>
    </w:p>
    <w:p>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pPr>
        <w:pStyle w:val="Heading5"/>
        <w:spacing w:before="180"/>
        <w:rPr>
          <w:snapToGrid w:val="0"/>
        </w:rPr>
      </w:pPr>
      <w:bookmarkStart w:id="12" w:name="_Toc470187251"/>
      <w:r>
        <w:rPr>
          <w:rStyle w:val="CharSectno"/>
        </w:rPr>
        <w:t>9</w:t>
      </w:r>
      <w:r>
        <w:rPr>
          <w:snapToGrid w:val="0"/>
        </w:rPr>
        <w:t>.</w:t>
      </w:r>
      <w:r>
        <w:rPr>
          <w:snapToGrid w:val="0"/>
        </w:rPr>
        <w:tab/>
        <w:t>One vehicle only in parking space</w:t>
      </w:r>
      <w:bookmarkEnd w:id="12"/>
      <w:r>
        <w:rPr>
          <w:snapToGrid w:val="0"/>
        </w:rPr>
        <w:t xml:space="preserve"> </w:t>
      </w:r>
    </w:p>
    <w:p>
      <w:pPr>
        <w:pStyle w:val="Subsection"/>
        <w:spacing w:before="120"/>
        <w:rPr>
          <w:snapToGrid w:val="0"/>
        </w:rPr>
      </w:pPr>
      <w:r>
        <w:rPr>
          <w:snapToGrid w:val="0"/>
        </w:rPr>
        <w:tab/>
      </w:r>
      <w:r>
        <w:rPr>
          <w:snapToGrid w:val="0"/>
        </w:rPr>
        <w:tab/>
        <w:t xml:space="preserve">A person shall not stand or attempt to stand a vehicle in a parking space in which another vehicle is standing, but this rule does not prevent the parking of a </w:t>
      </w:r>
      <w:r>
        <w:t xml:space="preserve">motor cycle or motorised scooter </w:t>
      </w:r>
      <w:r>
        <w:rPr>
          <w:snapToGrid w:val="0"/>
        </w:rPr>
        <w:t xml:space="preserve">and a bicycle together in a </w:t>
      </w:r>
      <w:r>
        <w:t>motor cycle space</w:t>
      </w:r>
      <w:r>
        <w:rPr>
          <w:snapToGrid w:val="0"/>
        </w:rPr>
        <w:t xml:space="preserve"> if the </w:t>
      </w:r>
      <w:r>
        <w:t xml:space="preserve">motor cycle or motorised scooter and bicycle are </w:t>
      </w:r>
      <w:r>
        <w:rPr>
          <w:snapToGrid w:val="0"/>
        </w:rPr>
        <w:t>parked in accordance with rule 4(3).</w:t>
      </w:r>
    </w:p>
    <w:p>
      <w:pPr>
        <w:pStyle w:val="Footnotesection"/>
      </w:pPr>
      <w:r>
        <w:tab/>
        <w:t>[Rule 9 amended: Gazette 12 Dec 2003 p. 5045; 5 Nov 2013 p. 4945; 23 Dec 2016 p. 5911.]</w:t>
      </w:r>
    </w:p>
    <w:p>
      <w:pPr>
        <w:pStyle w:val="Heading5"/>
        <w:spacing w:before="180"/>
      </w:pPr>
      <w:bookmarkStart w:id="13" w:name="_Toc470187252"/>
      <w:r>
        <w:rPr>
          <w:rStyle w:val="CharSectno"/>
        </w:rPr>
        <w:t>10</w:t>
      </w:r>
      <w:r>
        <w:t>.</w:t>
      </w:r>
      <w:r>
        <w:tab/>
        <w:t>Loading zone</w:t>
      </w:r>
      <w:bookmarkEnd w:id="13"/>
    </w:p>
    <w:p>
      <w:pPr>
        <w:pStyle w:val="Subsection"/>
        <w:spacing w:before="120"/>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Subsection"/>
      </w:pPr>
      <w:r>
        <w:tab/>
        <w:t>(2)</w:t>
      </w:r>
      <w:r>
        <w:tab/>
        <w:t xml:space="preserve">In this rule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[Rule 10 inserted: Gazette 12 Dec 2003 p. 5043.]</w:t>
      </w:r>
    </w:p>
    <w:p>
      <w:pPr>
        <w:pStyle w:val="Heading5"/>
        <w:rPr>
          <w:snapToGrid w:val="0"/>
        </w:rPr>
      </w:pPr>
      <w:bookmarkStart w:id="14" w:name="_Toc470187253"/>
      <w:r>
        <w:rPr>
          <w:rStyle w:val="CharSectno"/>
        </w:rPr>
        <w:t>11</w:t>
      </w:r>
      <w:r>
        <w:rPr>
          <w:snapToGrid w:val="0"/>
        </w:rPr>
        <w:t>.</w:t>
      </w:r>
      <w:r>
        <w:rPr>
          <w:snapToGrid w:val="0"/>
        </w:rPr>
        <w:tab/>
        <w:t>Designation of parking spaces for vehicles of persons with disability</w:t>
      </w:r>
      <w:bookmarkEnd w:id="14"/>
    </w:p>
    <w:p>
      <w:pPr>
        <w:pStyle w:val="Subsection"/>
      </w:pPr>
      <w:r>
        <w:tab/>
        <w:t>(1)</w:t>
      </w:r>
      <w:r>
        <w:tab/>
        <w:t>A parking space set aside for the parking of vehicles of persons with a disability is to be designated by the symbol described in Australian Standard 1428 as the international symbol for access, displayed in the manner set out in Australian Standard 2890.6.</w:t>
      </w:r>
    </w:p>
    <w:p>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pPr>
        <w:pStyle w:val="Footnotesection"/>
      </w:pPr>
      <w:r>
        <w:tab/>
        <w:t>[Rule 11 amended: Gazette 5 Nov 2013 p. 4945.]</w:t>
      </w:r>
    </w:p>
    <w:p>
      <w:pPr>
        <w:pStyle w:val="Heading5"/>
      </w:pPr>
      <w:bookmarkStart w:id="15" w:name="_Toc470187254"/>
      <w:r>
        <w:rPr>
          <w:rStyle w:val="CharSectno"/>
        </w:rPr>
        <w:t>12</w:t>
      </w:r>
      <w:r>
        <w:t>.</w:t>
      </w:r>
      <w:r>
        <w:tab/>
        <w:t>Disabled parking</w:t>
      </w:r>
      <w:bookmarkEnd w:id="15"/>
    </w:p>
    <w:p>
      <w:pPr>
        <w:pStyle w:val="Subsection"/>
      </w:pPr>
      <w:r>
        <w:tab/>
        <w:t>(1)</w:t>
      </w:r>
      <w:r>
        <w:tab/>
        <w:t xml:space="preserve">A person must not park or stand a vehicle in an area designated for the parking or standing of vehicles of disabled persons unless — </w:t>
      </w:r>
    </w:p>
    <w:p>
      <w:pPr>
        <w:pStyle w:val="Indenta"/>
      </w:pPr>
      <w:r>
        <w:tab/>
        <w:t>(a)</w:t>
      </w:r>
      <w:r>
        <w:tab/>
        <w:t>a disabled person is the driver of, or a passenger in, the vehicle; and</w:t>
      </w:r>
    </w:p>
    <w:p>
      <w:pPr>
        <w:pStyle w:val="Indenta"/>
      </w:pPr>
      <w:r>
        <w:tab/>
        <w:t>(b)</w:t>
      </w:r>
      <w:r>
        <w:tab/>
        <w:t>the vehicle is identified in accordance with rule 11(2).</w:t>
      </w:r>
    </w:p>
    <w:p>
      <w:pPr>
        <w:pStyle w:val="Subsection"/>
      </w:pPr>
      <w:r>
        <w:tab/>
        <w:t>(2)</w:t>
      </w:r>
      <w:r>
        <w:tab/>
        <w:t>If a person parks or stands a vehicle of a disabled person in a paid parking station, other than in an area designated for the parking or standing of vehicles of disabled persons, the person must pay any applicable charge in accordance with rule 14.</w:t>
      </w:r>
    </w:p>
    <w:p>
      <w:pPr>
        <w:pStyle w:val="Footnotesection"/>
      </w:pPr>
      <w:r>
        <w:tab/>
        <w:t>[Rule 12 inserted: Gazette 23 Dec 2016 p. 5911.]</w:t>
      </w:r>
    </w:p>
    <w:p>
      <w:pPr>
        <w:pStyle w:val="Heading5"/>
        <w:rPr>
          <w:snapToGrid w:val="0"/>
        </w:rPr>
      </w:pPr>
      <w:bookmarkStart w:id="16" w:name="_Toc470187255"/>
      <w:r>
        <w:rPr>
          <w:rStyle w:val="CharSectno"/>
        </w:rPr>
        <w:t>13</w:t>
      </w:r>
      <w:r>
        <w:rPr>
          <w:snapToGrid w:val="0"/>
        </w:rPr>
        <w:t>.</w:t>
      </w:r>
      <w:r>
        <w:rPr>
          <w:snapToGrid w:val="0"/>
        </w:rPr>
        <w:tab/>
        <w:t>Offence</w:t>
      </w:r>
      <w:bookmarkEnd w:id="16"/>
      <w:r>
        <w:rPr>
          <w:snapToGrid w:val="0"/>
        </w:rPr>
        <w:t xml:space="preserve"> </w:t>
      </w:r>
    </w:p>
    <w:p>
      <w:pPr>
        <w:pStyle w:val="Subsection"/>
        <w:keepNext/>
        <w:rPr>
          <w:snapToGrid w:val="0"/>
        </w:rPr>
      </w:pPr>
      <w:r>
        <w:rPr>
          <w:snapToGrid w:val="0"/>
        </w:rPr>
        <w:tab/>
      </w:r>
      <w:r>
        <w:rPr>
          <w:snapToGrid w:val="0"/>
        </w:rPr>
        <w:tab/>
        <w:t>A person other than a disabled person shall not identify or purport to identify a vehicle in accordance with rule 11(2).</w:t>
      </w:r>
    </w:p>
    <w:p>
      <w:pPr>
        <w:pStyle w:val="Footnotesection"/>
      </w:pPr>
      <w:r>
        <w:tab/>
        <w:t>[Rule 13 amended: Gazette 12 Dec 2003 p. 5045.]</w:t>
      </w:r>
    </w:p>
    <w:p>
      <w:pPr>
        <w:pStyle w:val="Heading5"/>
      </w:pPr>
      <w:bookmarkStart w:id="17" w:name="_Toc470187256"/>
      <w:r>
        <w:rPr>
          <w:rStyle w:val="CharSectno"/>
        </w:rPr>
        <w:t>14</w:t>
      </w:r>
      <w:r>
        <w:t>.</w:t>
      </w:r>
      <w:r>
        <w:tab/>
        <w:t>Parking charges</w:t>
      </w:r>
      <w:bookmarkEnd w:id="17"/>
    </w:p>
    <w:p>
      <w:pPr>
        <w:pStyle w:val="Subsection"/>
      </w:pPr>
      <w:r>
        <w:tab/>
        <w:t>(1)</w:t>
      </w:r>
      <w:r>
        <w:tab/>
        <w:t xml:space="preserve">In this rule — </w:t>
      </w:r>
    </w:p>
    <w:p>
      <w:pPr>
        <w:pStyle w:val="Defstart"/>
      </w:pPr>
      <w:r>
        <w:rPr>
          <w:b/>
        </w:rPr>
        <w:tab/>
      </w:r>
      <w:r>
        <w:rPr>
          <w:rStyle w:val="CharDefText"/>
        </w:rPr>
        <w:t>ticket vending machine</w:t>
      </w:r>
      <w:r>
        <w:t xml:space="preserve"> means a machine at a paid parking station which, following payment by note, coin, card or token, issues a parking ticket for parking at the station.</w:t>
      </w:r>
    </w:p>
    <w:p>
      <w:pPr>
        <w:pStyle w:val="Subsection"/>
      </w:pPr>
      <w:r>
        <w:tab/>
        <w:t>(2)</w:t>
      </w:r>
      <w:r>
        <w:tab/>
        <w:t xml:space="preserve">A person must not park a vehicle in a paid parking station at any time when a charge applies unless the charge set out in Schedule 1 item 1(1) for the relevant time — </w:t>
      </w:r>
    </w:p>
    <w:p>
      <w:pPr>
        <w:pStyle w:val="Indenta"/>
      </w:pPr>
      <w:r>
        <w:tab/>
        <w:t>(a)</w:t>
      </w:r>
      <w:r>
        <w:tab/>
        <w:t>has been paid into a ticket vending machine and, during the relevant time, a parking ticket issued from the ticket vending machine is displayed in accordance with subrule (3); or</w:t>
      </w:r>
    </w:p>
    <w:p>
      <w:pPr>
        <w:pStyle w:val="Indenta"/>
      </w:pPr>
      <w:r>
        <w:tab/>
        <w:t>(b)</w:t>
      </w:r>
      <w:r>
        <w:tab/>
        <w:t>has been paid to the Authority in an alternative manner approved by the Authority under subrule (4).</w:t>
      </w:r>
    </w:p>
    <w:p>
      <w:pPr>
        <w:pStyle w:val="Subsection"/>
      </w:pPr>
      <w:r>
        <w:tab/>
        <w:t>(3)</w:t>
      </w:r>
      <w:r>
        <w:tab/>
        <w:t>The ticket must be displayed so that the date and an expiry time for permitted parking are clearly visible from outside the vehicle.</w:t>
      </w:r>
    </w:p>
    <w:p>
      <w:pPr>
        <w:pStyle w:val="Subsection"/>
      </w:pPr>
      <w:r>
        <w:tab/>
        <w:t>(4)</w:t>
      </w:r>
      <w:r>
        <w:tab/>
        <w:t xml:space="preserve">The Authority may approve an alternative manner of payment for the purposes of this rule by notice published in the </w:t>
      </w:r>
      <w:r>
        <w:rPr>
          <w:i/>
        </w:rPr>
        <w:t>Gazette</w:t>
      </w:r>
      <w:r>
        <w:t>.</w:t>
      </w:r>
    </w:p>
    <w:p>
      <w:pPr>
        <w:pStyle w:val="Footnotesection"/>
      </w:pPr>
      <w:r>
        <w:tab/>
        <w:t>[Rule 14 inserted: Gazette 5 Nov 2013 p. 4945-6; amended: Gazette 23 Dec 2016 p. 5911.]</w:t>
      </w:r>
    </w:p>
    <w:p>
      <w:pPr>
        <w:pStyle w:val="Heading5"/>
        <w:rPr>
          <w:snapToGrid w:val="0"/>
        </w:rPr>
      </w:pPr>
      <w:bookmarkStart w:id="18" w:name="_Toc470187257"/>
      <w:r>
        <w:rPr>
          <w:rStyle w:val="CharSectno"/>
        </w:rPr>
        <w:t>15</w:t>
      </w:r>
      <w:r>
        <w:rPr>
          <w:snapToGrid w:val="0"/>
        </w:rPr>
        <w:t>.</w:t>
      </w:r>
      <w:r>
        <w:rPr>
          <w:snapToGrid w:val="0"/>
        </w:rPr>
        <w:tab/>
        <w:t>Payment of charge</w:t>
      </w:r>
      <w:bookmarkEnd w:id="18"/>
    </w:p>
    <w:p>
      <w:pPr>
        <w:pStyle w:val="Subsection"/>
        <w:rPr>
          <w:snapToGrid w:val="0"/>
        </w:rPr>
      </w:pPr>
      <w:r>
        <w:rPr>
          <w:snapToGrid w:val="0"/>
        </w:rPr>
        <w:tab/>
      </w:r>
      <w:r>
        <w:rPr>
          <w:snapToGrid w:val="0"/>
        </w:rPr>
        <w:tab/>
        <w:t xml:space="preserve">A person shall not remove a vehicle which has been parked in a </w:t>
      </w:r>
      <w:r>
        <w:t xml:space="preserve">paid </w:t>
      </w:r>
      <w:r>
        <w:rPr>
          <w:snapToGrid w:val="0"/>
        </w:rPr>
        <w:t xml:space="preserve">parking station until there has been paid the </w:t>
      </w:r>
      <w:r>
        <w:t xml:space="preserve">charge </w:t>
      </w:r>
      <w:r>
        <w:rPr>
          <w:snapToGrid w:val="0"/>
        </w:rPr>
        <w:t>appropriate to the period for which the vehicle has been parked.</w:t>
      </w:r>
    </w:p>
    <w:p>
      <w:pPr>
        <w:pStyle w:val="Footnotesection"/>
      </w:pPr>
      <w:r>
        <w:tab/>
        <w:t>[Rule 15 amended: Gazette 5 Nov 2013 p. 4946.]</w:t>
      </w:r>
    </w:p>
    <w:p>
      <w:pPr>
        <w:pStyle w:val="Heading5"/>
        <w:rPr>
          <w:snapToGrid w:val="0"/>
        </w:rPr>
      </w:pPr>
      <w:bookmarkStart w:id="19" w:name="_Toc470187258"/>
      <w:r>
        <w:rPr>
          <w:rStyle w:val="CharSectno"/>
        </w:rPr>
        <w:t>16</w:t>
      </w:r>
      <w:r>
        <w:rPr>
          <w:snapToGrid w:val="0"/>
        </w:rPr>
        <w:t>.</w:t>
      </w:r>
      <w:r>
        <w:rPr>
          <w:snapToGrid w:val="0"/>
        </w:rPr>
        <w:tab/>
        <w:t>Receipt</w:t>
      </w:r>
      <w:bookmarkEnd w:id="19"/>
      <w:r>
        <w:rPr>
          <w:snapToGrid w:val="0"/>
        </w:rPr>
        <w:t xml:space="preserve"> </w:t>
      </w:r>
    </w:p>
    <w:p>
      <w:pPr>
        <w:pStyle w:val="Subsection"/>
        <w:rPr>
          <w:snapToGrid w:val="0"/>
        </w:rPr>
      </w:pPr>
      <w:r>
        <w:rPr>
          <w:snapToGrid w:val="0"/>
        </w:rPr>
        <w:tab/>
      </w:r>
      <w:r>
        <w:rPr>
          <w:snapToGrid w:val="0"/>
        </w:rPr>
        <w:tab/>
        <w:t xml:space="preserve">A person paying a </w:t>
      </w:r>
      <w:r>
        <w:t xml:space="preserve">charge </w:t>
      </w:r>
      <w:r>
        <w:rPr>
          <w:snapToGrid w:val="0"/>
        </w:rPr>
        <w:t xml:space="preserve">at a </w:t>
      </w:r>
      <w:r>
        <w:t xml:space="preserve">paid </w:t>
      </w:r>
      <w:r>
        <w:rPr>
          <w:snapToGrid w:val="0"/>
        </w:rPr>
        <w:t>parking station shall be entitled to receive a receipt showing the period of parking covered by the payment.</w:t>
      </w:r>
    </w:p>
    <w:p>
      <w:pPr>
        <w:pStyle w:val="Footnotesection"/>
      </w:pPr>
      <w:r>
        <w:tab/>
        <w:t>[Rule 16 amended: Gazette 5 Nov 2013 p. 4946.]</w:t>
      </w:r>
    </w:p>
    <w:p>
      <w:pPr>
        <w:pStyle w:val="Heading5"/>
        <w:rPr>
          <w:snapToGrid w:val="0"/>
        </w:rPr>
      </w:pPr>
      <w:bookmarkStart w:id="20" w:name="_Toc470187259"/>
      <w:r>
        <w:rPr>
          <w:rStyle w:val="CharSectno"/>
        </w:rPr>
        <w:t>17</w:t>
      </w:r>
      <w:r>
        <w:rPr>
          <w:snapToGrid w:val="0"/>
        </w:rPr>
        <w:t>.</w:t>
      </w:r>
      <w:r>
        <w:rPr>
          <w:snapToGrid w:val="0"/>
        </w:rPr>
        <w:tab/>
        <w:t>Production of receipt</w:t>
      </w:r>
      <w:bookmarkEnd w:id="20"/>
      <w:r>
        <w:rPr>
          <w:snapToGrid w:val="0"/>
        </w:rPr>
        <w:t xml:space="preserve"> </w:t>
      </w:r>
    </w:p>
    <w:p>
      <w:pPr>
        <w:pStyle w:val="Subsection"/>
        <w:rPr>
          <w:snapToGrid w:val="0"/>
        </w:rPr>
      </w:pPr>
      <w:r>
        <w:rPr>
          <w:snapToGrid w:val="0"/>
        </w:rPr>
        <w:tab/>
      </w:r>
      <w:r>
        <w:rPr>
          <w:snapToGrid w:val="0"/>
        </w:rPr>
        <w:tab/>
        <w:t xml:space="preserve">A driver of a vehicle in a </w:t>
      </w:r>
      <w:r>
        <w:t xml:space="preserve">paid </w:t>
      </w:r>
      <w:r>
        <w:rPr>
          <w:snapToGrid w:val="0"/>
        </w:rPr>
        <w:t xml:space="preserve">parking station shall, on demand, produce to an authorised person a receipt showing that the appropriate parking </w:t>
      </w:r>
      <w:r>
        <w:t xml:space="preserve">charge </w:t>
      </w:r>
      <w:r>
        <w:rPr>
          <w:snapToGrid w:val="0"/>
        </w:rPr>
        <w:t>has been paid in respect of that vehicle.</w:t>
      </w:r>
    </w:p>
    <w:p>
      <w:pPr>
        <w:pStyle w:val="Footnotesection"/>
      </w:pPr>
      <w:r>
        <w:tab/>
        <w:t>[Rule 17 amended: Gazette 5 Nov 2013 p. 4946.]</w:t>
      </w:r>
    </w:p>
    <w:p>
      <w:pPr>
        <w:pStyle w:val="Heading5"/>
      </w:pPr>
      <w:bookmarkStart w:id="21" w:name="_Toc470187260"/>
      <w:r>
        <w:rPr>
          <w:rStyle w:val="CharSectno"/>
        </w:rPr>
        <w:t>18A</w:t>
      </w:r>
      <w:r>
        <w:t>.</w:t>
      </w:r>
      <w:r>
        <w:tab/>
        <w:t>Removing vehicle from secured parking station between designated hours</w:t>
      </w:r>
      <w:bookmarkEnd w:id="21"/>
    </w:p>
    <w:p>
      <w:pPr>
        <w:pStyle w:val="Subsection"/>
        <w:spacing w:before="120"/>
      </w:pPr>
      <w:r>
        <w:tab/>
        <w:t>(1)</w:t>
      </w:r>
      <w:r>
        <w:tab/>
        <w:t>A person who wishes to remove a vehicle from a secured parking station between the designated hours must pay to the Authority the charge set out in Schedule 1 item 2A to have the gate to the secured parking station unlocked and opened during those hours.</w:t>
      </w:r>
    </w:p>
    <w:p>
      <w:pPr>
        <w:pStyle w:val="Subsection"/>
        <w:spacing w:before="120"/>
      </w:pPr>
      <w:r>
        <w:tab/>
        <w:t>(2)</w:t>
      </w:r>
      <w:r>
        <w:tab/>
        <w:t>The Authority may reduce, waive or refund, in whole or in part, the charge prescribed under subrule (1) in a particular case.</w:t>
      </w:r>
    </w:p>
    <w:p>
      <w:pPr>
        <w:pStyle w:val="Footnotesection"/>
      </w:pPr>
      <w:r>
        <w:tab/>
        <w:t>[Rule 18A inserted: Gazette 5 Nov 2013 p. 4947.]</w:t>
      </w:r>
    </w:p>
    <w:p>
      <w:pPr>
        <w:pStyle w:val="Heading5"/>
        <w:rPr>
          <w:snapToGrid w:val="0"/>
        </w:rPr>
      </w:pPr>
      <w:bookmarkStart w:id="22" w:name="_Toc470187261"/>
      <w:r>
        <w:rPr>
          <w:rStyle w:val="CharSectno"/>
        </w:rPr>
        <w:t>18</w:t>
      </w:r>
      <w:r>
        <w:rPr>
          <w:snapToGrid w:val="0"/>
        </w:rPr>
        <w:t>.</w:t>
      </w:r>
      <w:r>
        <w:rPr>
          <w:snapToGrid w:val="0"/>
        </w:rPr>
        <w:tab/>
        <w:t>Removal of vehicles from parking station by Authority</w:t>
      </w:r>
      <w:bookmarkEnd w:id="22"/>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is left in a part of the parking station in such a manner as to obstruct the proper use of the parking station; or</w:t>
      </w:r>
    </w:p>
    <w:p>
      <w:pPr>
        <w:pStyle w:val="Indenta"/>
        <w:rPr>
          <w:snapToGrid w:val="0"/>
        </w:rPr>
      </w:pPr>
      <w:r>
        <w:rPr>
          <w:snapToGrid w:val="0"/>
        </w:rPr>
        <w:tab/>
        <w:t>(b)</w:t>
      </w:r>
      <w:r>
        <w:rPr>
          <w:snapToGrid w:val="0"/>
        </w:rPr>
        <w:tab/>
        <w:t>a vehicle is left in a parking station for a period in excess of 24 </w:t>
      </w:r>
      <w:r>
        <w:t>hours,</w:t>
      </w:r>
    </w:p>
    <w:p>
      <w:pPr>
        <w:pStyle w:val="Subsection"/>
        <w:rPr>
          <w:snapToGrid w:val="0"/>
        </w:rPr>
      </w:pPr>
      <w:r>
        <w:rPr>
          <w:snapToGrid w:val="0"/>
        </w:rPr>
        <w:tab/>
      </w:r>
      <w:r>
        <w:rPr>
          <w:snapToGrid w:val="0"/>
        </w:rPr>
        <w:tab/>
        <w:t>an officer or servant of the Authority may remove the vehicle to a place appointed by the Authority.</w:t>
      </w:r>
    </w:p>
    <w:p>
      <w:pPr>
        <w:pStyle w:val="Subsection"/>
        <w:rPr>
          <w:snapToGrid w:val="0"/>
        </w:rPr>
      </w:pPr>
      <w:r>
        <w:rPr>
          <w:snapToGrid w:val="0"/>
        </w:rPr>
        <w:tab/>
        <w:t>(2)</w:t>
      </w:r>
      <w:r>
        <w:rPr>
          <w:snapToGrid w:val="0"/>
        </w:rPr>
        <w:tab/>
        <w:t>The Authority is to cause a record to be kept of each vehicle removed under this rule including — </w:t>
      </w:r>
    </w:p>
    <w:p>
      <w:pPr>
        <w:pStyle w:val="Indenta"/>
        <w:rPr>
          <w:snapToGrid w:val="0"/>
        </w:rPr>
      </w:pPr>
      <w:r>
        <w:rPr>
          <w:snapToGrid w:val="0"/>
        </w:rPr>
        <w:tab/>
        <w:t>(a)</w:t>
      </w:r>
      <w:r>
        <w:rPr>
          <w:snapToGrid w:val="0"/>
        </w:rPr>
        <w:tab/>
        <w:t>a description of the vehicle;</w:t>
      </w:r>
    </w:p>
    <w:p>
      <w:pPr>
        <w:pStyle w:val="Indenta"/>
        <w:rPr>
          <w:snapToGrid w:val="0"/>
        </w:rPr>
      </w:pPr>
      <w:r>
        <w:rPr>
          <w:snapToGrid w:val="0"/>
        </w:rPr>
        <w:tab/>
        <w:t>(b)</w:t>
      </w:r>
      <w:r>
        <w:rPr>
          <w:snapToGrid w:val="0"/>
        </w:rPr>
        <w:tab/>
        <w:t>details of the date and time of removal; and</w:t>
      </w:r>
    </w:p>
    <w:p>
      <w:pPr>
        <w:pStyle w:val="Indenta"/>
        <w:rPr>
          <w:snapToGrid w:val="0"/>
        </w:rPr>
      </w:pPr>
      <w:r>
        <w:rPr>
          <w:snapToGrid w:val="0"/>
        </w:rPr>
        <w:tab/>
        <w:t>(c)</w:t>
      </w:r>
      <w:r>
        <w:rPr>
          <w:snapToGrid w:val="0"/>
        </w:rPr>
        <w:tab/>
        <w:t>details of the place from which the vehicle was removed.</w:t>
      </w:r>
    </w:p>
    <w:p>
      <w:pPr>
        <w:pStyle w:val="Subsection"/>
        <w:rPr>
          <w:snapToGrid w:val="0"/>
        </w:rPr>
      </w:pPr>
      <w:r>
        <w:rPr>
          <w:snapToGrid w:val="0"/>
        </w:rPr>
        <w:tab/>
        <w:t>(3)</w:t>
      </w:r>
      <w:r>
        <w:rPr>
          <w:snapToGrid w:val="0"/>
        </w:rPr>
        <w:tab/>
        <w:t>Where a vehicle has been removed under this rule — </w:t>
      </w:r>
    </w:p>
    <w:p>
      <w:pPr>
        <w:pStyle w:val="Indenta"/>
        <w:rPr>
          <w:snapToGrid w:val="0"/>
        </w:rPr>
      </w:pPr>
      <w:r>
        <w:rPr>
          <w:snapToGrid w:val="0"/>
        </w:rPr>
        <w:tab/>
        <w:t>(a)</w:t>
      </w:r>
      <w:r>
        <w:rPr>
          <w:snapToGrid w:val="0"/>
        </w:rPr>
        <w:tab/>
        <w:t>the vehicle may be recovered on payment of the charges prescribed in item 2 of Schedule 1; and</w:t>
      </w:r>
    </w:p>
    <w:p>
      <w:pPr>
        <w:pStyle w:val="Indenta"/>
        <w:rPr>
          <w:snapToGrid w:val="0"/>
        </w:rPr>
      </w:pPr>
      <w:r>
        <w:rPr>
          <w:snapToGrid w:val="0"/>
        </w:rPr>
        <w:tab/>
        <w:t>(b)</w:t>
      </w:r>
      <w:r>
        <w:rPr>
          <w:snapToGrid w:val="0"/>
        </w:rPr>
        <w:tab/>
        <w:t>the Authority may hold the vehicle until the charges prescribed in item 2 of Schedule 1 have been paid.</w:t>
      </w:r>
    </w:p>
    <w:p>
      <w:pPr>
        <w:pStyle w:val="Footnotesection"/>
      </w:pPr>
      <w:r>
        <w:tab/>
        <w:t xml:space="preserve">[Rule 18 amended: Gazette 12 Dec 2003 p. 5044 and 5045; 5 Nov 2013 p. 4947.] </w:t>
      </w:r>
    </w:p>
    <w:p>
      <w:pPr>
        <w:pStyle w:val="Heading5"/>
        <w:rPr>
          <w:snapToGrid w:val="0"/>
        </w:rPr>
      </w:pPr>
      <w:bookmarkStart w:id="23" w:name="_Toc470187262"/>
      <w:r>
        <w:rPr>
          <w:rStyle w:val="CharSectno"/>
        </w:rPr>
        <w:t>19</w:t>
      </w:r>
      <w:r>
        <w:rPr>
          <w:snapToGrid w:val="0"/>
        </w:rPr>
        <w:t>.</w:t>
      </w:r>
      <w:r>
        <w:rPr>
          <w:snapToGrid w:val="0"/>
        </w:rPr>
        <w:tab/>
        <w:t>Appointment of authorised persons</w:t>
      </w:r>
      <w:bookmarkEnd w:id="23"/>
      <w:r>
        <w:rPr>
          <w:snapToGrid w:val="0"/>
        </w:rPr>
        <w:t xml:space="preserve"> </w:t>
      </w:r>
    </w:p>
    <w:p>
      <w:pPr>
        <w:pStyle w:val="Subsection"/>
        <w:rPr>
          <w:snapToGrid w:val="0"/>
        </w:rPr>
      </w:pPr>
      <w:r>
        <w:rPr>
          <w:snapToGrid w:val="0"/>
        </w:rPr>
        <w:tab/>
        <w:t>(1)</w:t>
      </w:r>
      <w:r>
        <w:rPr>
          <w:snapToGrid w:val="0"/>
        </w:rPr>
        <w:tab/>
        <w:t>The Authority may appoint persons to control parking in a parking station.</w:t>
      </w:r>
    </w:p>
    <w:p>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pPr>
        <w:pStyle w:val="Footnotesection"/>
      </w:pPr>
      <w:r>
        <w:tab/>
        <w:t>[Rule 19 amended: Gazette 12 Dec 2003 p. 5044.]</w:t>
      </w:r>
    </w:p>
    <w:p>
      <w:pPr>
        <w:pStyle w:val="Heading5"/>
        <w:rPr>
          <w:snapToGrid w:val="0"/>
        </w:rPr>
      </w:pPr>
      <w:bookmarkStart w:id="24" w:name="_Toc470187263"/>
      <w:r>
        <w:rPr>
          <w:rStyle w:val="CharSectno"/>
        </w:rPr>
        <w:t>20</w:t>
      </w:r>
      <w:r>
        <w:rPr>
          <w:snapToGrid w:val="0"/>
        </w:rPr>
        <w:t>.</w:t>
      </w:r>
      <w:r>
        <w:rPr>
          <w:snapToGrid w:val="0"/>
        </w:rPr>
        <w:tab/>
        <w:t>Personation of authorised person</w:t>
      </w:r>
      <w:bookmarkEnd w:id="24"/>
      <w:r>
        <w:rPr>
          <w:snapToGrid w:val="0"/>
        </w:rPr>
        <w:t xml:space="preserve"> </w:t>
      </w:r>
    </w:p>
    <w:p>
      <w:pPr>
        <w:pStyle w:val="Subsection"/>
        <w:rPr>
          <w:snapToGrid w:val="0"/>
        </w:rPr>
      </w:pPr>
      <w:r>
        <w:rPr>
          <w:snapToGrid w:val="0"/>
        </w:rPr>
        <w:tab/>
      </w:r>
      <w:r>
        <w:rPr>
          <w:snapToGrid w:val="0"/>
        </w:rPr>
        <w:tab/>
        <w:t>A person who is not an authorised person shall not in any way assume the duties of or personate an authorised person.</w:t>
      </w:r>
    </w:p>
    <w:p>
      <w:pPr>
        <w:pStyle w:val="Heading5"/>
        <w:rPr>
          <w:snapToGrid w:val="0"/>
        </w:rPr>
      </w:pPr>
      <w:bookmarkStart w:id="25" w:name="_Toc470187264"/>
      <w:r>
        <w:rPr>
          <w:rStyle w:val="CharSectno"/>
        </w:rPr>
        <w:t>21</w:t>
      </w:r>
      <w:r>
        <w:rPr>
          <w:snapToGrid w:val="0"/>
        </w:rPr>
        <w:t>.</w:t>
      </w:r>
      <w:r>
        <w:rPr>
          <w:snapToGrid w:val="0"/>
        </w:rPr>
        <w:tab/>
        <w:t>Obstruction of authorised person</w:t>
      </w:r>
      <w:bookmarkEnd w:id="25"/>
      <w:r>
        <w:rPr>
          <w:snapToGrid w:val="0"/>
        </w:rPr>
        <w:t xml:space="preserve"> </w:t>
      </w:r>
    </w:p>
    <w:p>
      <w:pPr>
        <w:pStyle w:val="Subsection"/>
        <w:spacing w:before="120"/>
        <w:rPr>
          <w:snapToGrid w:val="0"/>
        </w:rPr>
      </w:pPr>
      <w:r>
        <w:rPr>
          <w:snapToGrid w:val="0"/>
        </w:rPr>
        <w:tab/>
      </w:r>
      <w:r>
        <w:rPr>
          <w:snapToGrid w:val="0"/>
        </w:rPr>
        <w:tab/>
        <w:t xml:space="preserve">A person shall not </w:t>
      </w:r>
      <w:r>
        <w:t>in</w:t>
      </w:r>
      <w:r>
        <w:rPr>
          <w:snapToGrid w:val="0"/>
        </w:rPr>
        <w:t xml:space="preserve"> any way obstruct or hinder an authorised person in the execution of his or her duty.</w:t>
      </w:r>
    </w:p>
    <w:p>
      <w:pPr>
        <w:pStyle w:val="Footnotesection"/>
      </w:pPr>
      <w:r>
        <w:tab/>
        <w:t>[Rule 21 amended: Gazette 5 Nov 2013 p. 4947.]</w:t>
      </w:r>
    </w:p>
    <w:p>
      <w:pPr>
        <w:pStyle w:val="Heading5"/>
        <w:rPr>
          <w:snapToGrid w:val="0"/>
        </w:rPr>
      </w:pPr>
      <w:bookmarkStart w:id="26" w:name="_Toc470187265"/>
      <w:r>
        <w:rPr>
          <w:rStyle w:val="CharSectno"/>
        </w:rPr>
        <w:t>22</w:t>
      </w:r>
      <w:r>
        <w:rPr>
          <w:snapToGrid w:val="0"/>
        </w:rPr>
        <w:t>.</w:t>
      </w:r>
      <w:r>
        <w:rPr>
          <w:snapToGrid w:val="0"/>
        </w:rPr>
        <w:tab/>
        <w:t>Powers of authorised person</w:t>
      </w:r>
      <w:bookmarkEnd w:id="26"/>
      <w:r>
        <w:rPr>
          <w:snapToGrid w:val="0"/>
        </w:rPr>
        <w:t xml:space="preserve"> </w:t>
      </w:r>
    </w:p>
    <w:p>
      <w:pPr>
        <w:pStyle w:val="Subsection"/>
        <w:rPr>
          <w:snapToGrid w:val="0"/>
        </w:rPr>
      </w:pPr>
      <w:r>
        <w:rPr>
          <w:snapToGrid w:val="0"/>
        </w:rPr>
        <w:tab/>
      </w:r>
      <w:r>
        <w:rPr>
          <w:snapToGrid w:val="0"/>
        </w:rPr>
        <w:tab/>
        <w:t>Authorised persons are authorised — </w:t>
      </w:r>
    </w:p>
    <w:p>
      <w:pPr>
        <w:pStyle w:val="Indenta"/>
        <w:rPr>
          <w:snapToGrid w:val="0"/>
        </w:rPr>
      </w:pPr>
      <w:r>
        <w:rPr>
          <w:snapToGrid w:val="0"/>
        </w:rPr>
        <w:tab/>
        <w:t>(a)</w:t>
      </w:r>
      <w:r>
        <w:rPr>
          <w:snapToGrid w:val="0"/>
        </w:rPr>
        <w:tab/>
        <w:t>to carry into effect the provisions of this by</w:t>
      </w:r>
      <w:r>
        <w:rPr>
          <w:snapToGrid w:val="0"/>
        </w:rPr>
        <w:noBreakHyphen/>
        <w:t>law;</w:t>
      </w:r>
    </w:p>
    <w:p>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pPr>
        <w:pStyle w:val="Indenta"/>
        <w:rPr>
          <w:snapToGrid w:val="0"/>
        </w:rPr>
      </w:pPr>
      <w:r>
        <w:rPr>
          <w:snapToGrid w:val="0"/>
        </w:rPr>
        <w:tab/>
        <w:t>(c)</w:t>
      </w:r>
      <w:r>
        <w:rPr>
          <w:snapToGrid w:val="0"/>
        </w:rPr>
        <w:tab/>
        <w:t>to recommend to the Authority the institution of prosecutions.</w:t>
      </w:r>
    </w:p>
    <w:p>
      <w:pPr>
        <w:pStyle w:val="Footnotesection"/>
      </w:pPr>
      <w:r>
        <w:tab/>
        <w:t xml:space="preserve">[Rule 22 amended: Gazette 12 Dec 2003 p. 5044.] </w:t>
      </w:r>
    </w:p>
    <w:p>
      <w:pPr>
        <w:pStyle w:val="Heading5"/>
        <w:rPr>
          <w:snapToGrid w:val="0"/>
        </w:rPr>
      </w:pPr>
      <w:bookmarkStart w:id="27" w:name="_Toc470187266"/>
      <w:r>
        <w:rPr>
          <w:rStyle w:val="CharSectno"/>
        </w:rPr>
        <w:t>23</w:t>
      </w:r>
      <w:r>
        <w:rPr>
          <w:snapToGrid w:val="0"/>
        </w:rPr>
        <w:t>.</w:t>
      </w:r>
      <w:r>
        <w:rPr>
          <w:snapToGrid w:val="0"/>
        </w:rPr>
        <w:tab/>
        <w:t>Responsible person to reveal identity of driver</w:t>
      </w:r>
      <w:bookmarkEnd w:id="27"/>
    </w:p>
    <w:p>
      <w:pPr>
        <w:pStyle w:val="Subsection"/>
        <w:rPr>
          <w:snapToGrid w:val="0"/>
        </w:rPr>
      </w:pPr>
      <w:r>
        <w:rPr>
          <w:snapToGrid w:val="0"/>
        </w:rPr>
        <w:tab/>
        <w:t>(1)</w:t>
      </w:r>
      <w:r>
        <w:rPr>
          <w:snapToGrid w:val="0"/>
        </w:rPr>
        <w:tab/>
        <w:t xml:space="preserve">The </w:t>
      </w:r>
      <w:r>
        <w:t>responsible person for</w:t>
      </w:r>
      <w:r>
        <w:rPr>
          <w:snapToGrid w:val="0"/>
        </w:rPr>
        <w:t xml:space="preserve">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 </w:t>
      </w:r>
    </w:p>
    <w:p>
      <w:pPr>
        <w:pStyle w:val="Indenta"/>
        <w:rPr>
          <w:snapToGrid w:val="0"/>
        </w:rPr>
      </w:pPr>
      <w:r>
        <w:rPr>
          <w:snapToGrid w:val="0"/>
        </w:rPr>
        <w:tab/>
        <w:t>(a)</w:t>
      </w:r>
      <w:r>
        <w:rPr>
          <w:snapToGrid w:val="0"/>
        </w:rPr>
        <w:tab/>
        <w:t>inform the authorised person of the name and address of the driver of the vehicle at the relevant time; or</w:t>
      </w:r>
    </w:p>
    <w:p>
      <w:pPr>
        <w:pStyle w:val="Indenta"/>
        <w:rPr>
          <w:snapToGrid w:val="0"/>
        </w:rPr>
      </w:pPr>
      <w:r>
        <w:rPr>
          <w:snapToGrid w:val="0"/>
        </w:rPr>
        <w:tab/>
        <w:t>(b)</w:t>
      </w:r>
      <w:r>
        <w:rPr>
          <w:snapToGrid w:val="0"/>
        </w:rPr>
        <w:tab/>
        <w:t>satisfy the authorised person that at the relevant time the vehicle had been stolen or was being unlawfully used,</w:t>
      </w:r>
    </w:p>
    <w:p>
      <w:pPr>
        <w:pStyle w:val="Subsection"/>
        <w:rPr>
          <w:snapToGrid w:val="0"/>
        </w:rPr>
      </w:pPr>
      <w:r>
        <w:rPr>
          <w:snapToGrid w:val="0"/>
        </w:rPr>
        <w:tab/>
      </w:r>
      <w:r>
        <w:rPr>
          <w:snapToGrid w:val="0"/>
        </w:rPr>
        <w:tab/>
        <w:t xml:space="preserve">the </w:t>
      </w:r>
      <w:r>
        <w:t>responsible person is</w:t>
      </w:r>
      <w:r>
        <w:rPr>
          <w:snapToGrid w:val="0"/>
        </w:rPr>
        <w:t>, in the absence of proof to the contrary, deemed to be the driver of the vehicle.</w:t>
      </w:r>
    </w:p>
    <w:p>
      <w:pPr>
        <w:pStyle w:val="Footnotesection"/>
      </w:pPr>
      <w:r>
        <w:tab/>
        <w:t xml:space="preserve">[Rule 23 amended: Gazette 12 Dec 2003 p. 5045; 8 Jan 2015 p. 144.] </w:t>
      </w:r>
    </w:p>
    <w:p>
      <w:pPr>
        <w:pStyle w:val="Heading5"/>
        <w:rPr>
          <w:snapToGrid w:val="0"/>
        </w:rPr>
      </w:pPr>
      <w:bookmarkStart w:id="28" w:name="_Toc470187267"/>
      <w:r>
        <w:rPr>
          <w:rStyle w:val="CharSectno"/>
        </w:rPr>
        <w:t>24</w:t>
      </w:r>
      <w:r>
        <w:rPr>
          <w:snapToGrid w:val="0"/>
        </w:rPr>
        <w:t>.</w:t>
      </w:r>
      <w:r>
        <w:rPr>
          <w:snapToGrid w:val="0"/>
        </w:rPr>
        <w:tab/>
        <w:t>Erection of signs</w:t>
      </w:r>
      <w:bookmarkEnd w:id="28"/>
      <w:r>
        <w:rPr>
          <w:snapToGrid w:val="0"/>
        </w:rPr>
        <w:t xml:space="preserve"> </w:t>
      </w:r>
    </w:p>
    <w:p>
      <w:pPr>
        <w:pStyle w:val="Subsection"/>
        <w:rPr>
          <w:snapToGrid w:val="0"/>
        </w:rPr>
      </w:pPr>
      <w:r>
        <w:rPr>
          <w:snapToGrid w:val="0"/>
        </w:rPr>
        <w:tab/>
      </w:r>
      <w:r>
        <w:rPr>
          <w:snapToGrid w:val="0"/>
        </w:rPr>
        <w:tab/>
        <w:t>A person shall not, without the authority of the Authority — </w:t>
      </w:r>
    </w:p>
    <w:p>
      <w:pPr>
        <w:pStyle w:val="Indenta"/>
        <w:rPr>
          <w:snapToGrid w:val="0"/>
        </w:rPr>
      </w:pPr>
      <w:r>
        <w:rPr>
          <w:snapToGrid w:val="0"/>
        </w:rPr>
        <w:tab/>
        <w:t>(a)</w:t>
      </w:r>
      <w:r>
        <w:rPr>
          <w:snapToGrid w:val="0"/>
        </w:rPr>
        <w:tab/>
      </w:r>
      <w:r>
        <w:t xml:space="preserve">place </w:t>
      </w:r>
      <w:r>
        <w:rPr>
          <w:snapToGrid w:val="0"/>
        </w:rPr>
        <w:t xml:space="preserve">any sign purporting to be or resembling a sign </w:t>
      </w:r>
      <w:r>
        <w:t xml:space="preserve">placed </w:t>
      </w:r>
      <w:r>
        <w:rPr>
          <w:snapToGrid w:val="0"/>
        </w:rPr>
        <w:t>by the Authority under the authority of this by</w:t>
      </w:r>
      <w:r>
        <w:rPr>
          <w:snapToGrid w:val="0"/>
        </w:rPr>
        <w:noBreakHyphen/>
        <w:t>law; or</w:t>
      </w:r>
    </w:p>
    <w:p>
      <w:pPr>
        <w:pStyle w:val="Indenta"/>
        <w:rPr>
          <w:snapToGrid w:val="0"/>
        </w:rPr>
      </w:pPr>
      <w:r>
        <w:rPr>
          <w:snapToGrid w:val="0"/>
        </w:rPr>
        <w:tab/>
        <w:t>(b)</w:t>
      </w:r>
      <w:r>
        <w:rPr>
          <w:snapToGrid w:val="0"/>
        </w:rPr>
        <w:tab/>
        <w:t>affix any board, sign, placard, notice or other thing to, or paint or write upon, any part of a parking station.</w:t>
      </w:r>
    </w:p>
    <w:p>
      <w:pPr>
        <w:pStyle w:val="Footnotesection"/>
      </w:pPr>
      <w:r>
        <w:tab/>
        <w:t xml:space="preserve">[Rule 24 amended: Gazette 12 Dec 2003 p. 5044; 5 Nov 2013 p. 4947.] </w:t>
      </w:r>
    </w:p>
    <w:p>
      <w:pPr>
        <w:pStyle w:val="Heading5"/>
        <w:rPr>
          <w:snapToGrid w:val="0"/>
        </w:rPr>
      </w:pPr>
      <w:bookmarkStart w:id="29" w:name="_Toc470187268"/>
      <w:r>
        <w:rPr>
          <w:rStyle w:val="CharSectno"/>
        </w:rPr>
        <w:t>25</w:t>
      </w:r>
      <w:r>
        <w:rPr>
          <w:snapToGrid w:val="0"/>
        </w:rPr>
        <w:t>.</w:t>
      </w:r>
      <w:r>
        <w:rPr>
          <w:snapToGrid w:val="0"/>
        </w:rPr>
        <w:tab/>
        <w:t>Damage to parking station and removal of tickets</w:t>
      </w:r>
      <w:bookmarkEnd w:id="29"/>
      <w:r>
        <w:rPr>
          <w:snapToGrid w:val="0"/>
        </w:rPr>
        <w:t xml:space="preserve"> </w:t>
      </w:r>
    </w:p>
    <w:p>
      <w:pPr>
        <w:pStyle w:val="Subsection"/>
        <w:rPr>
          <w:snapToGrid w:val="0"/>
        </w:rPr>
      </w:pPr>
      <w:r>
        <w:rPr>
          <w:snapToGrid w:val="0"/>
        </w:rPr>
        <w:tab/>
        <w:t>(1)</w:t>
      </w:r>
      <w:r>
        <w:rPr>
          <w:snapToGrid w:val="0"/>
        </w:rPr>
        <w:tab/>
        <w:t>A person shall not remove, damage, deface or misuse any parking station or any part thereof.</w:t>
      </w:r>
    </w:p>
    <w:p>
      <w:pPr>
        <w:pStyle w:val="Subsection"/>
        <w:rPr>
          <w:snapToGrid w:val="0"/>
        </w:rPr>
      </w:pPr>
      <w:r>
        <w:rPr>
          <w:snapToGrid w:val="0"/>
        </w:rPr>
        <w:tab/>
        <w:t>(2)</w:t>
      </w:r>
      <w:r>
        <w:rPr>
          <w:snapToGrid w:val="0"/>
        </w:rPr>
        <w:tab/>
        <w:t>No person other than the driver of the vehicle shall remove any notice attached to a vehicle by an authorised person.</w:t>
      </w:r>
    </w:p>
    <w:p>
      <w:pPr>
        <w:pStyle w:val="Heading5"/>
        <w:rPr>
          <w:snapToGrid w:val="0"/>
        </w:rPr>
      </w:pPr>
      <w:bookmarkStart w:id="30" w:name="_Toc470187269"/>
      <w:r>
        <w:rPr>
          <w:rStyle w:val="CharSectno"/>
        </w:rPr>
        <w:t>26</w:t>
      </w:r>
      <w:r>
        <w:rPr>
          <w:snapToGrid w:val="0"/>
        </w:rPr>
        <w:t>.</w:t>
      </w:r>
      <w:r>
        <w:rPr>
          <w:snapToGrid w:val="0"/>
        </w:rPr>
        <w:tab/>
        <w:t>Offences and penalties</w:t>
      </w:r>
      <w:bookmarkEnd w:id="30"/>
      <w:r>
        <w:rPr>
          <w:snapToGrid w:val="0"/>
        </w:rPr>
        <w:t xml:space="preserve"> </w:t>
      </w:r>
    </w:p>
    <w:p>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pPr>
        <w:pStyle w:val="Subsection"/>
        <w:rPr>
          <w:snapToGrid w:val="0"/>
        </w:rPr>
      </w:pPr>
      <w:r>
        <w:rPr>
          <w:snapToGrid w:val="0"/>
        </w:rPr>
        <w:tab/>
        <w:t>(2)</w:t>
      </w:r>
      <w:r>
        <w:rPr>
          <w:snapToGrid w:val="0"/>
        </w:rPr>
        <w:tab/>
        <w:t>A person who does not contest an allegation that he or she committed an offence against — </w:t>
      </w:r>
    </w:p>
    <w:p>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pPr>
        <w:pStyle w:val="Indenta"/>
        <w:rPr>
          <w:snapToGrid w:val="0"/>
        </w:rPr>
      </w:pPr>
      <w:r>
        <w:rPr>
          <w:snapToGrid w:val="0"/>
        </w:rPr>
        <w:tab/>
        <w:t>(b)</w:t>
      </w:r>
      <w:r>
        <w:rPr>
          <w:snapToGrid w:val="0"/>
        </w:rPr>
        <w:tab/>
        <w:t>rule 12, may pay to the Authority a modified penalty of $100.00.</w:t>
      </w:r>
    </w:p>
    <w:p>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pPr>
        <w:pStyle w:val="Footnotesection"/>
      </w:pPr>
      <w:r>
        <w:tab/>
        <w:t>[Rule 26 amended: Gazette 12 Dec 2003 p. 5044 and 5045.]</w:t>
      </w:r>
    </w:p>
    <w:p>
      <w:pPr>
        <w:pStyle w:val="Heading5"/>
        <w:rPr>
          <w:snapToGrid w:val="0"/>
        </w:rPr>
      </w:pPr>
      <w:bookmarkStart w:id="31" w:name="_Toc470187270"/>
      <w:r>
        <w:rPr>
          <w:rStyle w:val="CharSectno"/>
        </w:rPr>
        <w:t>27</w:t>
      </w:r>
      <w:r>
        <w:rPr>
          <w:snapToGrid w:val="0"/>
        </w:rPr>
        <w:t>.</w:t>
      </w:r>
      <w:r>
        <w:rPr>
          <w:snapToGrid w:val="0"/>
        </w:rPr>
        <w:tab/>
        <w:t>Infringement notices</w:t>
      </w:r>
      <w:bookmarkEnd w:id="31"/>
    </w:p>
    <w:p>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pPr>
        <w:pStyle w:val="Indenta"/>
        <w:rPr>
          <w:snapToGrid w:val="0"/>
        </w:rPr>
      </w:pPr>
      <w:r>
        <w:rPr>
          <w:snapToGrid w:val="0"/>
        </w:rPr>
        <w:tab/>
        <w:t>(a)</w:t>
      </w:r>
      <w:r>
        <w:rPr>
          <w:snapToGrid w:val="0"/>
        </w:rPr>
        <w:tab/>
        <w:t>complete the notice by filling in the particulars required by notice to be given by the driver and sign the notice; and</w:t>
      </w:r>
    </w:p>
    <w:p>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pPr>
        <w:pStyle w:val="Footnotesection"/>
      </w:pPr>
      <w:r>
        <w:tab/>
        <w:t>[Rule 27 amended: Gazette 12 Dec 2003 p. 5044.]</w:t>
      </w:r>
    </w:p>
    <w:p>
      <w:pPr>
        <w:pStyle w:val="Heading5"/>
        <w:rPr>
          <w:snapToGrid w:val="0"/>
        </w:rPr>
      </w:pPr>
      <w:bookmarkStart w:id="32" w:name="_Toc470187271"/>
      <w:r>
        <w:rPr>
          <w:rStyle w:val="CharSectno"/>
        </w:rPr>
        <w:t>28</w:t>
      </w:r>
      <w:r>
        <w:rPr>
          <w:snapToGrid w:val="0"/>
        </w:rPr>
        <w:t>.</w:t>
      </w:r>
      <w:r>
        <w:rPr>
          <w:snapToGrid w:val="0"/>
        </w:rPr>
        <w:tab/>
        <w:t>Responsible person deemed to be driver</w:t>
      </w:r>
      <w:bookmarkEnd w:id="32"/>
    </w:p>
    <w:p>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w:t>
      </w:r>
      <w:r>
        <w:t>responsible person for</w:t>
      </w:r>
      <w:r>
        <w:rPr>
          <w:snapToGrid w:val="0"/>
        </w:rPr>
        <w:t xml:space="preserve"> the vehicle at the relevant time to be served on the </w:t>
      </w:r>
      <w:r>
        <w:t>responsible person or</w:t>
      </w:r>
      <w:r>
        <w:rPr>
          <w:snapToGrid w:val="0"/>
        </w:rPr>
        <w:t xml:space="preserve"> left in or on the vehicle by an authorised person and unless within 14 days of the date on which the notice was so served or left — </w:t>
      </w:r>
    </w:p>
    <w:p>
      <w:pPr>
        <w:pStyle w:val="Indenta"/>
        <w:rPr>
          <w:snapToGrid w:val="0"/>
        </w:rPr>
      </w:pPr>
      <w:r>
        <w:rPr>
          <w:snapToGrid w:val="0"/>
        </w:rPr>
        <w:tab/>
        <w:t>(a)</w:t>
      </w:r>
      <w:r>
        <w:rPr>
          <w:snapToGrid w:val="0"/>
        </w:rPr>
        <w:tab/>
        <w:t xml:space="preserve">the </w:t>
      </w:r>
      <w:r>
        <w:t>responsible person informs</w:t>
      </w:r>
      <w:r>
        <w:rPr>
          <w:snapToGrid w:val="0"/>
        </w:rPr>
        <w:t xml:space="preserve">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is paid to the Authority,</w:t>
      </w:r>
    </w:p>
    <w:p>
      <w:pPr>
        <w:pStyle w:val="Subsection"/>
        <w:rPr>
          <w:snapToGrid w:val="0"/>
        </w:rPr>
      </w:pPr>
      <w:r>
        <w:rPr>
          <w:snapToGrid w:val="0"/>
        </w:rPr>
        <w:tab/>
      </w:r>
      <w:r>
        <w:rPr>
          <w:snapToGrid w:val="0"/>
        </w:rPr>
        <w:tab/>
        <w:t xml:space="preserve">the </w:t>
      </w:r>
      <w:r>
        <w:t>responsible person is</w:t>
      </w:r>
      <w:r>
        <w:rPr>
          <w:snapToGrid w:val="0"/>
        </w:rPr>
        <w:t xml:space="preserve"> deemed to be the person who committed the offence and is liable to pay the penalty prescribed for the offence.</w:t>
      </w:r>
    </w:p>
    <w:p>
      <w:pPr>
        <w:pStyle w:val="Footnotesection"/>
      </w:pPr>
      <w:r>
        <w:tab/>
        <w:t xml:space="preserve">[Rule 28 amended: Gazette 12 Dec 2003 p. 5044 and 5045; 8 Jan 2015 p. 145.] </w:t>
      </w:r>
    </w:p>
    <w:p>
      <w:pPr>
        <w:pStyle w:val="Heading5"/>
        <w:rPr>
          <w:snapToGrid w:val="0"/>
        </w:rPr>
      </w:pPr>
      <w:bookmarkStart w:id="33" w:name="_Toc470187272"/>
      <w:r>
        <w:rPr>
          <w:rStyle w:val="CharSectno"/>
        </w:rPr>
        <w:t>29</w:t>
      </w:r>
      <w:r>
        <w:rPr>
          <w:snapToGrid w:val="0"/>
        </w:rPr>
        <w:t>.</w:t>
      </w:r>
      <w:r>
        <w:rPr>
          <w:snapToGrid w:val="0"/>
        </w:rPr>
        <w:tab/>
        <w:t>Record of infringement notices to be kept</w:t>
      </w:r>
      <w:bookmarkEnd w:id="33"/>
      <w:r>
        <w:rPr>
          <w:snapToGrid w:val="0"/>
        </w:rPr>
        <w:t xml:space="preserve"> </w:t>
      </w:r>
    </w:p>
    <w:p>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pPr>
        <w:pStyle w:val="Footnotesection"/>
      </w:pPr>
      <w:r>
        <w:tab/>
        <w:t>[Rule 29 amended: Gazette 12 Dec 2003 p. 5044.]</w:t>
      </w:r>
    </w:p>
    <w:p>
      <w:pPr>
        <w:pStyle w:val="Heading5"/>
        <w:rPr>
          <w:snapToGrid w:val="0"/>
        </w:rPr>
      </w:pPr>
      <w:bookmarkStart w:id="34" w:name="_Toc470187273"/>
      <w:r>
        <w:rPr>
          <w:rStyle w:val="CharSectno"/>
        </w:rPr>
        <w:t>30</w:t>
      </w:r>
      <w:r>
        <w:rPr>
          <w:snapToGrid w:val="0"/>
        </w:rPr>
        <w:t>.</w:t>
      </w:r>
      <w:r>
        <w:rPr>
          <w:snapToGrid w:val="0"/>
        </w:rPr>
        <w:tab/>
        <w:t>Recovery of penalty</w:t>
      </w:r>
      <w:bookmarkEnd w:id="34"/>
      <w:r>
        <w:rPr>
          <w:snapToGrid w:val="0"/>
        </w:rPr>
        <w:t xml:space="preserve"> </w:t>
      </w:r>
    </w:p>
    <w:p>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pPr>
        <w:pStyle w:val="Footnotesection"/>
      </w:pPr>
      <w:r>
        <w:tab/>
        <w:t>[Rule 30 amended: Gazette 12 Dec 2003 p. 5044.]</w:t>
      </w:r>
    </w:p>
    <w:p>
      <w:pPr>
        <w:pStyle w:val="Heading5"/>
        <w:rPr>
          <w:snapToGrid w:val="0"/>
        </w:rPr>
      </w:pPr>
      <w:bookmarkStart w:id="35" w:name="_Toc470187274"/>
      <w:r>
        <w:rPr>
          <w:rStyle w:val="CharSectno"/>
        </w:rPr>
        <w:t>31</w:t>
      </w:r>
      <w:r>
        <w:rPr>
          <w:snapToGrid w:val="0"/>
        </w:rPr>
        <w:t>.</w:t>
      </w:r>
      <w:r>
        <w:rPr>
          <w:snapToGrid w:val="0"/>
        </w:rPr>
        <w:tab/>
        <w:t>Service of notices</w:t>
      </w:r>
      <w:bookmarkEnd w:id="35"/>
    </w:p>
    <w:p>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6" w:name="_Toc470187275"/>
      <w:r>
        <w:rPr>
          <w:rStyle w:val="CharSchNo"/>
        </w:rPr>
        <w:t>Schedule 1</w:t>
      </w:r>
      <w:bookmarkEnd w:id="36"/>
    </w:p>
    <w:p>
      <w:pPr>
        <w:pStyle w:val="yHeading2"/>
      </w:pPr>
      <w:bookmarkStart w:id="37" w:name="_Toc470187276"/>
      <w:r>
        <w:rPr>
          <w:rStyle w:val="CharSchText"/>
        </w:rPr>
        <w:t>Parking charges</w:t>
      </w:r>
      <w:bookmarkEnd w:id="37"/>
    </w:p>
    <w:p>
      <w:pPr>
        <w:pStyle w:val="yHeading5"/>
        <w:outlineLvl w:val="9"/>
      </w:pPr>
      <w:bookmarkStart w:id="38" w:name="_Toc470187277"/>
      <w:r>
        <w:t>1.</w:t>
      </w:r>
      <w:bookmarkEnd w:id="38"/>
    </w:p>
    <w:p>
      <w:pPr>
        <w:pStyle w:val="ySubsection"/>
      </w:pPr>
      <w:r>
        <w:tab/>
        <w:t>(1)</w:t>
      </w:r>
      <w:r>
        <w:tab/>
        <w:t>The charge to be paid for parking a vehicle in a paid parking station on a weekday for any 24 hour period is $2.00.</w:t>
      </w:r>
    </w:p>
    <w:p>
      <w:pPr>
        <w:pStyle w:val="ySubsection"/>
      </w:pPr>
      <w:r>
        <w:tab/>
        <w:t>(2)</w:t>
      </w:r>
      <w:r>
        <w:tab/>
        <w:t xml:space="preserve">In this item — </w:t>
      </w:r>
    </w:p>
    <w:p>
      <w:pPr>
        <w:pStyle w:val="yDefstart"/>
      </w:pPr>
      <w:r>
        <w:rPr>
          <w:b/>
        </w:rPr>
        <w:tab/>
      </w:r>
      <w:r>
        <w:rPr>
          <w:rStyle w:val="CharDefText"/>
        </w:rPr>
        <w:t>weekday</w:t>
      </w:r>
      <w:r>
        <w:t xml:space="preserve"> means a day other than a Saturday or Sunday.</w:t>
      </w:r>
    </w:p>
    <w:p>
      <w:pPr>
        <w:pStyle w:val="yFootnotesection"/>
      </w:pPr>
      <w:r>
        <w:tab/>
        <w:t>[Item 1 inserted: Gazette 12 Dec 2003 p. 5044; amended: Gazette 26 Jun 2007 p. 3060; 5 Nov 2013 p. 4948; 23 Dec 2016 p. 5911.]</w:t>
      </w:r>
    </w:p>
    <w:p>
      <w:pPr>
        <w:pStyle w:val="yHeading5"/>
      </w:pPr>
      <w:bookmarkStart w:id="39" w:name="_Toc470187278"/>
      <w:r>
        <w:t>2A.</w:t>
      </w:r>
      <w:bookmarkEnd w:id="39"/>
    </w:p>
    <w:p>
      <w:pPr>
        <w:pStyle w:val="ySubsection"/>
      </w:pPr>
      <w:r>
        <w:tab/>
      </w:r>
      <w:r>
        <w:tab/>
        <w:t>The charge to be paid under rule 18A(1) is $10.00.</w:t>
      </w:r>
    </w:p>
    <w:p>
      <w:pPr>
        <w:pStyle w:val="yFootnotesection"/>
      </w:pPr>
      <w:r>
        <w:tab/>
        <w:t>[Item 2A inserted: Gazette 5 Nov 2013 p. 4948.]</w:t>
      </w:r>
    </w:p>
    <w:p>
      <w:pPr>
        <w:pStyle w:val="yHeading5"/>
        <w:outlineLvl w:val="9"/>
      </w:pPr>
      <w:bookmarkStart w:id="40" w:name="_Toc470187279"/>
      <w:r>
        <w:t>2.</w:t>
      </w:r>
      <w:bookmarkEnd w:id="40"/>
    </w:p>
    <w:p>
      <w:pPr>
        <w:pStyle w:val="ySubsection"/>
      </w:pPr>
      <w:r>
        <w:tab/>
      </w:r>
      <w:r>
        <w:tab/>
        <w:t>The charges to be paid for the recovery of a vehicle removed under rule 18 are — </w:t>
      </w:r>
    </w:p>
    <w:p>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tc>
          <w:tcPr>
            <w:tcW w:w="3480" w:type="dxa"/>
          </w:tcPr>
          <w:p>
            <w:pPr>
              <w:pStyle w:val="yTable"/>
              <w:rPr>
                <w:snapToGrid w:val="0"/>
              </w:rPr>
            </w:pPr>
            <w:r>
              <w:rPr>
                <w:snapToGrid w:val="0"/>
              </w:rPr>
              <w:t>For removing a vehicle to an appointed place ...............................</w:t>
            </w:r>
          </w:p>
        </w:tc>
        <w:tc>
          <w:tcPr>
            <w:tcW w:w="2996" w:type="dxa"/>
          </w:tcPr>
          <w:p>
            <w:pPr>
              <w:pStyle w:val="yTable"/>
              <w:rPr>
                <w:snapToGrid w:val="0"/>
              </w:rPr>
            </w:pPr>
            <w:r>
              <w:rPr>
                <w:snapToGrid w:val="0"/>
              </w:rPr>
              <w:t>$60.00 plus $2.60 per kilometre</w:t>
            </w:r>
          </w:p>
        </w:tc>
      </w:tr>
      <w:tr>
        <w:tc>
          <w:tcPr>
            <w:tcW w:w="3480" w:type="dxa"/>
          </w:tcPr>
          <w:p>
            <w:pPr>
              <w:pStyle w:val="yTable"/>
              <w:rPr>
                <w:snapToGrid w:val="0"/>
              </w:rPr>
            </w:pPr>
            <w:r>
              <w:rPr>
                <w:snapToGrid w:val="0"/>
              </w:rPr>
              <w:t>For custody of a vehicle .................</w:t>
            </w:r>
          </w:p>
        </w:tc>
        <w:tc>
          <w:tcPr>
            <w:tcW w:w="2996" w:type="dxa"/>
          </w:tcPr>
          <w:p>
            <w:pPr>
              <w:pStyle w:val="yTable"/>
              <w:rPr>
                <w:snapToGrid w:val="0"/>
              </w:rPr>
            </w:pPr>
            <w:r>
              <w:rPr>
                <w:snapToGrid w:val="0"/>
              </w:rPr>
              <w:t>$10.00 per day or part thereof.</w:t>
            </w:r>
          </w:p>
        </w:tc>
      </w:tr>
    </w:tbl>
    <w:p>
      <w:pPr>
        <w:pStyle w:val="yFootnotesection"/>
        <w:tabs>
          <w:tab w:val="clear" w:pos="893"/>
          <w:tab w:val="left" w:pos="720"/>
        </w:tabs>
        <w:ind w:left="720" w:hanging="720"/>
      </w:pPr>
      <w:r>
        <w:tab/>
        <w:t>[Item 2 amended: Gazette 12 Dec 2003 p. 5045.]</w:t>
      </w:r>
    </w:p>
    <w:p>
      <w:pPr>
        <w:pStyle w:val="yScheduleHeading"/>
      </w:pPr>
      <w:bookmarkStart w:id="41" w:name="_Toc470187280"/>
      <w:r>
        <w:rPr>
          <w:rStyle w:val="CharSchNo"/>
        </w:rPr>
        <w:t>Schedule 2</w:t>
      </w:r>
      <w:bookmarkEnd w:id="41"/>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[rule 27(1)]</w:t>
      </w:r>
    </w:p>
    <w:p>
      <w:pPr>
        <w:pStyle w:val="yMiscellaneousHeading"/>
        <w:spacing w:before="120"/>
        <w:rPr>
          <w:i/>
          <w:snapToGrid w:val="0"/>
        </w:rPr>
      </w:pPr>
      <w:r>
        <w:rPr>
          <w:i/>
        </w:rPr>
        <w:t>Government Railways (Parking Stations) By</w:t>
      </w:r>
      <w:r>
        <w:rPr>
          <w:i/>
        </w:rPr>
        <w:noBreakHyphen/>
        <w:t>law 1997</w:t>
      </w:r>
    </w:p>
    <w:p>
      <w:pPr>
        <w:pStyle w:val="yMiscellaneousHeading"/>
        <w:rPr>
          <w:snapToGrid w:val="0"/>
        </w:rPr>
      </w:pPr>
      <w:r>
        <w:rPr>
          <w:snapToGrid w:val="0"/>
        </w:rPr>
        <w:t>INFRINGEMENT NOTICE</w:t>
      </w:r>
    </w:p>
    <w:p>
      <w:pPr>
        <w:pStyle w:val="yMiscellaneousBody"/>
        <w:tabs>
          <w:tab w:val="left" w:pos="3969"/>
        </w:tabs>
        <w:ind w:left="426" w:hanging="426"/>
        <w:rPr>
          <w:snapToGrid w:val="0"/>
        </w:rPr>
      </w:pPr>
      <w:r>
        <w:rPr>
          <w:snapToGrid w:val="0"/>
        </w:rPr>
        <w:t>To</w:t>
      </w:r>
      <w:r>
        <w:rPr>
          <w:snapToGrid w:val="0"/>
        </w:rPr>
        <w:tab/>
        <w:t>.............................................................</w:t>
      </w:r>
      <w:r>
        <w:rPr>
          <w:snapToGrid w:val="0"/>
        </w:rPr>
        <w:tab/>
        <w:t>Serial No. .......................................</w:t>
      </w:r>
    </w:p>
    <w:p>
      <w:pPr>
        <w:pStyle w:val="yMiscellaneousBody"/>
        <w:tabs>
          <w:tab w:val="left" w:pos="3969"/>
        </w:tabs>
        <w:ind w:left="426" w:hanging="426"/>
        <w:rPr>
          <w:snapToGrid w:val="0"/>
        </w:rPr>
      </w:pPr>
      <w:r>
        <w:rPr>
          <w:snapToGrid w:val="0"/>
        </w:rPr>
        <w:tab/>
        <w:t>.............................................................</w:t>
      </w:r>
    </w:p>
    <w:p>
      <w:pPr>
        <w:pStyle w:val="yMiscellaneousBody"/>
        <w:tabs>
          <w:tab w:val="left" w:pos="3969"/>
        </w:tabs>
        <w:ind w:left="426" w:hanging="426"/>
        <w:rPr>
          <w:snapToGrid w:val="0"/>
        </w:rPr>
      </w:pPr>
      <w:r>
        <w:rPr>
          <w:snapToGrid w:val="0"/>
        </w:rPr>
        <w:tab/>
        <w:t>.............................................................</w:t>
      </w:r>
      <w:r>
        <w:rPr>
          <w:snapToGrid w:val="0"/>
        </w:rPr>
        <w:tab/>
        <w:t>Date ................................................</w:t>
      </w:r>
    </w:p>
    <w:p>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pPr>
        <w:pStyle w:val="yMiscellaneousBody"/>
        <w:rPr>
          <w:snapToGrid w:val="0"/>
        </w:rPr>
      </w:pPr>
      <w:r>
        <w:rPr>
          <w:snapToGrid w:val="0"/>
        </w:rPr>
        <w:t>Unless payment is made within 28 days of the date of the service of this notice court proceedings may be instituted against you.</w:t>
      </w:r>
    </w:p>
    <w:p>
      <w:pPr>
        <w:pStyle w:val="yMiscellaneousBody"/>
      </w:pPr>
      <w:r>
        <w:t>Please see the reverse side of this form for payment options.</w:t>
      </w:r>
    </w:p>
    <w:p>
      <w:pPr>
        <w:pStyle w:val="yMiscellaneousBody"/>
        <w:tabs>
          <w:tab w:val="left" w:pos="1418"/>
        </w:tabs>
        <w:ind w:left="1418" w:hanging="851"/>
      </w:pPr>
      <w:r>
        <w:t>Note:</w:t>
      </w:r>
      <w: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t>Service Number</w:t>
      </w:r>
      <w:r>
        <w:rPr>
          <w:snapToGrid w:val="0"/>
        </w:rPr>
        <w:t xml:space="preserve"> ............................</w:t>
      </w:r>
    </w:p>
    <w:p>
      <w:pPr>
        <w:pStyle w:val="yMiscellaneousBody"/>
        <w:rPr>
          <w:snapToGrid w:val="0"/>
        </w:rPr>
      </w:pPr>
      <w:r>
        <w:rPr>
          <w:snapToGrid w:val="0"/>
        </w:rPr>
        <w:t>Name ......................................................................................................................</w:t>
      </w:r>
    </w:p>
    <w:p>
      <w:pPr>
        <w:pStyle w:val="yMiscellaneousBody"/>
        <w:spacing w:before="0"/>
        <w:rPr>
          <w:snapToGrid w:val="0"/>
        </w:rPr>
      </w:pPr>
      <w:r>
        <w:rPr>
          <w:snapToGrid w:val="0"/>
        </w:rPr>
        <w:t>Address ..................................................................................................................</w:t>
      </w:r>
    </w:p>
    <w:p>
      <w:pPr>
        <w:pStyle w:val="yMiscellaneousBody"/>
        <w:spacing w:before="0"/>
        <w:jc w:val="right"/>
        <w:rPr>
          <w:snapToGrid w:val="0"/>
        </w:rPr>
      </w:pPr>
      <w:r>
        <w:rPr>
          <w:snapToGrid w:val="0"/>
        </w:rPr>
        <w:t>Post Code .................</w:t>
      </w:r>
    </w:p>
    <w:p>
      <w:pPr>
        <w:pStyle w:val="yMiscellaneousBody"/>
        <w:rPr>
          <w:snapToGrid w:val="0"/>
        </w:rPr>
      </w:pPr>
      <w:r>
        <w:rPr>
          <w:snapToGrid w:val="0"/>
        </w:rPr>
        <w:t>[If your name and address do not appear in this notice please complete the above details to enable a receipt to be forwarded.]</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spacing w:after="60"/>
        <w:rPr>
          <w:sz w:val="18"/>
          <w:szCs w:val="18"/>
        </w:rPr>
      </w:pPr>
      <w:r>
        <w:rPr>
          <w:sz w:val="18"/>
          <w:szCs w:val="18"/>
        </w:rPr>
        <w:t>Alternatively, the modified penalty may be paid personally by presenting this notice and the payment amount to the following offices:</w:t>
      </w:r>
    </w:p>
    <w:tbl>
      <w:tblPr>
        <w:tblStyle w:val="TableGrid"/>
        <w:tblW w:w="0" w:type="auto"/>
        <w:tblInd w:w="108" w:type="dxa"/>
        <w:tblLook w:val="04A0" w:firstRow="1" w:lastRow="0" w:firstColumn="1" w:lastColumn="0" w:noHBand="0" w:noVBand="1"/>
      </w:tblPr>
      <w:tblGrid>
        <w:gridCol w:w="2143"/>
        <w:gridCol w:w="1685"/>
        <w:gridCol w:w="3260"/>
      </w:tblGrid>
      <w:tr>
        <w:tc>
          <w:tcPr>
            <w:tcW w:w="2143" w:type="dxa"/>
          </w:tcPr>
          <w:p>
            <w:pPr>
              <w:pStyle w:val="yTableNAm"/>
              <w:jc w:val="center"/>
            </w:pPr>
            <w:r>
              <w:rPr>
                <w:b/>
                <w:sz w:val="16"/>
                <w:szCs w:val="16"/>
              </w:rPr>
              <w:t>Info Centre / Booking Office</w:t>
            </w:r>
          </w:p>
        </w:tc>
        <w:tc>
          <w:tcPr>
            <w:tcW w:w="1685"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2143" w:type="dxa"/>
          </w:tcPr>
          <w:p>
            <w:pPr>
              <w:pStyle w:val="yTableNAm"/>
            </w:pPr>
            <w:r>
              <w:rPr>
                <w:sz w:val="16"/>
                <w:szCs w:val="16"/>
              </w:rPr>
              <w:t>Perth Station</w:t>
            </w:r>
          </w:p>
        </w:tc>
        <w:tc>
          <w:tcPr>
            <w:tcW w:w="1685"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 6.30 p.m.</w:t>
            </w:r>
          </w:p>
          <w:p>
            <w:pPr>
              <w:pStyle w:val="yTableNAm"/>
              <w:spacing w:before="0"/>
              <w:rPr>
                <w:sz w:val="16"/>
                <w:szCs w:val="16"/>
              </w:rPr>
            </w:pPr>
            <w:r>
              <w:rPr>
                <w:b/>
                <w:sz w:val="16"/>
                <w:szCs w:val="16"/>
              </w:rPr>
              <w:t>Friday:</w:t>
            </w:r>
            <w:r>
              <w:rPr>
                <w:sz w:val="16"/>
                <w:szCs w:val="16"/>
              </w:rPr>
              <w:t xml:space="preserve"> 7.00 a.m. — 6.30 p.m.</w:t>
            </w:r>
          </w:p>
          <w:p>
            <w:pPr>
              <w:pStyle w:val="yTableNAm"/>
              <w:spacing w:before="0"/>
              <w:rPr>
                <w:sz w:val="16"/>
                <w:szCs w:val="16"/>
              </w:rPr>
            </w:pPr>
            <w:r>
              <w:rPr>
                <w:b/>
                <w:sz w:val="16"/>
                <w:szCs w:val="16"/>
              </w:rPr>
              <w:t>Saturday:</w:t>
            </w:r>
            <w:r>
              <w:rPr>
                <w:sz w:val="16"/>
                <w:szCs w:val="16"/>
              </w:rPr>
              <w:t xml:space="preserve"> 7.00 a.m. — 6.00 p.m.</w:t>
            </w:r>
          </w:p>
          <w:p>
            <w:pPr>
              <w:pStyle w:val="yTableNAm"/>
              <w:spacing w:before="0"/>
              <w:rPr>
                <w:sz w:val="16"/>
                <w:szCs w:val="16"/>
              </w:rPr>
            </w:pPr>
            <w:r>
              <w:rPr>
                <w:b/>
                <w:sz w:val="16"/>
                <w:szCs w:val="16"/>
              </w:rPr>
              <w:t>Sunday:</w:t>
            </w:r>
            <w:r>
              <w:rPr>
                <w:sz w:val="16"/>
                <w:szCs w:val="16"/>
              </w:rPr>
              <w:t xml:space="preserve"> 8.30 a.m. — 6.00 p.m.</w:t>
            </w:r>
          </w:p>
          <w:p>
            <w:pPr>
              <w:pStyle w:val="yTableNAm"/>
              <w:spacing w:before="0"/>
              <w:rPr>
                <w:sz w:val="16"/>
                <w:szCs w:val="16"/>
              </w:rPr>
            </w:pPr>
            <w:r>
              <w:rPr>
                <w:b/>
                <w:sz w:val="16"/>
                <w:szCs w:val="16"/>
              </w:rPr>
              <w:t>Public Holidays:</w:t>
            </w:r>
            <w:r>
              <w:rPr>
                <w:sz w:val="16"/>
                <w:szCs w:val="16"/>
              </w:rPr>
              <w:t xml:space="preserve"> 8.30 a.m. — 6.00 p.m.</w:t>
            </w:r>
          </w:p>
        </w:tc>
      </w:tr>
      <w:tr>
        <w:tc>
          <w:tcPr>
            <w:tcW w:w="2143" w:type="dxa"/>
          </w:tcPr>
          <w:p>
            <w:pPr>
              <w:pStyle w:val="yTableNAm"/>
            </w:pPr>
            <w:r>
              <w:rPr>
                <w:sz w:val="16"/>
                <w:szCs w:val="16"/>
              </w:rPr>
              <w:t>Perth Underground Station</w:t>
            </w:r>
          </w:p>
        </w:tc>
        <w:tc>
          <w:tcPr>
            <w:tcW w:w="1685"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 6.00 p.m.</w:t>
            </w:r>
          </w:p>
          <w:p>
            <w:pPr>
              <w:pStyle w:val="yTableNAm"/>
              <w:spacing w:before="0"/>
              <w:rPr>
                <w:sz w:val="16"/>
                <w:szCs w:val="16"/>
              </w:rPr>
            </w:pPr>
            <w:r>
              <w:rPr>
                <w:b/>
                <w:sz w:val="16"/>
                <w:szCs w:val="16"/>
              </w:rPr>
              <w:t>Friday:</w:t>
            </w:r>
            <w:r>
              <w:rPr>
                <w:sz w:val="16"/>
                <w:szCs w:val="16"/>
              </w:rPr>
              <w:t xml:space="preserve"> 7.00 a.m. — 6.00 p.m.</w:t>
            </w:r>
          </w:p>
          <w:p>
            <w:pPr>
              <w:pStyle w:val="yTableNAm"/>
              <w:spacing w:before="0"/>
              <w:rPr>
                <w:sz w:val="16"/>
                <w:szCs w:val="16"/>
              </w:rPr>
            </w:pPr>
            <w:r>
              <w:rPr>
                <w:b/>
                <w:sz w:val="16"/>
                <w:szCs w:val="16"/>
              </w:rPr>
              <w:t>Saturday:</w:t>
            </w:r>
            <w:r>
              <w:rPr>
                <w:sz w:val="16"/>
                <w:szCs w:val="16"/>
              </w:rPr>
              <w:t xml:space="preserve"> 9.00 a.m. — 5.00 p.m.</w:t>
            </w:r>
          </w:p>
          <w:p>
            <w:pPr>
              <w:pStyle w:val="yTableNAm"/>
              <w:spacing w:before="0"/>
              <w:rPr>
                <w:sz w:val="16"/>
                <w:szCs w:val="16"/>
              </w:rPr>
            </w:pPr>
            <w:r>
              <w:rPr>
                <w:b/>
                <w:sz w:val="16"/>
                <w:szCs w:val="16"/>
              </w:rPr>
              <w:t>Sunday:</w:t>
            </w:r>
            <w:r>
              <w:rPr>
                <w:sz w:val="16"/>
                <w:szCs w:val="16"/>
              </w:rPr>
              <w:t xml:space="preserve"> 11.00 a.m. — 3.00 p.m.</w:t>
            </w:r>
          </w:p>
          <w:p>
            <w:pPr>
              <w:pStyle w:val="yTableNAm"/>
              <w:spacing w:before="0"/>
              <w:rPr>
                <w:sz w:val="16"/>
                <w:szCs w:val="16"/>
              </w:rPr>
            </w:pPr>
            <w:r>
              <w:rPr>
                <w:b/>
                <w:sz w:val="16"/>
                <w:szCs w:val="16"/>
              </w:rPr>
              <w:t>Public Holidays:</w:t>
            </w:r>
            <w:r>
              <w:rPr>
                <w:sz w:val="16"/>
                <w:szCs w:val="16"/>
              </w:rPr>
              <w:t xml:space="preserve"> 11.00 a.m. — 3.00 p.m.</w:t>
            </w:r>
          </w:p>
          <w:p>
            <w:pPr>
              <w:pStyle w:val="yTableNAm"/>
              <w:spacing w:before="0"/>
              <w:rPr>
                <w:sz w:val="16"/>
                <w:szCs w:val="16"/>
              </w:rPr>
            </w:pPr>
            <w:r>
              <w:rPr>
                <w:sz w:val="16"/>
                <w:szCs w:val="16"/>
              </w:rPr>
              <w:t>(excluding Christmas Day and Boxing Day)</w:t>
            </w:r>
          </w:p>
        </w:tc>
      </w:tr>
      <w:tr>
        <w:tc>
          <w:tcPr>
            <w:tcW w:w="2143" w:type="dxa"/>
          </w:tcPr>
          <w:p>
            <w:pPr>
              <w:pStyle w:val="yTableNAm"/>
            </w:pPr>
            <w:r>
              <w:rPr>
                <w:sz w:val="16"/>
                <w:szCs w:val="16"/>
              </w:rPr>
              <w:t>Esplanade Busport</w:t>
            </w:r>
          </w:p>
        </w:tc>
        <w:tc>
          <w:tcPr>
            <w:tcW w:w="1685"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10.00 a.m. — 2.00 p.m.</w:t>
            </w:r>
          </w:p>
          <w:p>
            <w:pPr>
              <w:pStyle w:val="yTableNAm"/>
              <w:spacing w:before="0"/>
              <w:rPr>
                <w:sz w:val="16"/>
                <w:szCs w:val="16"/>
              </w:rPr>
            </w:pPr>
            <w:r>
              <w:rPr>
                <w:b/>
                <w:sz w:val="16"/>
                <w:szCs w:val="16"/>
              </w:rPr>
              <w:t>Sunday:</w:t>
            </w:r>
            <w:r>
              <w:rPr>
                <w:sz w:val="16"/>
                <w:szCs w:val="16"/>
              </w:rPr>
              <w:t xml:space="preserve"> 12.00 p.m. — 4.00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Wellington Street Bus Station</w:t>
            </w:r>
          </w:p>
        </w:tc>
        <w:tc>
          <w:tcPr>
            <w:tcW w:w="1685"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8.00 a.m. —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Public Transport Centre</w:t>
            </w:r>
          </w:p>
        </w:tc>
        <w:tc>
          <w:tcPr>
            <w:tcW w:w="1685"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 5.00 p.m.</w:t>
            </w:r>
          </w:p>
          <w:p>
            <w:pPr>
              <w:pStyle w:val="yTableNAm"/>
              <w:spacing w:before="0"/>
              <w:rPr>
                <w:sz w:val="16"/>
                <w:szCs w:val="16"/>
              </w:rPr>
            </w:pPr>
            <w:r>
              <w:rPr>
                <w:b/>
                <w:sz w:val="16"/>
                <w:szCs w:val="16"/>
              </w:rPr>
              <w:t>Friday:</w:t>
            </w:r>
            <w:r>
              <w:rPr>
                <w:sz w:val="16"/>
                <w:szCs w:val="16"/>
              </w:rPr>
              <w:t xml:space="preserve"> 6.30 a.m. — 6.00 p.m.</w:t>
            </w:r>
          </w:p>
          <w:p>
            <w:pPr>
              <w:pStyle w:val="yTableNAm"/>
              <w:spacing w:before="0"/>
              <w:rPr>
                <w:sz w:val="16"/>
                <w:szCs w:val="16"/>
              </w:rPr>
            </w:pPr>
            <w:r>
              <w:rPr>
                <w:b/>
                <w:sz w:val="16"/>
                <w:szCs w:val="16"/>
              </w:rPr>
              <w:t>Saturday:</w:t>
            </w:r>
            <w:r>
              <w:rPr>
                <w:sz w:val="16"/>
                <w:szCs w:val="16"/>
              </w:rPr>
              <w:t xml:space="preserve"> 6.30 a.m. — 1.00 p.m.</w:t>
            </w:r>
          </w:p>
          <w:p>
            <w:pPr>
              <w:pStyle w:val="yTableNAm"/>
              <w:spacing w:before="0"/>
              <w:rPr>
                <w:sz w:val="16"/>
                <w:szCs w:val="16"/>
              </w:rPr>
            </w:pPr>
            <w:r>
              <w:rPr>
                <w:b/>
                <w:sz w:val="16"/>
                <w:szCs w:val="16"/>
              </w:rPr>
              <w:t>Sunday:</w:t>
            </w:r>
            <w:r>
              <w:rPr>
                <w:sz w:val="16"/>
                <w:szCs w:val="16"/>
              </w:rPr>
              <w:t xml:space="preserve"> 7.30 a.m. — 3.30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Armadale Booking Office</w:t>
            </w:r>
          </w:p>
        </w:tc>
        <w:tc>
          <w:tcPr>
            <w:tcW w:w="1685"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keepNext/>
            </w:pPr>
            <w:r>
              <w:rPr>
                <w:sz w:val="16"/>
                <w:szCs w:val="16"/>
              </w:rPr>
              <w:t>Midland Booking Office</w:t>
            </w:r>
          </w:p>
        </w:tc>
        <w:tc>
          <w:tcPr>
            <w:tcW w:w="1685" w:type="dxa"/>
          </w:tcPr>
          <w:p>
            <w:pPr>
              <w:pStyle w:val="yTableNAm"/>
              <w:keepNext/>
            </w:pPr>
            <w:r>
              <w:rPr>
                <w:sz w:val="16"/>
                <w:szCs w:val="16"/>
              </w:rPr>
              <w:t>Midland Railway Station</w:t>
            </w:r>
          </w:p>
        </w:tc>
        <w:tc>
          <w:tcPr>
            <w:tcW w:w="3260" w:type="dxa"/>
          </w:tcPr>
          <w:p>
            <w:pPr>
              <w:pStyle w:val="yTableNAm"/>
              <w:keepNext/>
              <w:rPr>
                <w:sz w:val="16"/>
                <w:szCs w:val="16"/>
              </w:rPr>
            </w:pPr>
            <w:r>
              <w:rPr>
                <w:b/>
                <w:sz w:val="16"/>
                <w:szCs w:val="16"/>
              </w:rPr>
              <w:t>Monday — Friday:</w:t>
            </w:r>
            <w:r>
              <w:rPr>
                <w:sz w:val="16"/>
                <w:szCs w:val="16"/>
              </w:rPr>
              <w:t xml:space="preserve"> 8.30 a.m. — 12.30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Transit Admin Office</w:t>
            </w:r>
          </w:p>
        </w:tc>
        <w:tc>
          <w:tcPr>
            <w:tcW w:w="1685" w:type="dxa"/>
          </w:tcPr>
          <w:p>
            <w:pPr>
              <w:pStyle w:val="yTableNAm"/>
            </w:pPr>
            <w:r>
              <w:rPr>
                <w:sz w:val="16"/>
                <w:szCs w:val="16"/>
              </w:rPr>
              <w:t>Perth Railway Station</w:t>
            </w:r>
          </w:p>
        </w:tc>
        <w:tc>
          <w:tcPr>
            <w:tcW w:w="3260" w:type="dxa"/>
          </w:tcPr>
          <w:p>
            <w:pPr>
              <w:pStyle w:val="yTableNAm"/>
              <w:rPr>
                <w:sz w:val="16"/>
                <w:szCs w:val="16"/>
              </w:rPr>
            </w:pPr>
            <w:r>
              <w:rPr>
                <w:b/>
                <w:sz w:val="16"/>
                <w:szCs w:val="16"/>
              </w:rPr>
              <w:t>Monday — Friday:</w:t>
            </w:r>
            <w:r>
              <w:rPr>
                <w:sz w:val="16"/>
                <w:szCs w:val="16"/>
              </w:rPr>
              <w:t xml:space="preserve"> 8.30 a.m. — 4.30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bl>
    <w:p>
      <w:pPr>
        <w:pStyle w:val="yMiscellaneousBody"/>
      </w:pPr>
      <w:r>
        <w:rPr>
          <w:sz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p>
    <w:p>
      <w:pPr>
        <w:pStyle w:val="yFootnotesection"/>
      </w:pPr>
      <w:r>
        <w:rPr>
          <w:sz w:val="18"/>
        </w:rPr>
        <w:t xml:space="preserve"> </w:t>
      </w:r>
      <w:r>
        <w:tab/>
        <w:t>[Form 1 amended: Gazette 12 Dec 2003 p. 5044 and 5045; 5 Nov 2013 p. 4948-9; 13 Jun 2014 p. 1900.]</w:t>
      </w:r>
    </w:p>
    <w:p>
      <w:pPr>
        <w:pStyle w:val="yMiscellaneousHeading"/>
        <w:pageBreakBefore/>
        <w:rPr>
          <w:b/>
          <w:snapToGrid w:val="0"/>
        </w:rPr>
      </w:pPr>
      <w:r>
        <w:rPr>
          <w:b/>
          <w:snapToGrid w:val="0"/>
        </w:rPr>
        <w:t>Form 2</w:t>
      </w:r>
    </w:p>
    <w:p>
      <w:pPr>
        <w:pStyle w:val="yShoulderClause"/>
        <w:rPr>
          <w:snapToGrid w:val="0"/>
        </w:rPr>
      </w:pPr>
      <w:r>
        <w:rPr>
          <w:snapToGrid w:val="0"/>
        </w:rPr>
        <w:t>[</w:t>
      </w:r>
      <w:r>
        <w:t>rule 28</w:t>
      </w:r>
      <w:r>
        <w:rPr>
          <w:snapToGrid w:val="0"/>
        </w:rPr>
        <w:t>]</w:t>
      </w:r>
    </w:p>
    <w:p>
      <w:pPr>
        <w:pStyle w:val="yMiscellaneousHeading"/>
        <w:rPr>
          <w:i/>
          <w:snapToGrid w:val="0"/>
        </w:rPr>
      </w:pPr>
      <w:r>
        <w:rPr>
          <w:i/>
        </w:rPr>
        <w:t>Government Railways (Parking Stations) By</w:t>
      </w:r>
      <w:r>
        <w:rPr>
          <w:i/>
        </w:rPr>
        <w:noBreakHyphen/>
        <w:t>law 1997</w:t>
      </w:r>
    </w:p>
    <w:p>
      <w:pPr>
        <w:pStyle w:val="yMiscellaneousHeading"/>
        <w:rPr>
          <w:snapToGrid w:val="0"/>
        </w:rPr>
      </w:pPr>
      <w:r>
        <w:rPr>
          <w:snapToGrid w:val="0"/>
        </w:rPr>
        <w:t xml:space="preserve">NOTICE REQUIRING </w:t>
      </w:r>
      <w:r>
        <w:rPr>
          <w:snapToGrid w:val="0"/>
          <w:szCs w:val="22"/>
        </w:rPr>
        <w:t>RESPONSIBLE PERSON FOR</w:t>
      </w:r>
      <w:r>
        <w:rPr>
          <w:snapToGrid w:val="0"/>
        </w:rPr>
        <w:t xml:space="preserve"> VEHICLE TO IDENTIFY DRIVER</w:t>
      </w:r>
    </w:p>
    <w:p>
      <w:pPr>
        <w:pStyle w:val="yMiscellaneousBody"/>
        <w:ind w:left="851" w:hanging="851"/>
        <w:rPr>
          <w:snapToGrid w:val="0"/>
        </w:rPr>
      </w:pPr>
      <w:r>
        <w:rPr>
          <w:snapToGrid w:val="0"/>
        </w:rPr>
        <w:t>To ................................................................................... Serial No. ......................</w:t>
      </w:r>
      <w:r>
        <w:rPr>
          <w:snapToGrid w:val="0"/>
        </w:rPr>
        <w:br/>
        <w:t>(not to be completed</w:t>
      </w:r>
    </w:p>
    <w:p>
      <w:pPr>
        <w:pStyle w:val="yMiscellaneousBody"/>
        <w:spacing w:before="0"/>
        <w:ind w:left="284"/>
        <w:rPr>
          <w:snapToGrid w:val="0"/>
        </w:rPr>
      </w:pPr>
      <w:r>
        <w:rPr>
          <w:snapToGrid w:val="0"/>
        </w:rPr>
        <w:t>...................................................................................</w:t>
      </w:r>
    </w:p>
    <w:p>
      <w:pPr>
        <w:pStyle w:val="yMiscellaneousBody"/>
        <w:spacing w:before="0"/>
        <w:ind w:left="284"/>
        <w:rPr>
          <w:snapToGrid w:val="0"/>
        </w:rPr>
      </w:pPr>
      <w:r>
        <w:rPr>
          <w:snapToGrid w:val="0"/>
        </w:rPr>
        <w:t>where notice is attached</w:t>
      </w:r>
    </w:p>
    <w:p>
      <w:pPr>
        <w:pStyle w:val="yMiscellaneousBody"/>
        <w:spacing w:before="0"/>
        <w:ind w:left="284"/>
        <w:rPr>
          <w:snapToGrid w:val="0"/>
        </w:rPr>
      </w:pPr>
      <w:r>
        <w:rPr>
          <w:snapToGrid w:val="0"/>
        </w:rPr>
        <w:t>.................................................................................. Date.................................</w:t>
      </w:r>
    </w:p>
    <w:p>
      <w:pPr>
        <w:pStyle w:val="yMiscellaneousBody"/>
        <w:spacing w:before="0"/>
        <w:ind w:left="284"/>
        <w:rPr>
          <w:snapToGrid w:val="0"/>
        </w:rPr>
      </w:pPr>
      <w:r>
        <w:rPr>
          <w:snapToGrid w:val="0"/>
        </w:rPr>
        <w:t>to or left in or on vehicle)</w:t>
      </w:r>
    </w:p>
    <w:p>
      <w:pPr>
        <w:pStyle w:val="yMiscellaneousBody"/>
        <w:rPr>
          <w:snapToGrid w:val="0"/>
        </w:rPr>
      </w:pPr>
      <w:r>
        <w:rPr>
          <w:szCs w:val="22"/>
        </w:rPr>
        <w:t>the responsible person for</w:t>
      </w:r>
      <w:r>
        <w:rPr>
          <w:snapToGrid w:val="0"/>
        </w:rPr>
        <w:t xml:space="preserve"> vehicle make ................................................. Type .......................... Plate No. ............................ </w:t>
      </w:r>
    </w:p>
    <w:p>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Unless within 14 days after the date of the service of this notice — </w:t>
      </w:r>
    </w:p>
    <w:p>
      <w:pPr>
        <w:pStyle w:val="yMiscellaneousBody"/>
        <w:tabs>
          <w:tab w:val="left" w:pos="426"/>
        </w:tabs>
        <w:ind w:left="851" w:hanging="851"/>
        <w:rPr>
          <w:snapToGrid w:val="0"/>
        </w:rPr>
      </w:pPr>
      <w:r>
        <w:rPr>
          <w:snapToGrid w:val="0"/>
        </w:rPr>
        <w:tab/>
        <w:t>(a)</w:t>
      </w:r>
      <w:r>
        <w:rPr>
          <w:snapToGrid w:val="0"/>
        </w:rPr>
        <w:tab/>
        <w:t>you — </w:t>
      </w:r>
    </w:p>
    <w:p>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pPr>
        <w:pStyle w:val="yMiscellaneousBody"/>
        <w:tabs>
          <w:tab w:val="left" w:pos="426"/>
        </w:tabs>
        <w:ind w:left="851" w:hanging="851"/>
        <w:rPr>
          <w:snapToGrid w:val="0"/>
        </w:rPr>
      </w:pPr>
      <w:r>
        <w:rPr>
          <w:snapToGrid w:val="0"/>
        </w:rPr>
        <w:tab/>
        <w:t>(b)</w:t>
      </w:r>
      <w:r>
        <w:rPr>
          <w:snapToGrid w:val="0"/>
        </w:rPr>
        <w:tab/>
        <w:t>the modified penalty is paid,</w:t>
      </w:r>
    </w:p>
    <w:p>
      <w:pPr>
        <w:pStyle w:val="yMiscellaneousBody"/>
        <w:rPr>
          <w:snapToGrid w:val="0"/>
        </w:rPr>
      </w:pPr>
      <w:r>
        <w:rPr>
          <w:snapToGrid w:val="0"/>
        </w:rPr>
        <w:t>you will be deemed to have committed the above offence and court proceedings may be instituted against you.</w:t>
      </w:r>
    </w:p>
    <w:p>
      <w:pPr>
        <w:pStyle w:val="yMiscellaneousBody"/>
        <w:rPr>
          <w:snapToGrid w:val="0"/>
        </w:rPr>
      </w:pPr>
      <w:r>
        <w:rPr>
          <w:snapToGrid w:val="0"/>
        </w:rPr>
        <w:t>Payment may be made either — </w:t>
      </w:r>
    </w:p>
    <w:p>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t>TO: Public Transport Authority of Western Australia</w:t>
      </w:r>
    </w:p>
    <w:p>
      <w:pPr>
        <w:pStyle w:val="yMiscellaneousBody"/>
        <w:rPr>
          <w:snapToGrid w:val="0"/>
        </w:rPr>
      </w:pPr>
      <w:r>
        <w:rPr>
          <w:snapToGrid w:val="0"/>
        </w:rPr>
        <w:t>The identity and address of the driver or person in charge of the above vehicle at the time of the above offence is as follows — </w:t>
      </w:r>
    </w:p>
    <w:p>
      <w:pPr>
        <w:pStyle w:val="yMiscellaneousBody"/>
        <w:rPr>
          <w:snapToGrid w:val="0"/>
        </w:rPr>
      </w:pPr>
      <w:r>
        <w:rPr>
          <w:snapToGrid w:val="0"/>
        </w:rPr>
        <w:t>Name ...................................</w:t>
      </w:r>
    </w:p>
    <w:p>
      <w:pPr>
        <w:pStyle w:val="yMiscellaneousBody"/>
        <w:rPr>
          <w:snapToGrid w:val="0"/>
        </w:rPr>
      </w:pPr>
      <w:r>
        <w:rPr>
          <w:snapToGrid w:val="0"/>
        </w:rPr>
        <w:t>Address .............................................</w:t>
      </w:r>
    </w:p>
    <w:p>
      <w:pPr>
        <w:pStyle w:val="yMiscellaneousBody"/>
        <w:rPr>
          <w:snapToGrid w:val="0"/>
        </w:rPr>
      </w:pPr>
      <w:r>
        <w:rPr>
          <w:snapToGrid w:val="0"/>
        </w:rPr>
        <w:t>.......................................</w:t>
      </w:r>
      <w:r>
        <w:rPr>
          <w:snapToGrid w:val="0"/>
        </w:rPr>
        <w:br/>
        <w:t>Signed</w:t>
      </w:r>
      <w:r>
        <w:rPr>
          <w:snapToGrid w:val="0"/>
        </w:rPr>
        <w:br/>
      </w:r>
      <w:r>
        <w:rPr>
          <w:szCs w:val="22"/>
        </w:rPr>
        <w:t>(Responsible person for</w:t>
      </w:r>
      <w:r>
        <w:rPr>
          <w:snapToGrid w:val="0"/>
        </w:rPr>
        <w:t xml:space="preserve"> vehicle)</w:t>
      </w:r>
    </w:p>
    <w:p>
      <w:pPr>
        <w:pStyle w:val="yMiscellaneousBody"/>
        <w:rPr>
          <w:snapToGrid w:val="0"/>
        </w:rPr>
      </w:pPr>
      <w:r>
        <w:rPr>
          <w:snapToGrid w:val="0"/>
        </w:rPr>
        <w:t>.....................</w:t>
      </w:r>
      <w:r>
        <w:rPr>
          <w:snapToGrid w:val="0"/>
        </w:rPr>
        <w:br/>
        <w:t>(Date)</w:t>
      </w:r>
    </w:p>
    <w:p>
      <w:pPr>
        <w:pStyle w:val="yFootnotesection"/>
      </w:pPr>
      <w:r>
        <w:tab/>
        <w:t>[Form 2 amended: Gazette 12 Dec 2003 p. 5044 and 5045; 8 Jan 2015 p. 145</w:t>
      </w:r>
      <w:r>
        <w:noBreakHyphen/>
        <w:t>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3" w:name="_Toc470187281"/>
      <w:r>
        <w:t>Notes</w:t>
      </w:r>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(Parking Stations) By-law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470187282"/>
      <w:r>
        <w:rPr>
          <w:snapToGrid w:val="0"/>
        </w:rPr>
        <w:t>Compilation table</w:t>
      </w:r>
      <w:bookmarkEnd w:id="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By</w:t>
            </w:r>
            <w:r>
              <w:rPr>
                <w:i/>
                <w:snapToGrid w:val="0"/>
              </w:rPr>
              <w:noBreakHyphen/>
              <w:t>law No. 80 — Government Railways Parking Station By</w:t>
            </w:r>
            <w:r>
              <w:rPr>
                <w:i/>
                <w:snapToGrid w:val="0"/>
              </w:rPr>
              <w:noBreakHyphen/>
              <w:t>law</w:t>
            </w:r>
            <w:r>
              <w:rPr>
                <w:snapToGrid w:val="0"/>
              </w:rPr>
              <w:t> </w:t>
            </w:r>
            <w:r>
              <w:rPr>
                <w:rFonts w:ascii="Times" w:hAnsi="Times"/>
                <w:snapToGrid w:val="0"/>
                <w:vertAlign w:val="superscript"/>
              </w:rPr>
              <w:t>2</w:t>
            </w:r>
          </w:p>
        </w:tc>
        <w:tc>
          <w:tcPr>
            <w:tcW w:w="1276" w:type="dxa"/>
            <w:tcBorders>
              <w:top w:val="single" w:sz="8" w:space="0" w:color="auto"/>
            </w:tcBorders>
          </w:tcPr>
          <w:p>
            <w:pPr>
              <w:pStyle w:val="nTable"/>
              <w:spacing w:after="40"/>
            </w:pPr>
            <w:r>
              <w:t>9 May 1997 p. 2304</w:t>
            </w:r>
            <w:r>
              <w:noBreakHyphen/>
              <w:t>13</w:t>
            </w:r>
          </w:p>
        </w:tc>
        <w:tc>
          <w:tcPr>
            <w:tcW w:w="2693" w:type="dxa"/>
            <w:tcBorders>
              <w:top w:val="single" w:sz="8" w:space="0" w:color="auto"/>
            </w:tcBorders>
          </w:tcPr>
          <w:p>
            <w:pPr>
              <w:pStyle w:val="nTable"/>
              <w:spacing w:after="40"/>
            </w:pPr>
            <w:r>
              <w:t>9 May 1997</w:t>
            </w:r>
          </w:p>
        </w:tc>
      </w:tr>
      <w:tr>
        <w:tc>
          <w:tcPr>
            <w:tcW w:w="3118" w:type="dxa"/>
          </w:tcPr>
          <w:p>
            <w:pPr>
              <w:pStyle w:val="nTable"/>
              <w:spacing w:after="40"/>
              <w:rPr>
                <w:i/>
                <w:snapToGrid w:val="0"/>
              </w:rPr>
            </w:pPr>
            <w:r>
              <w:rPr>
                <w:i/>
                <w:snapToGrid w:val="0"/>
              </w:rPr>
              <w:t>Government Railways Amendment and Repeal By</w:t>
            </w:r>
            <w:r>
              <w:rPr>
                <w:i/>
                <w:snapToGrid w:val="0"/>
              </w:rPr>
              <w:noBreakHyphen/>
              <w:t xml:space="preserve">laws 2003 </w:t>
            </w:r>
            <w:r>
              <w:rPr>
                <w:snapToGrid w:val="0"/>
              </w:rPr>
              <w:t>bl. 4</w:t>
            </w:r>
          </w:p>
        </w:tc>
        <w:tc>
          <w:tcPr>
            <w:tcW w:w="1276" w:type="dxa"/>
          </w:tcPr>
          <w:p>
            <w:pPr>
              <w:pStyle w:val="nTable"/>
              <w:spacing w:after="40"/>
            </w:pPr>
            <w:r>
              <w:t>12 Dec 2003 p. 5041</w:t>
            </w:r>
            <w:r>
              <w:noBreakHyphen/>
              <w:t>7</w:t>
            </w:r>
          </w:p>
        </w:tc>
        <w:tc>
          <w:tcPr>
            <w:tcW w:w="2693" w:type="dxa"/>
          </w:tcPr>
          <w:p>
            <w:pPr>
              <w:pStyle w:val="nTable"/>
              <w:spacing w:after="40"/>
            </w:pPr>
            <w:r>
              <w:t>12 Dec 2003</w:t>
            </w:r>
          </w:p>
        </w:tc>
      </w:tr>
      <w:tr>
        <w:trPr>
          <w:cantSplit/>
        </w:trPr>
        <w:tc>
          <w:tcPr>
            <w:tcW w:w="7087" w:type="dxa"/>
            <w:gridSpan w:val="3"/>
          </w:tcPr>
          <w:p>
            <w:pPr>
              <w:pStyle w:val="nTable"/>
              <w:spacing w:after="40"/>
            </w:pPr>
            <w:r>
              <w:rPr>
                <w:b/>
              </w:rPr>
              <w:t>Reprint 1: The </w:t>
            </w:r>
            <w:r>
              <w:rPr>
                <w:b/>
                <w:i/>
                <w:noProof/>
                <w:snapToGrid w:val="0"/>
              </w:rPr>
              <w:t>Government Railways (Parking Stations) By-law 1997</w:t>
            </w:r>
            <w:r>
              <w:rPr>
                <w:b/>
                <w:noProof/>
                <w:snapToGrid w:val="0"/>
              </w:rPr>
              <w:t xml:space="preserve"> as at 9 Jul 2004</w:t>
            </w:r>
            <w:r>
              <w:rPr>
                <w:noProof/>
                <w:snapToGrid w:val="0"/>
              </w:rPr>
              <w:t xml:space="preserve"> (includes amendments listed above)</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2007</w:t>
            </w:r>
          </w:p>
        </w:tc>
        <w:tc>
          <w:tcPr>
            <w:tcW w:w="1276" w:type="dxa"/>
          </w:tcPr>
          <w:p>
            <w:pPr>
              <w:pStyle w:val="nTable"/>
              <w:spacing w:after="40"/>
            </w:pPr>
            <w:r>
              <w:t>26 Jun 2007 p. 3059-60</w:t>
            </w:r>
          </w:p>
        </w:tc>
        <w:tc>
          <w:tcPr>
            <w:tcW w:w="2693" w:type="dxa"/>
          </w:tcPr>
          <w:p>
            <w:pPr>
              <w:pStyle w:val="nTable"/>
            </w:pPr>
            <w:r>
              <w:t>r. 1 and 2: 26 Jun 2007 (see r. 2(a));</w:t>
            </w:r>
          </w:p>
          <w:p>
            <w:pPr>
              <w:pStyle w:val="nTable"/>
              <w:spacing w:before="0" w:after="40"/>
            </w:pPr>
            <w:r>
              <w:t>By-law other than r. 1 and 2: 1 Jul 2007 (see r. 2(b))</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2013</w:t>
            </w:r>
          </w:p>
        </w:tc>
        <w:tc>
          <w:tcPr>
            <w:tcW w:w="1276" w:type="dxa"/>
          </w:tcPr>
          <w:p>
            <w:pPr>
              <w:pStyle w:val="nTable"/>
              <w:spacing w:after="40"/>
            </w:pPr>
            <w:r>
              <w:t>5 Nov 2013 p. 4943-9</w:t>
            </w:r>
          </w:p>
        </w:tc>
        <w:tc>
          <w:tcPr>
            <w:tcW w:w="2693" w:type="dxa"/>
          </w:tcPr>
          <w:p>
            <w:pPr>
              <w:pStyle w:val="nTable"/>
            </w:pPr>
            <w:r>
              <w:t>r. 1 and 2: 5 Nov 2013 (see r. 2(a));</w:t>
            </w:r>
            <w:r>
              <w:br/>
              <w:t>By-law other than r. 1 and 2: 6 Nov 2013 (see r. 2(b))</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2014</w:t>
            </w:r>
          </w:p>
        </w:tc>
        <w:tc>
          <w:tcPr>
            <w:tcW w:w="1276" w:type="dxa"/>
          </w:tcPr>
          <w:p>
            <w:pPr>
              <w:pStyle w:val="nTable"/>
              <w:spacing w:after="40"/>
            </w:pPr>
            <w:r>
              <w:t>13 Jun 2014 p. 1899</w:t>
            </w:r>
            <w:r>
              <w:noBreakHyphen/>
              <w:t>900</w:t>
            </w:r>
          </w:p>
        </w:tc>
        <w:tc>
          <w:tcPr>
            <w:tcW w:w="2693" w:type="dxa"/>
          </w:tcPr>
          <w:p>
            <w:pPr>
              <w:pStyle w:val="nTable"/>
            </w:pPr>
            <w:r>
              <w:t>r</w:t>
            </w:r>
            <w:r>
              <w:rPr>
                <w:rFonts w:ascii="Times" w:hAnsi="Times"/>
                <w:bCs/>
                <w:snapToGrid w:val="0"/>
                <w:spacing w:val="-2"/>
              </w:rPr>
              <w:t>. 1 and 2: 13 Jun 2014 (see r. 2(a));</w:t>
            </w:r>
            <w:r>
              <w:rPr>
                <w:rFonts w:ascii="Times" w:hAnsi="Times"/>
                <w:bCs/>
                <w:snapToGrid w:val="0"/>
                <w:spacing w:val="-2"/>
              </w:rPr>
              <w:br/>
              <w:t xml:space="preserve">By-law other than </w:t>
            </w:r>
            <w:r>
              <w:t>r</w:t>
            </w:r>
            <w:r>
              <w:rPr>
                <w:rFonts w:ascii="Times" w:hAnsi="Times"/>
                <w:bCs/>
                <w:snapToGrid w:val="0"/>
                <w:spacing w:val="-2"/>
              </w:rPr>
              <w:t>. 1 and 2: 14 Jun 2014 (see r. 2(b))</w:t>
            </w:r>
          </w:p>
        </w:tc>
      </w:tr>
      <w:tr>
        <w:tc>
          <w:tcPr>
            <w:tcW w:w="3118" w:type="dxa"/>
          </w:tcPr>
          <w:p>
            <w:pPr>
              <w:pStyle w:val="nTable"/>
              <w:spacing w:after="40"/>
              <w:rPr>
                <w:i/>
                <w:snapToGrid w:val="0"/>
              </w:rPr>
            </w:pPr>
            <w:r>
              <w:rPr>
                <w:i/>
              </w:rPr>
              <w:t>Government Railways (Parking Stations) Amendment By</w:t>
            </w:r>
            <w:r>
              <w:rPr>
                <w:i/>
              </w:rPr>
              <w:noBreakHyphen/>
              <w:t>law (No. 2) 2014</w:t>
            </w:r>
          </w:p>
        </w:tc>
        <w:tc>
          <w:tcPr>
            <w:tcW w:w="1276" w:type="dxa"/>
          </w:tcPr>
          <w:p>
            <w:pPr>
              <w:pStyle w:val="nTable"/>
              <w:spacing w:after="40"/>
            </w:pPr>
            <w:r>
              <w:t>8 Jan 2015 p. 143</w:t>
            </w:r>
            <w:r>
              <w:noBreakHyphen/>
              <w:t>6</w:t>
            </w:r>
          </w:p>
        </w:tc>
        <w:tc>
          <w:tcPr>
            <w:tcW w:w="2693" w:type="dxa"/>
          </w:tcPr>
          <w:p>
            <w:pPr>
              <w:pStyle w:val="nTable"/>
              <w:rPr>
                <w:rFonts w:ascii="Times" w:hAnsi="Times"/>
                <w:bCs/>
                <w:snapToGrid w:val="0"/>
                <w:spacing w:val="-2"/>
              </w:rPr>
            </w:pPr>
            <w:r>
              <w:t>r</w:t>
            </w:r>
            <w:r>
              <w:rPr>
                <w:rFonts w:ascii="Times" w:hAnsi="Times"/>
                <w:bCs/>
                <w:snapToGrid w:val="0"/>
                <w:spacing w:val="-2"/>
              </w:rPr>
              <w:t>. 1 and 2: 8 Jan 2015 (see r. 2(a));</w:t>
            </w:r>
            <w:r>
              <w:rPr>
                <w:rFonts w:ascii="Times" w:hAnsi="Times"/>
                <w:bCs/>
                <w:snapToGrid w:val="0"/>
                <w:spacing w:val="-2"/>
              </w:rPr>
              <w:br/>
              <w:t xml:space="preserve">By-law other than </w:t>
            </w:r>
            <w:r>
              <w:t>r</w:t>
            </w:r>
            <w:r>
              <w:rPr>
                <w:rFonts w:ascii="Times" w:hAnsi="Times"/>
                <w:bCs/>
                <w:snapToGrid w:val="0"/>
                <w:spacing w:val="-2"/>
              </w:rPr>
              <w:t xml:space="preserve">.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tcBorders>
              <w:bottom w:val="single" w:sz="4" w:space="0" w:color="auto"/>
            </w:tcBorders>
          </w:tcPr>
          <w:p>
            <w:pPr>
              <w:pStyle w:val="nTable"/>
              <w:spacing w:after="40"/>
            </w:pPr>
            <w:r>
              <w:rPr>
                <w:i/>
              </w:rPr>
              <w:t>Government Railways (Parking Stations) Amendment By law 2016</w:t>
            </w:r>
          </w:p>
        </w:tc>
        <w:tc>
          <w:tcPr>
            <w:tcW w:w="1276" w:type="dxa"/>
            <w:tcBorders>
              <w:bottom w:val="single" w:sz="4" w:space="0" w:color="auto"/>
            </w:tcBorders>
          </w:tcPr>
          <w:p>
            <w:pPr>
              <w:pStyle w:val="nTable"/>
              <w:spacing w:after="40"/>
            </w:pPr>
            <w:r>
              <w:t>23 Dec 2016 p. 5910</w:t>
            </w:r>
            <w:r>
              <w:noBreakHyphen/>
              <w:t>11</w:t>
            </w:r>
          </w:p>
        </w:tc>
        <w:tc>
          <w:tcPr>
            <w:tcW w:w="2693" w:type="dxa"/>
            <w:tcBorders>
              <w:bottom w:val="single" w:sz="4" w:space="0" w:color="auto"/>
            </w:tcBorders>
          </w:tcPr>
          <w:p>
            <w:pPr>
              <w:pStyle w:val="nTable"/>
              <w:rPr>
                <w:rFonts w:ascii="Times" w:hAnsi="Times"/>
                <w:bCs/>
                <w:snapToGrid w:val="0"/>
                <w:spacing w:val="-2"/>
              </w:rPr>
            </w:pPr>
            <w:r>
              <w:t>r</w:t>
            </w:r>
            <w:r>
              <w:rPr>
                <w:rFonts w:ascii="Times" w:hAnsi="Times"/>
                <w:bCs/>
                <w:snapToGrid w:val="0"/>
                <w:spacing w:val="-2"/>
              </w:rPr>
              <w:t>. 1 and 2: 23 Dec 2016 (see r. 2(a));</w:t>
            </w:r>
            <w:r>
              <w:rPr>
                <w:rFonts w:ascii="Times" w:hAnsi="Times"/>
                <w:bCs/>
                <w:snapToGrid w:val="0"/>
                <w:spacing w:val="-2"/>
              </w:rPr>
              <w:br/>
              <w:t xml:space="preserve">By-law other than </w:t>
            </w:r>
            <w:r>
              <w:t>r</w:t>
            </w:r>
            <w:r>
              <w:rPr>
                <w:rFonts w:ascii="Times" w:hAnsi="Times"/>
                <w:bCs/>
                <w:snapToGrid w:val="0"/>
                <w:spacing w:val="-2"/>
              </w:rPr>
              <w:t>. 1 and 2: 24 Dec 2016 (see r. 2(b))</w:t>
            </w:r>
          </w:p>
        </w:tc>
      </w:tr>
    </w:tbl>
    <w:p>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46" w:name="_Toc470187283"/>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permit</w:t>
      </w:r>
      <w:r>
        <w:tab/>
        <w:t>1(1)</w:t>
      </w:r>
    </w:p>
    <w:p>
      <w:pPr>
        <w:pStyle w:val="DefinedTerms"/>
      </w:pPr>
      <w:r>
        <w:t>authorised person</w:t>
      </w:r>
      <w:r>
        <w:tab/>
        <w:t>1(1)</w:t>
      </w:r>
    </w:p>
    <w:p>
      <w:pPr>
        <w:pStyle w:val="DefinedTerms"/>
      </w:pPr>
      <w:r>
        <w:t>bicycle</w:t>
      </w:r>
      <w:r>
        <w:tab/>
        <w:t>1(1)</w:t>
      </w:r>
    </w:p>
    <w:p>
      <w:pPr>
        <w:pStyle w:val="DefinedTerms"/>
      </w:pPr>
      <w:r>
        <w:t>designated</w:t>
      </w:r>
      <w:r>
        <w:tab/>
        <w:t>1(1)</w:t>
      </w:r>
    </w:p>
    <w:p>
      <w:pPr>
        <w:pStyle w:val="DefinedTerms"/>
      </w:pPr>
      <w:r>
        <w:t>driver</w:t>
      </w:r>
      <w:r>
        <w:tab/>
        <w:t>1(1)</w:t>
      </w:r>
    </w:p>
    <w:p>
      <w:pPr>
        <w:pStyle w:val="DefinedTerms"/>
      </w:pPr>
      <w:r>
        <w:t>goods</w:t>
      </w:r>
      <w:r>
        <w:tab/>
        <w:t>10(2)</w:t>
      </w:r>
    </w:p>
    <w:p>
      <w:pPr>
        <w:pStyle w:val="DefinedTerms"/>
      </w:pPr>
      <w:r>
        <w:t>motor cycle</w:t>
      </w:r>
      <w:r>
        <w:tab/>
        <w:t>1(1)</w:t>
      </w:r>
    </w:p>
    <w:p>
      <w:pPr>
        <w:pStyle w:val="DefinedTerms"/>
      </w:pPr>
      <w:r>
        <w:t>motorised scooter</w:t>
      </w:r>
      <w:r>
        <w:tab/>
        <w:t>1(1)</w:t>
      </w:r>
    </w:p>
    <w:p>
      <w:pPr>
        <w:pStyle w:val="DefinedTerms"/>
      </w:pPr>
      <w:r>
        <w:t>owner</w:t>
      </w:r>
      <w:r>
        <w:tab/>
        <w:t>1(1)</w:t>
      </w:r>
    </w:p>
    <w:p>
      <w:pPr>
        <w:pStyle w:val="DefinedTerms"/>
      </w:pPr>
      <w:r>
        <w:t>paid parking station</w:t>
      </w:r>
      <w:r>
        <w:tab/>
        <w:t>1(1)</w:t>
      </w:r>
    </w:p>
    <w:p>
      <w:pPr>
        <w:pStyle w:val="DefinedTerms"/>
      </w:pPr>
      <w:r>
        <w:t>park</w:t>
      </w:r>
      <w:r>
        <w:tab/>
        <w:t>1(1)</w:t>
      </w:r>
    </w:p>
    <w:p>
      <w:pPr>
        <w:pStyle w:val="DefinedTerms"/>
      </w:pPr>
      <w:r>
        <w:t>parking</w:t>
      </w:r>
      <w:r>
        <w:tab/>
        <w:t>1(1)</w:t>
      </w:r>
    </w:p>
    <w:p>
      <w:pPr>
        <w:pStyle w:val="DefinedTerms"/>
      </w:pPr>
      <w:r>
        <w:t>parking space</w:t>
      </w:r>
      <w:r>
        <w:tab/>
        <w:t>1(1)</w:t>
      </w:r>
    </w:p>
    <w:p>
      <w:pPr>
        <w:pStyle w:val="DefinedTerms"/>
      </w:pPr>
      <w:r>
        <w:t>parking station</w:t>
      </w:r>
      <w:r>
        <w:tab/>
        <w:t>1(1)</w:t>
      </w:r>
    </w:p>
    <w:p>
      <w:pPr>
        <w:pStyle w:val="DefinedTerms"/>
      </w:pPr>
      <w:r>
        <w:t>responsible person</w:t>
      </w:r>
      <w:r>
        <w:tab/>
        <w:t>1(1)</w:t>
      </w:r>
    </w:p>
    <w:p>
      <w:pPr>
        <w:pStyle w:val="DefinedTerms"/>
      </w:pPr>
      <w:r>
        <w:t>secured parking station</w:t>
      </w:r>
      <w:r>
        <w:tab/>
        <w:t>1(1)</w:t>
      </w:r>
    </w:p>
    <w:p>
      <w:pPr>
        <w:pStyle w:val="DefinedTerms"/>
      </w:pPr>
      <w:r>
        <w:t>sign</w:t>
      </w:r>
      <w:r>
        <w:tab/>
        <w:t>1(1)</w:t>
      </w:r>
    </w:p>
    <w:p>
      <w:pPr>
        <w:pStyle w:val="DefinedTerms"/>
      </w:pPr>
      <w:r>
        <w:t>stand</w:t>
      </w:r>
      <w:r>
        <w:tab/>
        <w:t>1(1)</w:t>
      </w:r>
    </w:p>
    <w:p>
      <w:pPr>
        <w:pStyle w:val="DefinedTerms"/>
      </w:pPr>
      <w:r>
        <w:t>standing</w:t>
      </w:r>
      <w:r>
        <w:tab/>
        <w:t>1(1)</w:t>
      </w:r>
    </w:p>
    <w:p>
      <w:pPr>
        <w:pStyle w:val="DefinedTerms"/>
      </w:pPr>
      <w:r>
        <w:t>the relevant time</w:t>
      </w:r>
      <w:r>
        <w:tab/>
        <w:t>23(1)</w:t>
      </w:r>
    </w:p>
    <w:p>
      <w:pPr>
        <w:pStyle w:val="DefinedTerms"/>
      </w:pPr>
      <w:r>
        <w:t>ticket vending machine</w:t>
      </w:r>
      <w:r>
        <w:tab/>
        <w:t>14(1)</w:t>
      </w:r>
    </w:p>
    <w:p>
      <w:pPr>
        <w:pStyle w:val="DefinedTerms"/>
      </w:pPr>
      <w:r>
        <w:t>vehicle</w:t>
      </w:r>
      <w:r>
        <w:tab/>
        <w:t>1(1)</w:t>
      </w:r>
    </w:p>
    <w:p>
      <w:pPr>
        <w:pStyle w:val="DefinedTerms"/>
      </w:pPr>
      <w:r>
        <w:t>weekday</w:t>
      </w:r>
      <w:r>
        <w:tab/>
        <w:t>Sch. 1 cl. 1(2)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7680F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2153542"/>
    <w:docVar w:name="WAFER_20140115113114" w:val="RemoveTocBookmarks,RemoveUnusedBookmarks,RemoveLanguageTags,UsedStyles,ResetPageSize,UpdateArrangement"/>
    <w:docVar w:name="WAFER_20140115113114_GUID" w:val="9c19f618-bdb9-46cd-b537-0b15069cda50"/>
    <w:docVar w:name="WAFER_20140115113832" w:val="RemoveTocBookmarks,RunningHeaders"/>
    <w:docVar w:name="WAFER_20140115113832_GUID" w:val="b300aee6-6925-4032-ae70-2dd307729a46"/>
    <w:docVar w:name="WAFER_20140612122621" w:val="RemoveTocBookmarks,RemoveUnusedBookmarks,RemoveLanguageTags,UsedStyles,ResetPageSize,UpdateArrangement"/>
    <w:docVar w:name="WAFER_20140612122621_GUID" w:val="a9f7701f-42a0-4211-a566-0208c9617c85"/>
    <w:docVar w:name="WAFER_20150108164117" w:val="RemoveTocBookmarks,RunningHeaders"/>
    <w:docVar w:name="WAFER_20150108164117_GUID" w:val="536b4886-e06d-4234-942e-633f92ef6f51"/>
    <w:docVar w:name="WAFER_20150415161626" w:val="ResetPageSize,UpdateArrangement,UpdateNTable"/>
    <w:docVar w:name="WAFER_20150415161626_GUID" w:val="9d6f5996-2f1d-486e-9493-25783734a135"/>
    <w:docVar w:name="WAFER_20151127084757" w:val="UpdateStyles"/>
    <w:docVar w:name="WAFER_20151127084757_GUID" w:val="84ccf035-5d46-4588-9800-e9555761d57d"/>
    <w:docVar w:name="WAFER_20151127090345" w:val="UsedStyles"/>
    <w:docVar w:name="WAFER_20151127090345_GUID" w:val="6abe8a84-a9c4-4faa-9be3-540b1aca3c9b"/>
    <w:docVar w:name="WAFER_20161222153542" w:val="RemoveTocBookmarks,RemoveUnusedBookmarks,RemoveLanguageTags,UsedStyles,ResetPageSize"/>
    <w:docVar w:name="WAFER_20161222153542_GUID" w:val="d7a4ce7f-6160-4f01-8a90-cd6a62797e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1644-F3B1-42D3-970D-92094185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5356</Words>
  <Characters>27907</Characters>
  <Application>Microsoft Office Word</Application>
  <DocSecurity>0</DocSecurity>
  <Lines>797</Lines>
  <Paragraphs>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1997 - 01-g0-03</dc:title>
  <dc:subject/>
  <dc:creator/>
  <cp:keywords/>
  <dc:description/>
  <cp:lastModifiedBy>svcMRProcess</cp:lastModifiedBy>
  <cp:revision>4</cp:revision>
  <cp:lastPrinted>2014-06-18T02:05:00Z</cp:lastPrinted>
  <dcterms:created xsi:type="dcterms:W3CDTF">2019-01-16T04:49:00Z</dcterms:created>
  <dcterms:modified xsi:type="dcterms:W3CDTF">2019-01-16T04:49:00Z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OWLSUId">
    <vt:i4>330</vt:i4>
  </property>
  <property fmtid="{D5CDD505-2E9C-101B-9397-08002B2CF9AE}" pid="4" name="DocumentType">
    <vt:lpwstr>Reg</vt:lpwstr>
  </property>
  <property fmtid="{D5CDD505-2E9C-101B-9397-08002B2CF9AE}" pid="5" name="CommencementDate">
    <vt:lpwstr>20161224</vt:lpwstr>
  </property>
  <property fmtid="{D5CDD505-2E9C-101B-9397-08002B2CF9AE}" pid="6" name="AsAtDate">
    <vt:lpwstr>24 Dec 2016</vt:lpwstr>
  </property>
  <property fmtid="{D5CDD505-2E9C-101B-9397-08002B2CF9AE}" pid="7" name="Suffix">
    <vt:lpwstr>01-g0-03</vt:lpwstr>
  </property>
</Properties>
</file>