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Transport Authority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Transport Authority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Transport Authority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_Toc470187399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_Toc470187400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_Toc470187401 \h </w:instrText>
      </w:r>
      <w:r>
        <w:fldChar w:fldCharType="separate"/>
      </w:r>
      <w:r>
        <w:t>1</w:t>
      </w:r>
      <w:r>
        <w:fldChar w:fldCharType="end"/>
      </w:r>
    </w:p>
    <w:p>
      <w:pPr>
        <w:pStyle w:val="TOC8"/>
        <w:rPr>
          <w:rFonts w:asciiTheme="minorHAnsi" w:eastAsiaTheme="minorEastAsia" w:hAnsiTheme="minorHAnsi" w:cstheme="minorBidi"/>
          <w:szCs w:val="22"/>
        </w:rPr>
      </w:pPr>
      <w:r>
        <w:t>4.</w:t>
      </w:r>
      <w:r>
        <w:tab/>
        <w:t>Offences prescribed as infringement notice offences</w:t>
      </w:r>
      <w:r>
        <w:tab/>
      </w:r>
      <w:r>
        <w:fldChar w:fldCharType="begin"/>
      </w:r>
      <w:r>
        <w:instrText xml:space="preserve"> PAGEREF _Toc470187402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Tickets</w:t>
      </w:r>
    </w:p>
    <w:p>
      <w:pPr>
        <w:pStyle w:val="TOC8"/>
        <w:rPr>
          <w:rFonts w:asciiTheme="minorHAnsi" w:eastAsiaTheme="minorEastAsia" w:hAnsiTheme="minorHAnsi" w:cstheme="minorBidi"/>
          <w:szCs w:val="22"/>
        </w:rPr>
      </w:pPr>
      <w:r>
        <w:t>5.</w:t>
      </w:r>
      <w:r>
        <w:tab/>
        <w:t>Invalid ticket</w:t>
      </w:r>
      <w:r>
        <w:tab/>
      </w:r>
      <w:r>
        <w:fldChar w:fldCharType="begin"/>
      </w:r>
      <w:r>
        <w:instrText xml:space="preserve"> PAGEREF _Toc470187404 \h </w:instrText>
      </w:r>
      <w:r>
        <w:fldChar w:fldCharType="separate"/>
      </w:r>
      <w:r>
        <w:t>3</w:t>
      </w:r>
      <w:r>
        <w:fldChar w:fldCharType="end"/>
      </w:r>
    </w:p>
    <w:p>
      <w:pPr>
        <w:pStyle w:val="TOC8"/>
        <w:rPr>
          <w:rFonts w:asciiTheme="minorHAnsi" w:eastAsiaTheme="minorEastAsia" w:hAnsiTheme="minorHAnsi" w:cstheme="minorBidi"/>
          <w:szCs w:val="22"/>
        </w:rPr>
      </w:pPr>
      <w:r>
        <w:t>6.</w:t>
      </w:r>
      <w:r>
        <w:tab/>
        <w:t>Using a public passenger transport service without a valid ticket</w:t>
      </w:r>
      <w:r>
        <w:tab/>
      </w:r>
      <w:r>
        <w:fldChar w:fldCharType="begin"/>
      </w:r>
      <w:r>
        <w:instrText xml:space="preserve"> PAGEREF _Toc470187405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Conduct in relation to Authority property</w:t>
      </w:r>
    </w:p>
    <w:p>
      <w:pPr>
        <w:pStyle w:val="TOC8"/>
        <w:rPr>
          <w:rFonts w:asciiTheme="minorHAnsi" w:eastAsiaTheme="minorEastAsia" w:hAnsiTheme="minorHAnsi" w:cstheme="minorBidi"/>
          <w:szCs w:val="22"/>
        </w:rPr>
      </w:pPr>
      <w:r>
        <w:t>7.</w:t>
      </w:r>
      <w:r>
        <w:tab/>
        <w:t>Interference with property</w:t>
      </w:r>
      <w:r>
        <w:tab/>
      </w:r>
      <w:r>
        <w:fldChar w:fldCharType="begin"/>
      </w:r>
      <w:r>
        <w:instrText xml:space="preserve"> PAGEREF _Toc470187407 \h </w:instrText>
      </w:r>
      <w:r>
        <w:fldChar w:fldCharType="separate"/>
      </w:r>
      <w:r>
        <w:t>5</w:t>
      </w:r>
      <w:r>
        <w:fldChar w:fldCharType="end"/>
      </w:r>
    </w:p>
    <w:p>
      <w:pPr>
        <w:pStyle w:val="TOC8"/>
        <w:rPr>
          <w:rFonts w:asciiTheme="minorHAnsi" w:eastAsiaTheme="minorEastAsia" w:hAnsiTheme="minorHAnsi" w:cstheme="minorBidi"/>
          <w:szCs w:val="22"/>
        </w:rPr>
      </w:pPr>
      <w:r>
        <w:t>8.</w:t>
      </w:r>
      <w:r>
        <w:tab/>
        <w:t>Travelling on part of conveyance not intended for conveyance of passengers</w:t>
      </w:r>
      <w:r>
        <w:tab/>
      </w:r>
      <w:r>
        <w:fldChar w:fldCharType="begin"/>
      </w:r>
      <w:r>
        <w:instrText xml:space="preserve"> PAGEREF _Toc470187408 \h </w:instrText>
      </w:r>
      <w:r>
        <w:fldChar w:fldCharType="separate"/>
      </w:r>
      <w:r>
        <w:t>5</w:t>
      </w:r>
      <w:r>
        <w:fldChar w:fldCharType="end"/>
      </w:r>
    </w:p>
    <w:p>
      <w:pPr>
        <w:pStyle w:val="TOC8"/>
        <w:rPr>
          <w:rFonts w:asciiTheme="minorHAnsi" w:eastAsiaTheme="minorEastAsia" w:hAnsiTheme="minorHAnsi" w:cstheme="minorBidi"/>
          <w:szCs w:val="22"/>
        </w:rPr>
      </w:pPr>
      <w:r>
        <w:t>9.</w:t>
      </w:r>
      <w:r>
        <w:tab/>
        <w:t>Entering or leaving a conveyance other than through a door</w:t>
      </w:r>
      <w:r>
        <w:tab/>
      </w:r>
      <w:r>
        <w:fldChar w:fldCharType="begin"/>
      </w:r>
      <w:r>
        <w:instrText xml:space="preserve"> PAGEREF _Toc470187409 \h </w:instrText>
      </w:r>
      <w:r>
        <w:fldChar w:fldCharType="separate"/>
      </w:r>
      <w:r>
        <w:t>5</w:t>
      </w:r>
      <w:r>
        <w:fldChar w:fldCharType="end"/>
      </w:r>
    </w:p>
    <w:p>
      <w:pPr>
        <w:pStyle w:val="TOC8"/>
        <w:rPr>
          <w:rFonts w:asciiTheme="minorHAnsi" w:eastAsiaTheme="minorEastAsia" w:hAnsiTheme="minorHAnsi" w:cstheme="minorBidi"/>
          <w:szCs w:val="22"/>
        </w:rPr>
      </w:pPr>
      <w:r>
        <w:t>10.</w:t>
      </w:r>
      <w:r>
        <w:tab/>
        <w:t>No standing allowed in certain areas on a conveyance</w:t>
      </w:r>
      <w:r>
        <w:tab/>
      </w:r>
      <w:r>
        <w:fldChar w:fldCharType="begin"/>
      </w:r>
      <w:r>
        <w:instrText xml:space="preserve"> PAGEREF _Toc470187410 \h </w:instrText>
      </w:r>
      <w:r>
        <w:fldChar w:fldCharType="separate"/>
      </w:r>
      <w:r>
        <w:t>6</w:t>
      </w:r>
      <w:r>
        <w:fldChar w:fldCharType="end"/>
      </w:r>
    </w:p>
    <w:p>
      <w:pPr>
        <w:pStyle w:val="TOC8"/>
        <w:rPr>
          <w:rFonts w:asciiTheme="minorHAnsi" w:eastAsiaTheme="minorEastAsia" w:hAnsiTheme="minorHAnsi" w:cstheme="minorBidi"/>
          <w:szCs w:val="22"/>
        </w:rPr>
      </w:pPr>
      <w:r>
        <w:t>11.</w:t>
      </w:r>
      <w:r>
        <w:tab/>
        <w:t>Smoking prohibited</w:t>
      </w:r>
      <w:r>
        <w:tab/>
      </w:r>
      <w:r>
        <w:fldChar w:fldCharType="begin"/>
      </w:r>
      <w:r>
        <w:instrText xml:space="preserve"> PAGEREF _Toc470187411 \h </w:instrText>
      </w:r>
      <w:r>
        <w:fldChar w:fldCharType="separate"/>
      </w:r>
      <w:r>
        <w:t>6</w:t>
      </w:r>
      <w:r>
        <w:fldChar w:fldCharType="end"/>
      </w:r>
    </w:p>
    <w:p>
      <w:pPr>
        <w:pStyle w:val="TOC8"/>
        <w:rPr>
          <w:rFonts w:asciiTheme="minorHAnsi" w:eastAsiaTheme="minorEastAsia" w:hAnsiTheme="minorHAnsi" w:cstheme="minorBidi"/>
          <w:szCs w:val="22"/>
        </w:rPr>
      </w:pPr>
      <w:r>
        <w:t>12.</w:t>
      </w:r>
      <w:r>
        <w:tab/>
        <w:t>Consumption of alcohol</w:t>
      </w:r>
      <w:r>
        <w:tab/>
      </w:r>
      <w:r>
        <w:fldChar w:fldCharType="begin"/>
      </w:r>
      <w:r>
        <w:instrText xml:space="preserve"> PAGEREF _Toc470187412 \h </w:instrText>
      </w:r>
      <w:r>
        <w:fldChar w:fldCharType="separate"/>
      </w:r>
      <w:r>
        <w:t>6</w:t>
      </w:r>
      <w:r>
        <w:fldChar w:fldCharType="end"/>
      </w:r>
    </w:p>
    <w:p>
      <w:pPr>
        <w:pStyle w:val="TOC8"/>
        <w:rPr>
          <w:rFonts w:asciiTheme="minorHAnsi" w:eastAsiaTheme="minorEastAsia" w:hAnsiTheme="minorHAnsi" w:cstheme="minorBidi"/>
          <w:szCs w:val="22"/>
        </w:rPr>
      </w:pPr>
      <w:r>
        <w:t>13.</w:t>
      </w:r>
      <w:r>
        <w:tab/>
        <w:t>Nuisance</w:t>
      </w:r>
      <w:r>
        <w:tab/>
      </w:r>
      <w:r>
        <w:fldChar w:fldCharType="begin"/>
      </w:r>
      <w:r>
        <w:instrText xml:space="preserve"> PAGEREF _Toc470187413 \h </w:instrText>
      </w:r>
      <w:r>
        <w:fldChar w:fldCharType="separate"/>
      </w:r>
      <w:r>
        <w:t>7</w:t>
      </w:r>
      <w:r>
        <w:fldChar w:fldCharType="end"/>
      </w:r>
    </w:p>
    <w:p>
      <w:pPr>
        <w:pStyle w:val="TOC8"/>
        <w:rPr>
          <w:rFonts w:asciiTheme="minorHAnsi" w:eastAsiaTheme="minorEastAsia" w:hAnsiTheme="minorHAnsi" w:cstheme="minorBidi"/>
          <w:szCs w:val="22"/>
        </w:rPr>
      </w:pPr>
      <w:r>
        <w:t>14.</w:t>
      </w:r>
      <w:r>
        <w:tab/>
        <w:t>Begging and busking prohibited</w:t>
      </w:r>
      <w:r>
        <w:tab/>
      </w:r>
      <w:r>
        <w:fldChar w:fldCharType="begin"/>
      </w:r>
      <w:r>
        <w:instrText xml:space="preserve"> PAGEREF _Toc470187414 \h </w:instrText>
      </w:r>
      <w:r>
        <w:fldChar w:fldCharType="separate"/>
      </w:r>
      <w:r>
        <w:t>7</w:t>
      </w:r>
      <w:r>
        <w:fldChar w:fldCharType="end"/>
      </w:r>
    </w:p>
    <w:p>
      <w:pPr>
        <w:pStyle w:val="TOC8"/>
        <w:rPr>
          <w:rFonts w:asciiTheme="minorHAnsi" w:eastAsiaTheme="minorEastAsia" w:hAnsiTheme="minorHAnsi" w:cstheme="minorBidi"/>
          <w:szCs w:val="22"/>
        </w:rPr>
      </w:pPr>
      <w:r>
        <w:t>15.</w:t>
      </w:r>
      <w:r>
        <w:tab/>
        <w:t>Damage to a conveyance or facility</w:t>
      </w:r>
      <w:r>
        <w:tab/>
      </w:r>
      <w:r>
        <w:fldChar w:fldCharType="begin"/>
      </w:r>
      <w:r>
        <w:instrText xml:space="preserve"> PAGEREF _Toc470187415 \h </w:instrText>
      </w:r>
      <w:r>
        <w:fldChar w:fldCharType="separate"/>
      </w:r>
      <w:r>
        <w:t>7</w:t>
      </w:r>
      <w:r>
        <w:fldChar w:fldCharType="end"/>
      </w:r>
    </w:p>
    <w:p>
      <w:pPr>
        <w:pStyle w:val="TOC8"/>
        <w:rPr>
          <w:rFonts w:asciiTheme="minorHAnsi" w:eastAsiaTheme="minorEastAsia" w:hAnsiTheme="minorHAnsi" w:cstheme="minorBidi"/>
          <w:szCs w:val="22"/>
        </w:rPr>
      </w:pPr>
      <w:r>
        <w:t>16.</w:t>
      </w:r>
      <w:r>
        <w:tab/>
        <w:t>Audible devices</w:t>
      </w:r>
      <w:r>
        <w:tab/>
      </w:r>
      <w:r>
        <w:fldChar w:fldCharType="begin"/>
      </w:r>
      <w:r>
        <w:instrText xml:space="preserve"> PAGEREF _Toc470187416 \h </w:instrText>
      </w:r>
      <w:r>
        <w:fldChar w:fldCharType="separate"/>
      </w:r>
      <w:r>
        <w:t>8</w:t>
      </w:r>
      <w:r>
        <w:fldChar w:fldCharType="end"/>
      </w:r>
    </w:p>
    <w:p>
      <w:pPr>
        <w:pStyle w:val="TOC8"/>
        <w:rPr>
          <w:rFonts w:asciiTheme="minorHAnsi" w:eastAsiaTheme="minorEastAsia" w:hAnsiTheme="minorHAnsi" w:cstheme="minorBidi"/>
          <w:szCs w:val="22"/>
        </w:rPr>
      </w:pPr>
      <w:r>
        <w:lastRenderedPageBreak/>
        <w:t>17.</w:t>
      </w:r>
      <w:r>
        <w:tab/>
        <w:t>Selling things or services or distributing handbills etc. prohibited</w:t>
      </w:r>
      <w:r>
        <w:tab/>
      </w:r>
      <w:r>
        <w:fldChar w:fldCharType="begin"/>
      </w:r>
      <w:r>
        <w:instrText xml:space="preserve"> PAGEREF _Toc470187417 \h </w:instrText>
      </w:r>
      <w:r>
        <w:fldChar w:fldCharType="separate"/>
      </w:r>
      <w:r>
        <w:t>8</w:t>
      </w:r>
      <w:r>
        <w:fldChar w:fldCharType="end"/>
      </w:r>
    </w:p>
    <w:p>
      <w:pPr>
        <w:pStyle w:val="TOC8"/>
        <w:rPr>
          <w:rFonts w:asciiTheme="minorHAnsi" w:eastAsiaTheme="minorEastAsia" w:hAnsiTheme="minorHAnsi" w:cstheme="minorBidi"/>
          <w:szCs w:val="22"/>
        </w:rPr>
      </w:pPr>
      <w:r>
        <w:t>18.</w:t>
      </w:r>
      <w:r>
        <w:tab/>
        <w:t>Food and drink</w:t>
      </w:r>
      <w:r>
        <w:tab/>
      </w:r>
      <w:r>
        <w:fldChar w:fldCharType="begin"/>
      </w:r>
      <w:r>
        <w:instrText xml:space="preserve"> PAGEREF _Toc470187418 \h </w:instrText>
      </w:r>
      <w:r>
        <w:fldChar w:fldCharType="separate"/>
      </w:r>
      <w:r>
        <w:t>9</w:t>
      </w:r>
      <w:r>
        <w:fldChar w:fldCharType="end"/>
      </w:r>
    </w:p>
    <w:p>
      <w:pPr>
        <w:pStyle w:val="TOC8"/>
        <w:rPr>
          <w:rFonts w:asciiTheme="minorHAnsi" w:eastAsiaTheme="minorEastAsia" w:hAnsiTheme="minorHAnsi" w:cstheme="minorBidi"/>
          <w:szCs w:val="22"/>
        </w:rPr>
      </w:pPr>
      <w:r>
        <w:t>19.</w:t>
      </w:r>
      <w:r>
        <w:tab/>
        <w:t>Feet not to be placed on seats</w:t>
      </w:r>
      <w:r>
        <w:tab/>
      </w:r>
      <w:r>
        <w:fldChar w:fldCharType="begin"/>
      </w:r>
      <w:r>
        <w:instrText xml:space="preserve"> PAGEREF _Toc470187419 \h </w:instrText>
      </w:r>
      <w:r>
        <w:fldChar w:fldCharType="separate"/>
      </w:r>
      <w:r>
        <w:t>9</w:t>
      </w:r>
      <w:r>
        <w:fldChar w:fldCharType="end"/>
      </w:r>
    </w:p>
    <w:p>
      <w:pPr>
        <w:pStyle w:val="TOC8"/>
        <w:rPr>
          <w:rFonts w:asciiTheme="minorHAnsi" w:eastAsiaTheme="minorEastAsia" w:hAnsiTheme="minorHAnsi" w:cstheme="minorBidi"/>
          <w:szCs w:val="22"/>
        </w:rPr>
      </w:pPr>
      <w:r>
        <w:t>20.</w:t>
      </w:r>
      <w:r>
        <w:tab/>
        <w:t>Luggage not to obstruct or endanger passengers</w:t>
      </w:r>
      <w:r>
        <w:tab/>
      </w:r>
      <w:r>
        <w:fldChar w:fldCharType="begin"/>
      </w:r>
      <w:r>
        <w:instrText xml:space="preserve"> PAGEREF _Toc470187420 \h </w:instrText>
      </w:r>
      <w:r>
        <w:fldChar w:fldCharType="separate"/>
      </w:r>
      <w:r>
        <w:t>9</w:t>
      </w:r>
      <w:r>
        <w:fldChar w:fldCharType="end"/>
      </w:r>
    </w:p>
    <w:p>
      <w:pPr>
        <w:pStyle w:val="TOC8"/>
        <w:rPr>
          <w:rFonts w:asciiTheme="minorHAnsi" w:eastAsiaTheme="minorEastAsia" w:hAnsiTheme="minorHAnsi" w:cstheme="minorBidi"/>
          <w:szCs w:val="22"/>
        </w:rPr>
      </w:pPr>
      <w:r>
        <w:t>21.</w:t>
      </w:r>
      <w:r>
        <w:tab/>
        <w:t>Possessing certain things prohibited</w:t>
      </w:r>
      <w:r>
        <w:tab/>
      </w:r>
      <w:r>
        <w:fldChar w:fldCharType="begin"/>
      </w:r>
      <w:r>
        <w:instrText xml:space="preserve"> PAGEREF _Toc470187421 \h </w:instrText>
      </w:r>
      <w:r>
        <w:fldChar w:fldCharType="separate"/>
      </w:r>
      <w:r>
        <w:t>10</w:t>
      </w:r>
      <w:r>
        <w:fldChar w:fldCharType="end"/>
      </w:r>
    </w:p>
    <w:p>
      <w:pPr>
        <w:pStyle w:val="TOC8"/>
        <w:rPr>
          <w:rFonts w:asciiTheme="minorHAnsi" w:eastAsiaTheme="minorEastAsia" w:hAnsiTheme="minorHAnsi" w:cstheme="minorBidi"/>
          <w:szCs w:val="22"/>
        </w:rPr>
      </w:pPr>
      <w:r>
        <w:t>22.</w:t>
      </w:r>
      <w:r>
        <w:tab/>
        <w:t>Goods likely to spill, stain, or damage a conveyance</w:t>
      </w:r>
      <w:r>
        <w:tab/>
      </w:r>
      <w:r>
        <w:fldChar w:fldCharType="begin"/>
      </w:r>
      <w:r>
        <w:instrText xml:space="preserve"> PAGEREF _Toc470187422 \h </w:instrText>
      </w:r>
      <w:r>
        <w:fldChar w:fldCharType="separate"/>
      </w:r>
      <w:r>
        <w:t>10</w:t>
      </w:r>
      <w:r>
        <w:fldChar w:fldCharType="end"/>
      </w:r>
    </w:p>
    <w:p>
      <w:pPr>
        <w:pStyle w:val="TOC8"/>
        <w:rPr>
          <w:rFonts w:asciiTheme="minorHAnsi" w:eastAsiaTheme="minorEastAsia" w:hAnsiTheme="minorHAnsi" w:cstheme="minorBidi"/>
          <w:szCs w:val="22"/>
        </w:rPr>
      </w:pPr>
      <w:r>
        <w:t>23.</w:t>
      </w:r>
      <w:r>
        <w:tab/>
        <w:t>Persons to stay inside conveyance</w:t>
      </w:r>
      <w:r>
        <w:tab/>
      </w:r>
      <w:r>
        <w:fldChar w:fldCharType="begin"/>
      </w:r>
      <w:r>
        <w:instrText xml:space="preserve"> PAGEREF _Toc470187423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Regulation of persons and vehicles on Authority property</w:t>
      </w:r>
    </w:p>
    <w:p>
      <w:pPr>
        <w:pStyle w:val="TOC8"/>
        <w:rPr>
          <w:rFonts w:asciiTheme="minorHAnsi" w:eastAsiaTheme="minorEastAsia" w:hAnsiTheme="minorHAnsi" w:cstheme="minorBidi"/>
          <w:szCs w:val="22"/>
        </w:rPr>
      </w:pPr>
      <w:r>
        <w:t>24.</w:t>
      </w:r>
      <w:r>
        <w:tab/>
        <w:t>Terms used in this Part</w:t>
      </w:r>
      <w:r>
        <w:tab/>
      </w:r>
      <w:r>
        <w:fldChar w:fldCharType="begin"/>
      </w:r>
      <w:r>
        <w:instrText xml:space="preserve"> PAGEREF _Toc470187425 \h </w:instrText>
      </w:r>
      <w:r>
        <w:fldChar w:fldCharType="separate"/>
      </w:r>
      <w:r>
        <w:t>12</w:t>
      </w:r>
      <w:r>
        <w:fldChar w:fldCharType="end"/>
      </w:r>
    </w:p>
    <w:p>
      <w:pPr>
        <w:pStyle w:val="TOC8"/>
        <w:rPr>
          <w:rFonts w:asciiTheme="minorHAnsi" w:eastAsiaTheme="minorEastAsia" w:hAnsiTheme="minorHAnsi" w:cstheme="minorBidi"/>
          <w:szCs w:val="22"/>
        </w:rPr>
      </w:pPr>
      <w:r>
        <w:t>24A.</w:t>
      </w:r>
      <w:r>
        <w:tab/>
        <w:t>Government railways parking stations</w:t>
      </w:r>
      <w:r>
        <w:tab/>
      </w:r>
      <w:r>
        <w:fldChar w:fldCharType="begin"/>
      </w:r>
      <w:r>
        <w:instrText xml:space="preserve"> PAGEREF _Toc470187426 \h </w:instrText>
      </w:r>
      <w:r>
        <w:fldChar w:fldCharType="separate"/>
      </w:r>
      <w:r>
        <w:t>13</w:t>
      </w:r>
      <w:r>
        <w:fldChar w:fldCharType="end"/>
      </w:r>
    </w:p>
    <w:p>
      <w:pPr>
        <w:pStyle w:val="TOC8"/>
        <w:rPr>
          <w:rFonts w:asciiTheme="minorHAnsi" w:eastAsiaTheme="minorEastAsia" w:hAnsiTheme="minorHAnsi" w:cstheme="minorBidi"/>
          <w:szCs w:val="22"/>
        </w:rPr>
      </w:pPr>
      <w:r>
        <w:t>25.</w:t>
      </w:r>
      <w:r>
        <w:tab/>
        <w:t>Regulation of persons and vehicles on Authority property</w:t>
      </w:r>
      <w:r>
        <w:tab/>
      </w:r>
      <w:r>
        <w:fldChar w:fldCharType="begin"/>
      </w:r>
      <w:r>
        <w:instrText xml:space="preserve"> PAGEREF _Toc470187427 \h </w:instrText>
      </w:r>
      <w:r>
        <w:fldChar w:fldCharType="separate"/>
      </w:r>
      <w:r>
        <w:t>13</w:t>
      </w:r>
      <w:r>
        <w:fldChar w:fldCharType="end"/>
      </w:r>
    </w:p>
    <w:p>
      <w:pPr>
        <w:pStyle w:val="TOC8"/>
        <w:rPr>
          <w:rFonts w:asciiTheme="minorHAnsi" w:eastAsiaTheme="minorEastAsia" w:hAnsiTheme="minorHAnsi" w:cstheme="minorBidi"/>
          <w:szCs w:val="22"/>
        </w:rPr>
      </w:pPr>
      <w:r>
        <w:t>26.</w:t>
      </w:r>
      <w:r>
        <w:tab/>
        <w:t>Obstruction</w:t>
      </w:r>
      <w:r>
        <w:tab/>
      </w:r>
      <w:r>
        <w:fldChar w:fldCharType="begin"/>
      </w:r>
      <w:r>
        <w:instrText xml:space="preserve"> PAGEREF _Toc470187428 \h </w:instrText>
      </w:r>
      <w:r>
        <w:fldChar w:fldCharType="separate"/>
      </w:r>
      <w:r>
        <w:t>13</w:t>
      </w:r>
      <w:r>
        <w:fldChar w:fldCharType="end"/>
      </w:r>
    </w:p>
    <w:p>
      <w:pPr>
        <w:pStyle w:val="TOC8"/>
        <w:rPr>
          <w:rFonts w:asciiTheme="minorHAnsi" w:eastAsiaTheme="minorEastAsia" w:hAnsiTheme="minorHAnsi" w:cstheme="minorBidi"/>
          <w:szCs w:val="22"/>
        </w:rPr>
      </w:pPr>
      <w:r>
        <w:t>27.</w:t>
      </w:r>
      <w:r>
        <w:tab/>
        <w:t>Direction not to park in area</w:t>
      </w:r>
      <w:r>
        <w:tab/>
      </w:r>
      <w:r>
        <w:fldChar w:fldCharType="begin"/>
      </w:r>
      <w:r>
        <w:instrText xml:space="preserve"> PAGEREF _Toc470187429 \h </w:instrText>
      </w:r>
      <w:r>
        <w:fldChar w:fldCharType="separate"/>
      </w:r>
      <w:r>
        <w:t>14</w:t>
      </w:r>
      <w:r>
        <w:fldChar w:fldCharType="end"/>
      </w:r>
    </w:p>
    <w:p>
      <w:pPr>
        <w:pStyle w:val="TOC8"/>
        <w:rPr>
          <w:rFonts w:asciiTheme="minorHAnsi" w:eastAsiaTheme="minorEastAsia" w:hAnsiTheme="minorHAnsi" w:cstheme="minorBidi"/>
          <w:szCs w:val="22"/>
        </w:rPr>
      </w:pPr>
      <w:r>
        <w:t>28.</w:t>
      </w:r>
      <w:r>
        <w:tab/>
        <w:t>Loading zone</w:t>
      </w:r>
      <w:r>
        <w:tab/>
      </w:r>
      <w:r>
        <w:fldChar w:fldCharType="begin"/>
      </w:r>
      <w:r>
        <w:instrText xml:space="preserve"> PAGEREF _Toc470187430 \h </w:instrText>
      </w:r>
      <w:r>
        <w:fldChar w:fldCharType="separate"/>
      </w:r>
      <w:r>
        <w:t>14</w:t>
      </w:r>
      <w:r>
        <w:fldChar w:fldCharType="end"/>
      </w:r>
    </w:p>
    <w:p>
      <w:pPr>
        <w:pStyle w:val="TOC8"/>
        <w:rPr>
          <w:rFonts w:asciiTheme="minorHAnsi" w:eastAsiaTheme="minorEastAsia" w:hAnsiTheme="minorHAnsi" w:cstheme="minorBidi"/>
          <w:szCs w:val="22"/>
        </w:rPr>
      </w:pPr>
      <w:r>
        <w:t>29.</w:t>
      </w:r>
      <w:r>
        <w:tab/>
        <w:t>Designation of parking spaces for vehicles of persons with disability</w:t>
      </w:r>
      <w:r>
        <w:tab/>
      </w:r>
      <w:r>
        <w:fldChar w:fldCharType="begin"/>
      </w:r>
      <w:r>
        <w:instrText xml:space="preserve"> PAGEREF _Toc470187431 \h </w:instrText>
      </w:r>
      <w:r>
        <w:fldChar w:fldCharType="separate"/>
      </w:r>
      <w:r>
        <w:t>15</w:t>
      </w:r>
      <w:r>
        <w:fldChar w:fldCharType="end"/>
      </w:r>
    </w:p>
    <w:p>
      <w:pPr>
        <w:pStyle w:val="TOC8"/>
        <w:rPr>
          <w:rFonts w:asciiTheme="minorHAnsi" w:eastAsiaTheme="minorEastAsia" w:hAnsiTheme="minorHAnsi" w:cstheme="minorBidi"/>
          <w:szCs w:val="22"/>
        </w:rPr>
      </w:pPr>
      <w:r>
        <w:t>30.</w:t>
      </w:r>
      <w:r>
        <w:tab/>
      </w:r>
      <w:r>
        <w:rPr>
          <w:snapToGrid w:val="0"/>
        </w:rPr>
        <w:t>Disabled parking</w:t>
      </w:r>
      <w:r>
        <w:tab/>
      </w:r>
      <w:r>
        <w:fldChar w:fldCharType="begin"/>
      </w:r>
      <w:r>
        <w:instrText xml:space="preserve"> PAGEREF _Toc470187432 \h </w:instrText>
      </w:r>
      <w:r>
        <w:fldChar w:fldCharType="separate"/>
      </w:r>
      <w:r>
        <w:t>15</w:t>
      </w:r>
      <w:r>
        <w:fldChar w:fldCharType="end"/>
      </w:r>
    </w:p>
    <w:p>
      <w:pPr>
        <w:pStyle w:val="TOC8"/>
        <w:rPr>
          <w:rFonts w:asciiTheme="minorHAnsi" w:eastAsiaTheme="minorEastAsia" w:hAnsiTheme="minorHAnsi" w:cstheme="minorBidi"/>
          <w:szCs w:val="22"/>
        </w:rPr>
      </w:pPr>
      <w:r>
        <w:t>31.</w:t>
      </w:r>
      <w:r>
        <w:tab/>
      </w:r>
      <w:r>
        <w:rPr>
          <w:snapToGrid w:val="0"/>
        </w:rPr>
        <w:t>Vehicles</w:t>
      </w:r>
      <w:r>
        <w:t xml:space="preserve"> and parking</w:t>
      </w:r>
      <w:r>
        <w:tab/>
      </w:r>
      <w:r>
        <w:fldChar w:fldCharType="begin"/>
      </w:r>
      <w:r>
        <w:instrText xml:space="preserve"> PAGEREF _Toc470187433 \h </w:instrText>
      </w:r>
      <w:r>
        <w:fldChar w:fldCharType="separate"/>
      </w:r>
      <w:r>
        <w:t>15</w:t>
      </w:r>
      <w:r>
        <w:fldChar w:fldCharType="end"/>
      </w:r>
    </w:p>
    <w:p>
      <w:pPr>
        <w:pStyle w:val="TOC8"/>
        <w:rPr>
          <w:rFonts w:asciiTheme="minorHAnsi" w:eastAsiaTheme="minorEastAsia" w:hAnsiTheme="minorHAnsi" w:cstheme="minorBidi"/>
          <w:szCs w:val="22"/>
        </w:rPr>
      </w:pPr>
      <w:r>
        <w:t>32.</w:t>
      </w:r>
      <w:r>
        <w:tab/>
        <w:t>Parking charges</w:t>
      </w:r>
      <w:r>
        <w:tab/>
      </w:r>
      <w:r>
        <w:fldChar w:fldCharType="begin"/>
      </w:r>
      <w:r>
        <w:instrText xml:space="preserve"> PAGEREF _Toc470187434 \h </w:instrText>
      </w:r>
      <w:r>
        <w:fldChar w:fldCharType="separate"/>
      </w:r>
      <w:r>
        <w:t>16</w:t>
      </w:r>
      <w:r>
        <w:fldChar w:fldCharType="end"/>
      </w:r>
    </w:p>
    <w:p>
      <w:pPr>
        <w:pStyle w:val="TOC8"/>
        <w:rPr>
          <w:rFonts w:asciiTheme="minorHAnsi" w:eastAsiaTheme="minorEastAsia" w:hAnsiTheme="minorHAnsi" w:cstheme="minorBidi"/>
          <w:szCs w:val="22"/>
        </w:rPr>
      </w:pPr>
      <w:r>
        <w:t>33.</w:t>
      </w:r>
      <w:r>
        <w:tab/>
        <w:t>Removing vehicle from secured parking facility</w:t>
      </w:r>
      <w:r>
        <w:tab/>
      </w:r>
      <w:r>
        <w:fldChar w:fldCharType="begin"/>
      </w:r>
      <w:r>
        <w:instrText xml:space="preserve"> PAGEREF _Toc470187435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Bicycles on passenger trains</w:t>
      </w:r>
    </w:p>
    <w:p>
      <w:pPr>
        <w:pStyle w:val="TOC8"/>
        <w:rPr>
          <w:rFonts w:asciiTheme="minorHAnsi" w:eastAsiaTheme="minorEastAsia" w:hAnsiTheme="minorHAnsi" w:cstheme="minorBidi"/>
          <w:szCs w:val="22"/>
        </w:rPr>
      </w:pPr>
      <w:r>
        <w:t>33A.</w:t>
      </w:r>
      <w:r>
        <w:tab/>
        <w:t>Terms used in this Part</w:t>
      </w:r>
      <w:r>
        <w:tab/>
      </w:r>
      <w:r>
        <w:fldChar w:fldCharType="begin"/>
      </w:r>
      <w:r>
        <w:instrText xml:space="preserve"> PAGEREF _Toc470187437 \h </w:instrText>
      </w:r>
      <w:r>
        <w:fldChar w:fldCharType="separate"/>
      </w:r>
      <w:r>
        <w:t>18</w:t>
      </w:r>
      <w:r>
        <w:fldChar w:fldCharType="end"/>
      </w:r>
    </w:p>
    <w:p>
      <w:pPr>
        <w:pStyle w:val="TOC8"/>
        <w:rPr>
          <w:rFonts w:asciiTheme="minorHAnsi" w:eastAsiaTheme="minorEastAsia" w:hAnsiTheme="minorHAnsi" w:cstheme="minorBidi"/>
          <w:szCs w:val="22"/>
        </w:rPr>
      </w:pPr>
      <w:r>
        <w:t>33B.</w:t>
      </w:r>
      <w:r>
        <w:tab/>
        <w:t>Bikes on trains generally</w:t>
      </w:r>
      <w:r>
        <w:tab/>
      </w:r>
      <w:r>
        <w:fldChar w:fldCharType="begin"/>
      </w:r>
      <w:r>
        <w:instrText xml:space="preserve"> PAGEREF _Toc470187438 \h </w:instrText>
      </w:r>
      <w:r>
        <w:fldChar w:fldCharType="separate"/>
      </w:r>
      <w:r>
        <w:t>18</w:t>
      </w:r>
      <w:r>
        <w:fldChar w:fldCharType="end"/>
      </w:r>
    </w:p>
    <w:p>
      <w:pPr>
        <w:pStyle w:val="TOC8"/>
        <w:rPr>
          <w:rFonts w:asciiTheme="minorHAnsi" w:eastAsiaTheme="minorEastAsia" w:hAnsiTheme="minorHAnsi" w:cstheme="minorBidi"/>
          <w:szCs w:val="22"/>
        </w:rPr>
      </w:pPr>
      <w:r>
        <w:t>33C.</w:t>
      </w:r>
      <w:r>
        <w:tab/>
        <w:t>Bikes on trains in peak times</w:t>
      </w:r>
      <w:r>
        <w:tab/>
      </w:r>
      <w:r>
        <w:fldChar w:fldCharType="begin"/>
      </w:r>
      <w:r>
        <w:instrText xml:space="preserve"> PAGEREF _Toc470187439 \h </w:instrText>
      </w:r>
      <w:r>
        <w:fldChar w:fldCharType="separate"/>
      </w:r>
      <w:r>
        <w:t>18</w:t>
      </w:r>
      <w:r>
        <w:fldChar w:fldCharType="end"/>
      </w:r>
    </w:p>
    <w:p>
      <w:pPr>
        <w:pStyle w:val="TOC8"/>
        <w:rPr>
          <w:rFonts w:asciiTheme="minorHAnsi" w:eastAsiaTheme="minorEastAsia" w:hAnsiTheme="minorHAnsi" w:cstheme="minorBidi"/>
          <w:szCs w:val="22"/>
        </w:rPr>
      </w:pPr>
      <w:r>
        <w:t>33D.</w:t>
      </w:r>
      <w:r>
        <w:tab/>
        <w:t>Special events</w:t>
      </w:r>
      <w:r>
        <w:tab/>
      </w:r>
      <w:r>
        <w:fldChar w:fldCharType="begin"/>
      </w:r>
      <w:r>
        <w:instrText xml:space="preserve"> PAGEREF _Toc470187440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34.</w:t>
      </w:r>
      <w:r>
        <w:tab/>
        <w:t>Secondary functions: section 12(3) of the Act</w:t>
      </w:r>
      <w:r>
        <w:tab/>
      </w:r>
      <w:r>
        <w:fldChar w:fldCharType="begin"/>
      </w:r>
      <w:r>
        <w:instrText xml:space="preserve"> PAGEREF _Toc470187442 \h </w:instrText>
      </w:r>
      <w:r>
        <w:fldChar w:fldCharType="separate"/>
      </w:r>
      <w:r>
        <w:t>21</w:t>
      </w:r>
      <w:r>
        <w:fldChar w:fldCharType="end"/>
      </w:r>
    </w:p>
    <w:p>
      <w:pPr>
        <w:pStyle w:val="TOC8"/>
        <w:rPr>
          <w:rFonts w:asciiTheme="minorHAnsi" w:eastAsiaTheme="minorEastAsia" w:hAnsiTheme="minorHAnsi" w:cstheme="minorBidi"/>
          <w:szCs w:val="22"/>
        </w:rPr>
      </w:pPr>
      <w:r>
        <w:t>35.</w:t>
      </w:r>
      <w:r>
        <w:tab/>
        <w:t>Criteria for Minister’s approval not being required under section 15 of the Act</w:t>
      </w:r>
      <w:r>
        <w:tab/>
      </w:r>
      <w:r>
        <w:fldChar w:fldCharType="begin"/>
      </w:r>
      <w:r>
        <w:instrText xml:space="preserve"> PAGEREF _Toc470187443 \h </w:instrText>
      </w:r>
      <w:r>
        <w:fldChar w:fldCharType="separate"/>
      </w:r>
      <w:r>
        <w:t>21</w:t>
      </w:r>
      <w:r>
        <w:fldChar w:fldCharType="end"/>
      </w:r>
    </w:p>
    <w:p>
      <w:pPr>
        <w:pStyle w:val="TOC8"/>
        <w:rPr>
          <w:rFonts w:asciiTheme="minorHAnsi" w:eastAsiaTheme="minorEastAsia" w:hAnsiTheme="minorHAnsi" w:cstheme="minorBidi"/>
          <w:szCs w:val="22"/>
        </w:rPr>
      </w:pPr>
      <w:r>
        <w:lastRenderedPageBreak/>
        <w:t>36.</w:t>
      </w:r>
      <w:r>
        <w:tab/>
        <w:t>Disposal of an estate in land other than Crown land without the Minister’s approval: section 16 of the Act</w:t>
      </w:r>
      <w:r>
        <w:tab/>
      </w:r>
      <w:r>
        <w:fldChar w:fldCharType="begin"/>
      </w:r>
      <w:r>
        <w:instrText xml:space="preserve"> PAGEREF _Toc470187444 \h </w:instrText>
      </w:r>
      <w:r>
        <w:fldChar w:fldCharType="separate"/>
      </w:r>
      <w:r>
        <w:t>22</w:t>
      </w:r>
      <w:r>
        <w:fldChar w:fldCharType="end"/>
      </w:r>
    </w:p>
    <w:p>
      <w:pPr>
        <w:pStyle w:val="TOC8"/>
        <w:rPr>
          <w:rFonts w:asciiTheme="minorHAnsi" w:eastAsiaTheme="minorEastAsia" w:hAnsiTheme="minorHAnsi" w:cstheme="minorBidi"/>
          <w:szCs w:val="22"/>
        </w:rPr>
      </w:pPr>
      <w:r>
        <w:t>37.</w:t>
      </w:r>
      <w:r>
        <w:tab/>
        <w:t>Crossings by traction engines and large vehicles</w:t>
      </w:r>
      <w:r>
        <w:tab/>
      </w:r>
      <w:r>
        <w:fldChar w:fldCharType="begin"/>
      </w:r>
      <w:r>
        <w:instrText xml:space="preserve"> PAGEREF _Toc470187445 \h </w:instrText>
      </w:r>
      <w:r>
        <w:fldChar w:fldCharType="separate"/>
      </w:r>
      <w:r>
        <w:t>22</w:t>
      </w:r>
      <w:r>
        <w:fldChar w:fldCharType="end"/>
      </w:r>
    </w:p>
    <w:p>
      <w:pPr>
        <w:pStyle w:val="TOC8"/>
        <w:rPr>
          <w:rFonts w:asciiTheme="minorHAnsi" w:eastAsiaTheme="minorEastAsia" w:hAnsiTheme="minorHAnsi" w:cstheme="minorBidi"/>
          <w:szCs w:val="22"/>
        </w:rPr>
      </w:pPr>
      <w:r>
        <w:t>38.</w:t>
      </w:r>
      <w:r>
        <w:tab/>
        <w:t>Sewage etc.</w:t>
      </w:r>
      <w:r>
        <w:tab/>
      </w:r>
      <w:r>
        <w:fldChar w:fldCharType="begin"/>
      </w:r>
      <w:r>
        <w:instrText xml:space="preserve"> PAGEREF _Toc470187446 \h </w:instrText>
      </w:r>
      <w:r>
        <w:fldChar w:fldCharType="separate"/>
      </w:r>
      <w:r>
        <w:t>23</w:t>
      </w:r>
      <w:r>
        <w:fldChar w:fldCharType="end"/>
      </w:r>
    </w:p>
    <w:p>
      <w:pPr>
        <w:pStyle w:val="TOC8"/>
        <w:rPr>
          <w:rFonts w:asciiTheme="minorHAnsi" w:eastAsiaTheme="minorEastAsia" w:hAnsiTheme="minorHAnsi" w:cstheme="minorBidi"/>
          <w:szCs w:val="22"/>
        </w:rPr>
      </w:pPr>
      <w:r>
        <w:t>39.</w:t>
      </w:r>
      <w:r>
        <w:tab/>
        <w:t>Animals</w:t>
      </w:r>
      <w:r>
        <w:tab/>
      </w:r>
      <w:r>
        <w:fldChar w:fldCharType="begin"/>
      </w:r>
      <w:r>
        <w:instrText xml:space="preserve"> PAGEREF _Toc470187447 \h </w:instrText>
      </w:r>
      <w:r>
        <w:fldChar w:fldCharType="separate"/>
      </w:r>
      <w:r>
        <w:t>23</w:t>
      </w:r>
      <w:r>
        <w:fldChar w:fldCharType="end"/>
      </w:r>
    </w:p>
    <w:p>
      <w:pPr>
        <w:pStyle w:val="TOC8"/>
        <w:rPr>
          <w:rFonts w:asciiTheme="minorHAnsi" w:eastAsiaTheme="minorEastAsia" w:hAnsiTheme="minorHAnsi" w:cstheme="minorBidi"/>
          <w:szCs w:val="22"/>
        </w:rPr>
      </w:pPr>
      <w:r>
        <w:t>40.</w:t>
      </w:r>
      <w:r>
        <w:tab/>
        <w:t>Obstructing an authorised person</w:t>
      </w:r>
      <w:r>
        <w:tab/>
      </w:r>
      <w:r>
        <w:fldChar w:fldCharType="begin"/>
      </w:r>
      <w:r>
        <w:instrText xml:space="preserve"> PAGEREF _Toc470187448 \h </w:instrText>
      </w:r>
      <w:r>
        <w:fldChar w:fldCharType="separate"/>
      </w:r>
      <w:r>
        <w:t>23</w:t>
      </w:r>
      <w:r>
        <w:fldChar w:fldCharType="end"/>
      </w:r>
    </w:p>
    <w:p>
      <w:pPr>
        <w:pStyle w:val="TOC8"/>
        <w:rPr>
          <w:rFonts w:asciiTheme="minorHAnsi" w:eastAsiaTheme="minorEastAsia" w:hAnsiTheme="minorHAnsi" w:cstheme="minorBidi"/>
          <w:szCs w:val="22"/>
        </w:rPr>
      </w:pPr>
      <w:r>
        <w:t>41.</w:t>
      </w:r>
      <w:r>
        <w:tab/>
        <w:t>Refusal of passage</w:t>
      </w:r>
      <w:r>
        <w:tab/>
      </w:r>
      <w:r>
        <w:fldChar w:fldCharType="begin"/>
      </w:r>
      <w:r>
        <w:instrText xml:space="preserve"> PAGEREF _Toc470187449 \h </w:instrText>
      </w:r>
      <w:r>
        <w:fldChar w:fldCharType="separate"/>
      </w:r>
      <w:r>
        <w:t>24</w:t>
      </w:r>
      <w:r>
        <w:fldChar w:fldCharType="end"/>
      </w:r>
    </w:p>
    <w:p>
      <w:pPr>
        <w:pStyle w:val="TOC8"/>
        <w:rPr>
          <w:rFonts w:asciiTheme="minorHAnsi" w:eastAsiaTheme="minorEastAsia" w:hAnsiTheme="minorHAnsi" w:cstheme="minorBidi"/>
          <w:szCs w:val="22"/>
        </w:rPr>
      </w:pPr>
      <w:r>
        <w:t>42.</w:t>
      </w:r>
      <w:r>
        <w:tab/>
        <w:t>Failure to comply with refusal of travel</w:t>
      </w:r>
      <w:r>
        <w:tab/>
      </w:r>
      <w:r>
        <w:fldChar w:fldCharType="begin"/>
      </w:r>
      <w:r>
        <w:instrText xml:space="preserve"> PAGEREF _Toc470187450 \h </w:instrText>
      </w:r>
      <w:r>
        <w:fldChar w:fldCharType="separate"/>
      </w:r>
      <w:r>
        <w:t>25</w:t>
      </w:r>
      <w:r>
        <w:fldChar w:fldCharType="end"/>
      </w:r>
    </w:p>
    <w:p>
      <w:pPr>
        <w:pStyle w:val="TOC8"/>
        <w:rPr>
          <w:rFonts w:asciiTheme="minorHAnsi" w:eastAsiaTheme="minorEastAsia" w:hAnsiTheme="minorHAnsi" w:cstheme="minorBidi"/>
          <w:szCs w:val="22"/>
        </w:rPr>
      </w:pPr>
      <w:r>
        <w:t>43.</w:t>
      </w:r>
      <w:r>
        <w:tab/>
        <w:t>Ejecting people from Authority property: section 65 of the Act</w:t>
      </w:r>
      <w:r>
        <w:tab/>
      </w:r>
      <w:r>
        <w:fldChar w:fldCharType="begin"/>
      </w:r>
      <w:r>
        <w:instrText xml:space="preserve"> PAGEREF _Toc470187451 \h </w:instrText>
      </w:r>
      <w:r>
        <w:fldChar w:fldCharType="separate"/>
      </w:r>
      <w:r>
        <w:t>25</w:t>
      </w:r>
      <w:r>
        <w:fldChar w:fldCharType="end"/>
      </w:r>
    </w:p>
    <w:p>
      <w:pPr>
        <w:pStyle w:val="TOC8"/>
        <w:rPr>
          <w:rFonts w:asciiTheme="minorHAnsi" w:eastAsiaTheme="minorEastAsia" w:hAnsiTheme="minorHAnsi" w:cstheme="minorBidi"/>
          <w:szCs w:val="22"/>
        </w:rPr>
      </w:pPr>
      <w:r>
        <w:t>44.</w:t>
      </w:r>
      <w:r>
        <w:tab/>
        <w:t>Recording information printed on a ticket or retention of ticket</w:t>
      </w:r>
      <w:r>
        <w:tab/>
      </w:r>
      <w:r>
        <w:fldChar w:fldCharType="begin"/>
      </w:r>
      <w:r>
        <w:instrText xml:space="preserve"> PAGEREF _Toc470187452 \h </w:instrText>
      </w:r>
      <w:r>
        <w:fldChar w:fldCharType="separate"/>
      </w:r>
      <w:r>
        <w:t>27</w:t>
      </w:r>
      <w:r>
        <w:fldChar w:fldCharType="end"/>
      </w:r>
    </w:p>
    <w:p>
      <w:pPr>
        <w:pStyle w:val="TOC8"/>
        <w:rPr>
          <w:rFonts w:asciiTheme="minorHAnsi" w:eastAsiaTheme="minorEastAsia" w:hAnsiTheme="minorHAnsi" w:cstheme="minorBidi"/>
          <w:szCs w:val="22"/>
        </w:rPr>
      </w:pPr>
      <w:r>
        <w:t>45.</w:t>
      </w:r>
      <w:r>
        <w:tab/>
        <w:t>Infringement notice</w:t>
      </w:r>
      <w:r>
        <w:tab/>
      </w:r>
      <w:r>
        <w:fldChar w:fldCharType="begin"/>
      </w:r>
      <w:r>
        <w:instrText xml:space="preserve"> PAGEREF _Toc470187453 \h </w:instrText>
      </w:r>
      <w:r>
        <w:fldChar w:fldCharType="separate"/>
      </w:r>
      <w:r>
        <w:t>28</w:t>
      </w:r>
      <w:r>
        <w:fldChar w:fldCharType="end"/>
      </w:r>
    </w:p>
    <w:p>
      <w:pPr>
        <w:pStyle w:val="TOC8"/>
        <w:rPr>
          <w:rFonts w:asciiTheme="minorHAnsi" w:eastAsiaTheme="minorEastAsia" w:hAnsiTheme="minorHAnsi" w:cstheme="minorBidi"/>
          <w:szCs w:val="22"/>
        </w:rPr>
      </w:pPr>
      <w:r>
        <w:t>46.</w:t>
      </w:r>
      <w:r>
        <w:tab/>
        <w:t>Withdrawal of infringement notice</w:t>
      </w:r>
      <w:r>
        <w:tab/>
      </w:r>
      <w:r>
        <w:fldChar w:fldCharType="begin"/>
      </w:r>
      <w:r>
        <w:instrText xml:space="preserve"> PAGEREF _Toc470187454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_Toc470187458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120"/>
      </w:pPr>
      <w:r>
        <w:t>Public Transport Authority Act 2003</w:t>
      </w:r>
    </w:p>
    <w:p>
      <w:pPr>
        <w:pStyle w:val="PrincipalActReg"/>
        <w:spacing w:after="120"/>
      </w:pPr>
      <w:r>
        <w:t>Government Railways Act 1904</w:t>
      </w:r>
    </w:p>
    <w:p>
      <w:pPr>
        <w:pStyle w:val="PrincipalActReg"/>
      </w:pPr>
      <w: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3" w:name="_Toc470187398"/>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70187399"/>
      <w:r>
        <w:rPr>
          <w:rStyle w:val="CharSectno"/>
        </w:rPr>
        <w:t>1</w:t>
      </w:r>
      <w:r>
        <w:t>.</w:t>
      </w:r>
      <w:r>
        <w:tab/>
        <w:t>Citation</w:t>
      </w:r>
      <w:bookmarkEnd w:id="4"/>
    </w:p>
    <w:p>
      <w:pPr>
        <w:pStyle w:val="Subsection"/>
      </w:pPr>
      <w:r>
        <w:tab/>
      </w:r>
      <w:r>
        <w:tab/>
      </w:r>
      <w:bookmarkStart w:id="5" w:name="Start_Cursor"/>
      <w:bookmarkEnd w:id="5"/>
      <w:r>
        <w:t xml:space="preserve">These regulations may be cited as the </w:t>
      </w:r>
      <w:r>
        <w:rPr>
          <w:i/>
        </w:rPr>
        <w:t>Public Transport Authority Regulations 2003</w:t>
      </w:r>
      <w:r>
        <w:rPr>
          <w:iCs/>
          <w:vertAlign w:val="superscript"/>
        </w:rPr>
        <w:t> 1</w:t>
      </w:r>
      <w:r>
        <w:t>.</w:t>
      </w:r>
    </w:p>
    <w:p>
      <w:pPr>
        <w:pStyle w:val="Heading5"/>
        <w:rPr>
          <w:spacing w:val="-2"/>
        </w:rPr>
      </w:pPr>
      <w:bookmarkStart w:id="6" w:name="_Toc470187400"/>
      <w:r>
        <w:rPr>
          <w:rStyle w:val="CharSectno"/>
        </w:rPr>
        <w:t>2</w:t>
      </w:r>
      <w:r>
        <w:t>.</w:t>
      </w:r>
      <w:r>
        <w:tab/>
        <w:t>Commencement</w:t>
      </w:r>
      <w:bookmarkEnd w:id="6"/>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rPr>
          <w:iCs/>
          <w:vertAlign w:val="superscript"/>
        </w:rPr>
        <w:t> 1</w:t>
      </w:r>
      <w:r>
        <w:t>.</w:t>
      </w:r>
    </w:p>
    <w:p>
      <w:pPr>
        <w:pStyle w:val="Heading5"/>
      </w:pPr>
      <w:bookmarkStart w:id="7" w:name="_Toc470187401"/>
      <w:r>
        <w:rPr>
          <w:rStyle w:val="CharSectno"/>
        </w:rPr>
        <w:t>3</w:t>
      </w:r>
      <w:r>
        <w:t>.</w:t>
      </w:r>
      <w:r>
        <w:tab/>
        <w:t>Terms used in these regulations</w:t>
      </w:r>
      <w:bookmarkEnd w:id="7"/>
    </w:p>
    <w:p>
      <w:pPr>
        <w:pStyle w:val="Subsection"/>
      </w:pPr>
      <w:r>
        <w:tab/>
      </w:r>
      <w:r>
        <w:tab/>
        <w:t>In these regulations, unless the contrary intention appears —</w:t>
      </w:r>
    </w:p>
    <w:p>
      <w:pPr>
        <w:pStyle w:val="Defstart"/>
      </w:pPr>
      <w:r>
        <w:rPr>
          <w:b/>
        </w:rPr>
        <w:tab/>
      </w:r>
      <w:r>
        <w:rPr>
          <w:rStyle w:val="CharDefText"/>
        </w:rPr>
        <w:t>Act</w:t>
      </w:r>
      <w:r>
        <w:t xml:space="preserve"> means the </w:t>
      </w:r>
      <w:r>
        <w:rPr>
          <w:i/>
        </w:rPr>
        <w:t>Public Transport Authority Act 2003</w:t>
      </w:r>
      <w:r>
        <w:t>;</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the driver of a road bus or railway train involved in the provision of a public passenger transport service by the Authority;</w:t>
      </w:r>
    </w:p>
    <w:p>
      <w:pPr>
        <w:pStyle w:val="Defstart"/>
      </w:pPr>
      <w:r>
        <w:rPr>
          <w:b/>
        </w:rPr>
        <w:tab/>
      </w:r>
      <w:r>
        <w:rPr>
          <w:rStyle w:val="CharDefText"/>
        </w:rPr>
        <w:t>facility</w:t>
      </w:r>
      <w:r>
        <w:t xml:space="preserve"> means a place associated with the provision of a public passenger transport service provided by the Authority;</w:t>
      </w:r>
    </w:p>
    <w:p>
      <w:pPr>
        <w:pStyle w:val="Defstart"/>
      </w:pPr>
      <w:r>
        <w:rPr>
          <w:b/>
        </w:rPr>
        <w:tab/>
      </w:r>
      <w:r>
        <w:rPr>
          <w:rStyle w:val="CharDefText"/>
        </w:rPr>
        <w:t>master</w:t>
      </w:r>
      <w:r>
        <w:t xml:space="preserve"> means the master of a ferry involved in the provision of a public passenger transport service by the Authority;</w:t>
      </w:r>
    </w:p>
    <w:p>
      <w:pPr>
        <w:pStyle w:val="Defstart"/>
      </w:pPr>
      <w:r>
        <w:tab/>
      </w:r>
      <w:r>
        <w:rPr>
          <w:rStyle w:val="CharDefText"/>
        </w:rPr>
        <w:t>sign</w:t>
      </w:r>
      <w:r>
        <w:t xml:space="preserve"> includes a marking on the ground or other surface;</w:t>
      </w:r>
    </w:p>
    <w:p>
      <w:pPr>
        <w:pStyle w:val="Defstart"/>
      </w:pPr>
      <w:r>
        <w:rPr>
          <w:b/>
        </w:rPr>
        <w:tab/>
      </w:r>
      <w:r>
        <w:rPr>
          <w:rStyle w:val="CharDefText"/>
        </w:rPr>
        <w:t>ticket</w:t>
      </w:r>
      <w:r>
        <w:t xml:space="preserve"> </w:t>
      </w:r>
      <w:bookmarkStart w:id="8" w:name="comma"/>
      <w:bookmarkEnd w:id="8"/>
      <w:r>
        <w:t>means a ticket, voucher, document or other thing issued by or on behalf of the Authority for the use of a public passenger transport service provided by the Authority.</w:t>
      </w:r>
    </w:p>
    <w:p>
      <w:pPr>
        <w:pStyle w:val="Footnotesection"/>
      </w:pPr>
      <w:r>
        <w:tab/>
        <w:t>[Regulation 3 amended in Gazette 5 Nov 2013 p. 4950.]</w:t>
      </w:r>
    </w:p>
    <w:p>
      <w:pPr>
        <w:pStyle w:val="Heading5"/>
      </w:pPr>
      <w:bookmarkStart w:id="9" w:name="_Toc470187402"/>
      <w:r>
        <w:rPr>
          <w:rStyle w:val="CharSectno"/>
        </w:rPr>
        <w:t>4</w:t>
      </w:r>
      <w:r>
        <w:t>.</w:t>
      </w:r>
      <w:r>
        <w:tab/>
        <w:t>Offences prescribed as infringement notice offences</w:t>
      </w:r>
      <w:bookmarkEnd w:id="9"/>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10" w:name="_Toc470187403"/>
      <w:r>
        <w:rPr>
          <w:rStyle w:val="CharPartNo"/>
        </w:rPr>
        <w:t>Part 2</w:t>
      </w:r>
      <w:r>
        <w:rPr>
          <w:rStyle w:val="CharDivNo"/>
        </w:rPr>
        <w:t> </w:t>
      </w:r>
      <w:r>
        <w:rPr>
          <w:sz w:val="24"/>
        </w:rPr>
        <w:t>—</w:t>
      </w:r>
      <w:r>
        <w:rPr>
          <w:rStyle w:val="CharDivText"/>
        </w:rPr>
        <w:t> </w:t>
      </w:r>
      <w:r>
        <w:rPr>
          <w:rStyle w:val="CharPartText"/>
        </w:rPr>
        <w:t>Tickets</w:t>
      </w:r>
      <w:bookmarkEnd w:id="10"/>
    </w:p>
    <w:p>
      <w:pPr>
        <w:pStyle w:val="Heading5"/>
      </w:pPr>
      <w:bookmarkStart w:id="11" w:name="_Toc470187404"/>
      <w:r>
        <w:rPr>
          <w:rStyle w:val="CharSectno"/>
        </w:rPr>
        <w:t>5</w:t>
      </w:r>
      <w:r>
        <w:t>.</w:t>
      </w:r>
      <w:r>
        <w:tab/>
        <w:t>Invalid ticket</w:t>
      </w:r>
      <w:bookmarkEnd w:id="11"/>
    </w:p>
    <w:p>
      <w:pPr>
        <w:pStyle w:val="Subsection"/>
      </w:pPr>
      <w:r>
        <w:tab/>
      </w:r>
      <w:r>
        <w:tab/>
        <w:t xml:space="preserve">A ticket is not valid if — </w:t>
      </w:r>
    </w:p>
    <w:p>
      <w:pPr>
        <w:pStyle w:val="Indenta"/>
      </w:pPr>
      <w:r>
        <w:tab/>
        <w:t>(a)</w:t>
      </w:r>
      <w:r>
        <w:tab/>
        <w:t>it is torn;</w:t>
      </w:r>
    </w:p>
    <w:p>
      <w:pPr>
        <w:pStyle w:val="Indenta"/>
      </w:pPr>
      <w:r>
        <w:tab/>
        <w:t>(b)</w:t>
      </w:r>
      <w:r>
        <w:tab/>
        <w:t>it must be validated by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conveyance;</w:t>
      </w:r>
    </w:p>
    <w:p>
      <w:pPr>
        <w:pStyle w:val="Indenta"/>
      </w:pPr>
      <w:r>
        <w:tab/>
        <w:t>(f)</w:t>
      </w:r>
      <w:r>
        <w:tab/>
        <w:t>it is not being used in accordance with any condition on which it was issued;</w:t>
      </w:r>
    </w:p>
    <w:p>
      <w:pPr>
        <w:pStyle w:val="Indenta"/>
      </w:pPr>
      <w:r>
        <w:tab/>
        <w:t>(g)</w:t>
      </w:r>
      <w:r>
        <w:tab/>
        <w:t>it is used or purported to be used beyond the point for which the fare has been paid; or</w:t>
      </w:r>
    </w:p>
    <w:p>
      <w:pPr>
        <w:pStyle w:val="Indenta"/>
      </w:pPr>
      <w:r>
        <w:tab/>
        <w:t>(h)</w:t>
      </w:r>
      <w:r>
        <w:tab/>
        <w:t>a current certificate or concession card is required to be held by a passenger as a condition of the use of the ticket and that certificate or concession card is not presented on demand to a driver, master, or authorised person.</w:t>
      </w:r>
    </w:p>
    <w:p>
      <w:pPr>
        <w:pStyle w:val="Heading5"/>
      </w:pPr>
      <w:bookmarkStart w:id="12" w:name="_Toc470187405"/>
      <w:r>
        <w:rPr>
          <w:rStyle w:val="CharSectno"/>
        </w:rPr>
        <w:t>6</w:t>
      </w:r>
      <w:r>
        <w:t>.</w:t>
      </w:r>
      <w:r>
        <w:tab/>
        <w:t>Using a public passenger transport service without a valid ticket</w:t>
      </w:r>
      <w:bookmarkEnd w:id="12"/>
    </w:p>
    <w:p>
      <w:pPr>
        <w:pStyle w:val="Subsection"/>
      </w:pPr>
      <w:r>
        <w:tab/>
        <w:t>(1)</w:t>
      </w:r>
      <w:r>
        <w:tab/>
        <w:t xml:space="preserve">A person who — </w:t>
      </w:r>
    </w:p>
    <w:p>
      <w:pPr>
        <w:pStyle w:val="Indenta"/>
      </w:pPr>
      <w:r>
        <w:tab/>
        <w:t>(a)</w:t>
      </w:r>
      <w:r>
        <w:tab/>
        <w:t>travels on a public passenger transport service;</w:t>
      </w:r>
    </w:p>
    <w:p>
      <w:pPr>
        <w:pStyle w:val="Indenta"/>
      </w:pPr>
      <w:r>
        <w:tab/>
        <w:t>(b)</w:t>
      </w:r>
      <w:r>
        <w:tab/>
        <w:t>attempts to travel on a public passenger transport service; or</w:t>
      </w:r>
    </w:p>
    <w:p>
      <w:pPr>
        <w:pStyle w:val="Indenta"/>
      </w:pPr>
      <w:r>
        <w:tab/>
        <w:t>(c)</w:t>
      </w:r>
      <w:r>
        <w:tab/>
        <w:t>is leaving a public passenger transport service,</w:t>
      </w:r>
    </w:p>
    <w:p>
      <w:pPr>
        <w:pStyle w:val="Subsection"/>
      </w:pPr>
      <w:r>
        <w:tab/>
      </w:r>
      <w:r>
        <w:tab/>
        <w:t>provided by the Authority and does not produce on demand to a driver, master, or an authorised person a valid ticket commits an offence.</w:t>
      </w:r>
    </w:p>
    <w:p>
      <w:pPr>
        <w:pStyle w:val="Penstart"/>
      </w:pPr>
      <w:r>
        <w:tab/>
        <w:t>Modified penalty: a fine of $100.</w:t>
      </w:r>
    </w:p>
    <w:p>
      <w:pPr>
        <w:pStyle w:val="Penstart"/>
      </w:pPr>
      <w:r>
        <w:tab/>
        <w:t>Penalty: a fine of $500.</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Footnotesection"/>
      </w:pPr>
      <w:r>
        <w:tab/>
        <w:t>[Regulation 6 amended in Gazette 24 Jul 2009 p. 2953; 5 Nov 2013 p. 4954.]</w:t>
      </w:r>
    </w:p>
    <w:p>
      <w:pPr>
        <w:pStyle w:val="Heading2"/>
      </w:pPr>
      <w:bookmarkStart w:id="13" w:name="_Toc470187406"/>
      <w:r>
        <w:rPr>
          <w:rStyle w:val="CharPartNo"/>
        </w:rPr>
        <w:t>Part 3</w:t>
      </w:r>
      <w:r>
        <w:rPr>
          <w:rStyle w:val="CharDivNo"/>
        </w:rPr>
        <w:t> </w:t>
      </w:r>
      <w:r>
        <w:t>—</w:t>
      </w:r>
      <w:r>
        <w:rPr>
          <w:rStyle w:val="CharDivText"/>
        </w:rPr>
        <w:t> </w:t>
      </w:r>
      <w:r>
        <w:rPr>
          <w:rStyle w:val="CharPartText"/>
        </w:rPr>
        <w:t>Conduct in relation to Authority property</w:t>
      </w:r>
      <w:bookmarkEnd w:id="13"/>
    </w:p>
    <w:p>
      <w:pPr>
        <w:pStyle w:val="Heading5"/>
      </w:pPr>
      <w:bookmarkStart w:id="14" w:name="_Toc470187407"/>
      <w:r>
        <w:rPr>
          <w:rStyle w:val="CharSectno"/>
        </w:rPr>
        <w:t>7</w:t>
      </w:r>
      <w:r>
        <w:t>.</w:t>
      </w:r>
      <w:r>
        <w:tab/>
        <w:t>Interference with property</w:t>
      </w:r>
      <w:bookmarkEnd w:id="14"/>
    </w:p>
    <w:p>
      <w:pPr>
        <w:pStyle w:val="Subsection"/>
        <w:spacing w:before="120"/>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a fine of $200.</w:t>
      </w:r>
    </w:p>
    <w:p>
      <w:pPr>
        <w:pStyle w:val="Penstart"/>
      </w:pPr>
      <w:r>
        <w:tab/>
        <w:t>Penalty: a fine of $2 000.</w:t>
      </w:r>
    </w:p>
    <w:p>
      <w:pPr>
        <w:pStyle w:val="Footnotesection"/>
      </w:pPr>
      <w:r>
        <w:tab/>
        <w:t>[Regulation 7 amended in Gazette 5 Nov 2013 p. 4954.]</w:t>
      </w:r>
    </w:p>
    <w:p>
      <w:pPr>
        <w:pStyle w:val="Heading5"/>
      </w:pPr>
      <w:bookmarkStart w:id="15" w:name="_Toc470187408"/>
      <w:r>
        <w:rPr>
          <w:rStyle w:val="CharSectno"/>
        </w:rPr>
        <w:t>8</w:t>
      </w:r>
      <w:r>
        <w:t>.</w:t>
      </w:r>
      <w:r>
        <w:tab/>
        <w:t>Travelling on part of conveyance not intended for conveyance of passengers</w:t>
      </w:r>
      <w:bookmarkEnd w:id="15"/>
    </w:p>
    <w:p>
      <w:pPr>
        <w:pStyle w:val="Subsection"/>
        <w:spacing w:before="120"/>
      </w:pPr>
      <w:r>
        <w:tab/>
      </w:r>
      <w:r>
        <w:tab/>
        <w:t>A person who without lawful authority travels on any part of a conveyance not intended for the conveyance of passengers commits an offence.</w:t>
      </w:r>
    </w:p>
    <w:p>
      <w:pPr>
        <w:pStyle w:val="Penstart"/>
      </w:pPr>
      <w:r>
        <w:tab/>
        <w:t>Modified penalty: a fine of $200.</w:t>
      </w:r>
    </w:p>
    <w:p>
      <w:pPr>
        <w:pStyle w:val="Penstart"/>
      </w:pPr>
      <w:r>
        <w:tab/>
        <w:t>Penalty: a fine of $2 000.</w:t>
      </w:r>
    </w:p>
    <w:p>
      <w:pPr>
        <w:pStyle w:val="Footnotesection"/>
      </w:pPr>
      <w:r>
        <w:tab/>
        <w:t>[Regulation 8 amended in Gazette 5 Nov 2013 p. 4954.]</w:t>
      </w:r>
    </w:p>
    <w:p>
      <w:pPr>
        <w:pStyle w:val="Heading5"/>
      </w:pPr>
      <w:bookmarkStart w:id="16" w:name="_Toc470187409"/>
      <w:r>
        <w:rPr>
          <w:rStyle w:val="CharSectno"/>
        </w:rPr>
        <w:t>9</w:t>
      </w:r>
      <w:r>
        <w:t>.</w:t>
      </w:r>
      <w:r>
        <w:tab/>
        <w:t>Entering or leaving a conveyance other than through a door</w:t>
      </w:r>
      <w:bookmarkEnd w:id="16"/>
    </w:p>
    <w:p>
      <w:pPr>
        <w:pStyle w:val="Subsection"/>
        <w:spacing w:before="120"/>
      </w:pPr>
      <w:r>
        <w:tab/>
        <w:t>(1)</w:t>
      </w:r>
      <w:r>
        <w:tab/>
        <w:t>A person who, except in an emergency, enters or leaves a conveyance other than through a door intended for the use of passengers commits an offence.</w:t>
      </w:r>
    </w:p>
    <w:p>
      <w:pPr>
        <w:pStyle w:val="Penstart"/>
      </w:pPr>
      <w:r>
        <w:tab/>
        <w:t>Modified penalty: a fine of $200.</w:t>
      </w:r>
    </w:p>
    <w:p>
      <w:pPr>
        <w:pStyle w:val="Penstart"/>
      </w:pPr>
      <w:r>
        <w:tab/>
        <w:t>Penalty: a fine of $2 000.</w:t>
      </w:r>
    </w:p>
    <w:p>
      <w:pPr>
        <w:pStyle w:val="Subsection"/>
        <w:spacing w:before="120"/>
      </w:pPr>
      <w:r>
        <w:tab/>
        <w:t>(2)</w:t>
      </w:r>
      <w:r>
        <w:tab/>
        <w:t>Subregulation (1) does not apply to a driver, master, authorised person, or a security officer acting in the proper exercise of his or her duties.</w:t>
      </w:r>
    </w:p>
    <w:p>
      <w:pPr>
        <w:pStyle w:val="Footnotesection"/>
      </w:pPr>
      <w:r>
        <w:tab/>
        <w:t>[Regulation 9 amended in Gazette 5 Nov 2013 p. 4954.]</w:t>
      </w:r>
    </w:p>
    <w:p>
      <w:pPr>
        <w:pStyle w:val="Heading5"/>
      </w:pPr>
      <w:bookmarkStart w:id="17" w:name="_Toc470187410"/>
      <w:r>
        <w:rPr>
          <w:rStyle w:val="CharSectno"/>
        </w:rPr>
        <w:t>10</w:t>
      </w:r>
      <w:r>
        <w:t>.</w:t>
      </w:r>
      <w:r>
        <w:tab/>
        <w:t>No standing allowed in certain areas on a conveyance</w:t>
      </w:r>
      <w:bookmarkEnd w:id="17"/>
    </w:p>
    <w:p>
      <w:pPr>
        <w:pStyle w:val="Subsection"/>
      </w:pPr>
      <w:r>
        <w:tab/>
      </w:r>
      <w:r>
        <w:tab/>
        <w:t>A person who stands in an area of a conveyance designated to be an area in which a person must not stand while the conveyance is moving commits an offence.</w:t>
      </w:r>
    </w:p>
    <w:p>
      <w:pPr>
        <w:pStyle w:val="Penstart"/>
      </w:pPr>
      <w:r>
        <w:tab/>
        <w:t>Modified penalty: a fine of $100.</w:t>
      </w:r>
    </w:p>
    <w:p>
      <w:pPr>
        <w:pStyle w:val="Penstart"/>
      </w:pPr>
      <w:r>
        <w:tab/>
        <w:t>Penalty: a fine of $500.</w:t>
      </w:r>
    </w:p>
    <w:p>
      <w:pPr>
        <w:pStyle w:val="Footnotesection"/>
      </w:pPr>
      <w:r>
        <w:tab/>
        <w:t>[Regulation 10 amended in Gazette 24 Jul 2009 p. 2953; 5 Nov 2013 p. 4950 and 4954.]</w:t>
      </w:r>
    </w:p>
    <w:p>
      <w:pPr>
        <w:pStyle w:val="Heading5"/>
      </w:pPr>
      <w:bookmarkStart w:id="18" w:name="_Toc470187411"/>
      <w:r>
        <w:rPr>
          <w:rStyle w:val="CharSectno"/>
        </w:rPr>
        <w:t>11</w:t>
      </w:r>
      <w:r>
        <w:t>.</w:t>
      </w:r>
      <w:r>
        <w:tab/>
        <w:t>Smoking prohibited</w:t>
      </w:r>
      <w:bookmarkEnd w:id="18"/>
    </w:p>
    <w:p>
      <w:pPr>
        <w:pStyle w:val="Subsection"/>
      </w:pPr>
      <w:r>
        <w:tab/>
        <w:t>(1)</w:t>
      </w:r>
      <w:r>
        <w:tab/>
        <w:t>A person who smokes in or on a conveyance commits an offence.</w:t>
      </w:r>
    </w:p>
    <w:p>
      <w:pPr>
        <w:pStyle w:val="Penstart"/>
      </w:pPr>
      <w:r>
        <w:tab/>
        <w:t>Modified penalty: a fine of $100.</w:t>
      </w:r>
    </w:p>
    <w:p>
      <w:pPr>
        <w:pStyle w:val="Penstart"/>
      </w:pPr>
      <w:r>
        <w:tab/>
        <w:t>Penalty: a fine of $500.</w:t>
      </w:r>
    </w:p>
    <w:p>
      <w:pPr>
        <w:pStyle w:val="Subsection"/>
      </w:pPr>
      <w:r>
        <w:tab/>
        <w:t>(2)</w:t>
      </w:r>
      <w:r>
        <w:tab/>
        <w:t>A person who smokes in or on a facility in respect of which a notice is displayed that smoking is prohibited commits an offence.</w:t>
      </w:r>
    </w:p>
    <w:p>
      <w:pPr>
        <w:pStyle w:val="Penstart"/>
      </w:pPr>
      <w:r>
        <w:tab/>
        <w:t>Modified penalty: a fine of $100.</w:t>
      </w:r>
    </w:p>
    <w:p>
      <w:pPr>
        <w:pStyle w:val="Penstart"/>
      </w:pPr>
      <w:r>
        <w:tab/>
        <w:t>Penalty: a fine of $500.</w:t>
      </w:r>
    </w:p>
    <w:p>
      <w:pPr>
        <w:pStyle w:val="Subsection"/>
      </w:pPr>
      <w:r>
        <w:tab/>
        <w:t>(3)</w:t>
      </w:r>
      <w:r>
        <w:tab/>
        <w:t xml:space="preserve">This regulation does not limit the operation of the </w:t>
      </w:r>
      <w:r>
        <w:rPr>
          <w:i/>
        </w:rPr>
        <w:t>Health (Smoking in Enclosed Public Places) Regulations 1999</w:t>
      </w:r>
      <w:r>
        <w:rPr>
          <w:iCs/>
          <w:vertAlign w:val="superscript"/>
        </w:rPr>
        <w:t> 2</w:t>
      </w:r>
      <w:r>
        <w:t>.</w:t>
      </w:r>
    </w:p>
    <w:p>
      <w:pPr>
        <w:pStyle w:val="Footnotesection"/>
      </w:pPr>
      <w:r>
        <w:tab/>
        <w:t>[Regulation 11 amended in Gazette 24 Jul 2009 p. 2953-4; 5 Nov 2013 p. 4954.]</w:t>
      </w:r>
    </w:p>
    <w:p>
      <w:pPr>
        <w:pStyle w:val="Heading5"/>
      </w:pPr>
      <w:bookmarkStart w:id="19" w:name="_Toc470187412"/>
      <w:r>
        <w:rPr>
          <w:rStyle w:val="CharSectno"/>
        </w:rPr>
        <w:t>12</w:t>
      </w:r>
      <w:r>
        <w:t>.</w:t>
      </w:r>
      <w:r>
        <w:tab/>
        <w:t>Consumption of alcohol</w:t>
      </w:r>
      <w:bookmarkEnd w:id="19"/>
    </w:p>
    <w:p>
      <w:pPr>
        <w:pStyle w:val="Subsection"/>
      </w:pPr>
      <w:r>
        <w:tab/>
        <w:t>(1)</w:t>
      </w:r>
      <w:r>
        <w:tab/>
        <w:t>Subject to subregulation (2), a person who consumes alcohol in or on a conveyance or a facility commits an offence.</w:t>
      </w:r>
    </w:p>
    <w:p>
      <w:pPr>
        <w:pStyle w:val="Penstart"/>
      </w:pPr>
      <w:r>
        <w:tab/>
        <w:t>Modified penalty: a fine of $100.</w:t>
      </w:r>
    </w:p>
    <w:p>
      <w:pPr>
        <w:pStyle w:val="Penstart"/>
      </w:pPr>
      <w:r>
        <w:tab/>
        <w:t>Penalty: a fine of $500.</w:t>
      </w:r>
    </w:p>
    <w:p>
      <w:pPr>
        <w:pStyle w:val="Subsection"/>
      </w:pPr>
      <w:r>
        <w:tab/>
        <w:t>(2)</w:t>
      </w:r>
      <w:r>
        <w:tab/>
        <w:t>A person may consume alcohol in or on a conveyance or a facility with the approval of the chief executive officer if that approval is obtained before the alcohol is consumed.</w:t>
      </w:r>
    </w:p>
    <w:p>
      <w:pPr>
        <w:pStyle w:val="Footnotesection"/>
      </w:pPr>
      <w:r>
        <w:tab/>
        <w:t>[Regulation 12 amended in Gazette 24 Jul 2009 p. 2954; 5 Nov 2013 p. 4954.]</w:t>
      </w:r>
    </w:p>
    <w:p>
      <w:pPr>
        <w:pStyle w:val="Heading5"/>
        <w:spacing w:before="200"/>
      </w:pPr>
      <w:bookmarkStart w:id="20" w:name="_Toc470187413"/>
      <w:r>
        <w:rPr>
          <w:rStyle w:val="CharSectno"/>
        </w:rPr>
        <w:t>13</w:t>
      </w:r>
      <w:r>
        <w:t>.</w:t>
      </w:r>
      <w:r>
        <w:tab/>
        <w:t>Nuisance</w:t>
      </w:r>
      <w:bookmarkEnd w:id="20"/>
    </w:p>
    <w:p>
      <w:pPr>
        <w:pStyle w:val="Subsection"/>
        <w:spacing w:before="120"/>
      </w:pPr>
      <w:r>
        <w:tab/>
      </w:r>
      <w:r>
        <w:tab/>
        <w:t>A person who acts in such a way as to cause a nuisance or annoyance to persons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13 amended in Gazette 24 Jul 2009 p. 2954; 5 Nov 2013 p. 4954.]</w:t>
      </w:r>
    </w:p>
    <w:p>
      <w:pPr>
        <w:pStyle w:val="Heading5"/>
        <w:spacing w:before="200"/>
      </w:pPr>
      <w:bookmarkStart w:id="21" w:name="_Toc470187414"/>
      <w:r>
        <w:rPr>
          <w:rStyle w:val="CharSectno"/>
        </w:rPr>
        <w:t>14</w:t>
      </w:r>
      <w:r>
        <w:t>.</w:t>
      </w:r>
      <w:r>
        <w:tab/>
        <w:t>Begging and busking prohibited</w:t>
      </w:r>
      <w:bookmarkEnd w:id="21"/>
    </w:p>
    <w:p>
      <w:pPr>
        <w:pStyle w:val="Subsection"/>
        <w:spacing w:before="120"/>
      </w:pPr>
      <w:r>
        <w:tab/>
      </w:r>
      <w:r>
        <w:tab/>
        <w:t>Unless authorised in writing by the chief executive officer, a person who begs or busks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14 amended in Gazette 24 Jul 2009 p. 2954; 5 Nov 2013 p. 4954.]</w:t>
      </w:r>
    </w:p>
    <w:p>
      <w:pPr>
        <w:pStyle w:val="Heading5"/>
        <w:spacing w:before="200"/>
      </w:pPr>
      <w:bookmarkStart w:id="22" w:name="_Toc470187415"/>
      <w:r>
        <w:rPr>
          <w:rStyle w:val="CharSectno"/>
        </w:rPr>
        <w:t>15</w:t>
      </w:r>
      <w:r>
        <w:t>.</w:t>
      </w:r>
      <w:r>
        <w:tab/>
        <w:t>Damage to a conveyance or facility</w:t>
      </w:r>
      <w:bookmarkEnd w:id="22"/>
    </w:p>
    <w:p>
      <w:pPr>
        <w:pStyle w:val="Subsection"/>
        <w:spacing w:before="120"/>
      </w:pPr>
      <w:r>
        <w:tab/>
      </w:r>
      <w:r>
        <w:tab/>
        <w:t>Unless authorised in writing by the chief executive officer, a person who affixes anything to or marks, paints, or writes anything on a conveyance or a facility commits an offence.</w:t>
      </w:r>
    </w:p>
    <w:p>
      <w:pPr>
        <w:pStyle w:val="Penstart"/>
      </w:pPr>
      <w:r>
        <w:tab/>
        <w:t>Modified penalty: a fine of $200.</w:t>
      </w:r>
    </w:p>
    <w:p>
      <w:pPr>
        <w:pStyle w:val="Penstart"/>
      </w:pPr>
      <w:r>
        <w:tab/>
        <w:t>Penalty: a fine of $2 000.</w:t>
      </w:r>
    </w:p>
    <w:p>
      <w:pPr>
        <w:pStyle w:val="Footnotesection"/>
      </w:pPr>
      <w:r>
        <w:tab/>
        <w:t>[Regulation 15 amended in Gazette 5 Nov 2013 p. 4954.]</w:t>
      </w:r>
    </w:p>
    <w:p>
      <w:pPr>
        <w:pStyle w:val="Heading5"/>
        <w:spacing w:before="200"/>
      </w:pPr>
      <w:bookmarkStart w:id="23" w:name="_Toc470187416"/>
      <w:r>
        <w:rPr>
          <w:rStyle w:val="CharSectno"/>
        </w:rPr>
        <w:t>16</w:t>
      </w:r>
      <w:r>
        <w:t>.</w:t>
      </w:r>
      <w:r>
        <w:tab/>
        <w:t>Audible devices</w:t>
      </w:r>
      <w:bookmarkEnd w:id="23"/>
    </w:p>
    <w:p>
      <w:pPr>
        <w:pStyle w:val="Subsection"/>
        <w:spacing w:before="120"/>
      </w:pPr>
      <w:r>
        <w:tab/>
        <w:t>(1)</w:t>
      </w:r>
      <w:r>
        <w:tab/>
        <w:t>Unless authorised in writing by the chief executive officer, a person who blows or plays on any musical instrument in or on a conveyance or a facility commits an offence.</w:t>
      </w:r>
    </w:p>
    <w:p>
      <w:pPr>
        <w:pStyle w:val="Penstart"/>
      </w:pPr>
      <w:r>
        <w:tab/>
        <w:t>Modified penalty: a fine of $100.</w:t>
      </w:r>
    </w:p>
    <w:p>
      <w:pPr>
        <w:pStyle w:val="Penstart"/>
      </w:pPr>
      <w:r>
        <w:tab/>
        <w:t>Penalty: a fine of $500.</w:t>
      </w:r>
    </w:p>
    <w:p>
      <w:pPr>
        <w:pStyle w:val="Subsection"/>
        <w:spacing w:before="120"/>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a fine of $100.</w:t>
      </w:r>
    </w:p>
    <w:p>
      <w:pPr>
        <w:pStyle w:val="Penstart"/>
      </w:pPr>
      <w:r>
        <w:tab/>
        <w:t>Penalty: a fine of $500.</w:t>
      </w:r>
    </w:p>
    <w:p>
      <w:pPr>
        <w:pStyle w:val="Footnotesection"/>
      </w:pPr>
      <w:r>
        <w:tab/>
        <w:t>[Regulation 16 amended in Gazette 24 Jul 2009 p. 2954; 5 Nov 2013 p. 4954-5.]</w:t>
      </w:r>
    </w:p>
    <w:p>
      <w:pPr>
        <w:pStyle w:val="Heading5"/>
      </w:pPr>
      <w:bookmarkStart w:id="24" w:name="_Toc470187417"/>
      <w:r>
        <w:rPr>
          <w:rStyle w:val="CharSectno"/>
        </w:rPr>
        <w:t>17</w:t>
      </w:r>
      <w:r>
        <w:t>.</w:t>
      </w:r>
      <w:r>
        <w:tab/>
        <w:t>Selling things or services or distributing handbills etc. prohibited</w:t>
      </w:r>
      <w:bookmarkEnd w:id="24"/>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a fine of $100.</w:t>
      </w:r>
    </w:p>
    <w:p>
      <w:pPr>
        <w:pStyle w:val="Penstart"/>
      </w:pPr>
      <w:r>
        <w:tab/>
        <w:t>Penalty: a fine of $500.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17 amended in Gazette 24 Jul 2009 p. 2954-5; 5 Nov 2013 p. 4954-5.]</w:t>
      </w:r>
    </w:p>
    <w:p>
      <w:pPr>
        <w:pStyle w:val="Heading5"/>
      </w:pPr>
      <w:bookmarkStart w:id="25" w:name="_Toc470187418"/>
      <w:r>
        <w:rPr>
          <w:rStyle w:val="CharSectno"/>
        </w:rPr>
        <w:t>18</w:t>
      </w:r>
      <w:r>
        <w:t>.</w:t>
      </w:r>
      <w:r>
        <w:tab/>
        <w:t>Food and drink</w:t>
      </w:r>
      <w:bookmarkEnd w:id="25"/>
    </w:p>
    <w:p>
      <w:pPr>
        <w:pStyle w:val="Subsection"/>
      </w:pPr>
      <w:r>
        <w:tab/>
      </w:r>
      <w:r>
        <w:tab/>
        <w:t>Unless authorised in writing by the chief executive officer, a person who consumes any drink or food in or on a conveyance commits an offence.</w:t>
      </w:r>
    </w:p>
    <w:p>
      <w:pPr>
        <w:pStyle w:val="Penstart"/>
      </w:pPr>
      <w:r>
        <w:tab/>
        <w:t>Modified penalty: a fine of $100.</w:t>
      </w:r>
    </w:p>
    <w:p>
      <w:pPr>
        <w:pStyle w:val="Penstart"/>
      </w:pPr>
      <w:r>
        <w:tab/>
        <w:t>Penalty: a fine of $500.</w:t>
      </w:r>
    </w:p>
    <w:p>
      <w:pPr>
        <w:pStyle w:val="Footnotesection"/>
      </w:pPr>
      <w:r>
        <w:tab/>
        <w:t>[Regulation 18 amended in Gazette 24 Jul 2009 p. 2955; 5 Nov 2013 p. 4954-5.]</w:t>
      </w:r>
    </w:p>
    <w:p>
      <w:pPr>
        <w:pStyle w:val="Heading5"/>
      </w:pPr>
      <w:bookmarkStart w:id="26" w:name="_Toc470187419"/>
      <w:r>
        <w:rPr>
          <w:rStyle w:val="CharSectno"/>
        </w:rPr>
        <w:t>19</w:t>
      </w:r>
      <w:r>
        <w:t>.</w:t>
      </w:r>
      <w:r>
        <w:tab/>
        <w:t>Feet not to be placed on seats</w:t>
      </w:r>
      <w:bookmarkEnd w:id="26"/>
    </w:p>
    <w:p>
      <w:pPr>
        <w:pStyle w:val="Subsection"/>
      </w:pPr>
      <w:r>
        <w:tab/>
      </w:r>
      <w:r>
        <w:tab/>
        <w:t>A person who places or rests his or her foot or feet on or against a seat of a conveyance commits an offence.</w:t>
      </w:r>
    </w:p>
    <w:p>
      <w:pPr>
        <w:pStyle w:val="Penstart"/>
      </w:pPr>
      <w:r>
        <w:tab/>
        <w:t>Modified penalty: a fine of $100.</w:t>
      </w:r>
    </w:p>
    <w:p>
      <w:pPr>
        <w:pStyle w:val="Penstart"/>
      </w:pPr>
      <w:r>
        <w:tab/>
        <w:t>Penalty: a fine of $500.</w:t>
      </w:r>
    </w:p>
    <w:p>
      <w:pPr>
        <w:pStyle w:val="Footnotesection"/>
      </w:pPr>
      <w:r>
        <w:tab/>
        <w:t>[Regulation 19 amended in Gazette 24 Jul 2009 p. 2955; 5 Nov 2013 p. 4954-5.]</w:t>
      </w:r>
    </w:p>
    <w:p>
      <w:pPr>
        <w:pStyle w:val="Heading5"/>
      </w:pPr>
      <w:bookmarkStart w:id="27" w:name="_Toc470187420"/>
      <w:r>
        <w:rPr>
          <w:rStyle w:val="CharSectno"/>
        </w:rPr>
        <w:t>20</w:t>
      </w:r>
      <w:r>
        <w:t>.</w:t>
      </w:r>
      <w:r>
        <w:tab/>
        <w:t>Luggage not to obstruct or endanger passengers</w:t>
      </w:r>
      <w:bookmarkEnd w:id="27"/>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a fine of $100.</w:t>
      </w:r>
    </w:p>
    <w:p>
      <w:pPr>
        <w:pStyle w:val="Penstart"/>
      </w:pPr>
      <w:r>
        <w:tab/>
        <w:t>Penalty: a fine of $500.</w:t>
      </w:r>
    </w:p>
    <w:p>
      <w:pPr>
        <w:pStyle w:val="Footnotesection"/>
      </w:pPr>
      <w:r>
        <w:tab/>
        <w:t>[Regulation 20 amended in Gazette 24 Jul 2009 p. 2955; 5 Nov 2013 p. 4954-5.]</w:t>
      </w:r>
    </w:p>
    <w:p>
      <w:pPr>
        <w:pStyle w:val="Heading5"/>
      </w:pPr>
      <w:bookmarkStart w:id="28" w:name="_Toc470187421"/>
      <w:r>
        <w:rPr>
          <w:rStyle w:val="CharSectno"/>
        </w:rPr>
        <w:t>21</w:t>
      </w:r>
      <w:r>
        <w:t>.</w:t>
      </w:r>
      <w:r>
        <w:tab/>
        <w:t>Possessing certain things prohibited</w:t>
      </w:r>
      <w:bookmarkEnd w:id="28"/>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a fine of $200.</w:t>
      </w:r>
    </w:p>
    <w:p>
      <w:pPr>
        <w:pStyle w:val="Indenta"/>
      </w:pPr>
      <w:r>
        <w:tab/>
      </w:r>
      <w:r>
        <w:tab/>
        <w:t>Modified penalty applicable to paragraph (e): a fine of $100.</w:t>
      </w:r>
    </w:p>
    <w:p>
      <w:pPr>
        <w:pStyle w:val="Indenta"/>
      </w:pPr>
      <w:r>
        <w:tab/>
      </w:r>
      <w:r>
        <w:tab/>
        <w:t>Penalty applicable to paragraphs (a) to (d): a fine of $2 000.</w:t>
      </w:r>
    </w:p>
    <w:p>
      <w:pPr>
        <w:pStyle w:val="Indenta"/>
      </w:pPr>
      <w:r>
        <w:tab/>
      </w:r>
      <w:r>
        <w:tab/>
        <w:t>Penalty applicable to paragraph (e): a fine of $500.</w:t>
      </w:r>
    </w:p>
    <w:p>
      <w:pPr>
        <w:pStyle w:val="Footnotesection"/>
      </w:pPr>
      <w:r>
        <w:tab/>
        <w:t>[Regulation 21 amended in Gazette 24 Jul 2009 p. 2955; 5 Nov 2013 p. 4950-1.]</w:t>
      </w:r>
    </w:p>
    <w:p>
      <w:pPr>
        <w:pStyle w:val="Heading5"/>
      </w:pPr>
      <w:bookmarkStart w:id="29" w:name="_Toc470187422"/>
      <w:r>
        <w:rPr>
          <w:rStyle w:val="CharSectno"/>
        </w:rPr>
        <w:t>22</w:t>
      </w:r>
      <w:r>
        <w:t>.</w:t>
      </w:r>
      <w:r>
        <w:tab/>
        <w:t>Goods likely to spill, stain, or damage a conveyance</w:t>
      </w:r>
      <w:bookmarkEnd w:id="29"/>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pPr>
      <w:r>
        <w:tab/>
        <w:t>(b)</w:t>
      </w:r>
      <w:r>
        <w:tab/>
        <w:t>stain or cause damage to a conveyance,</w:t>
      </w:r>
    </w:p>
    <w:p>
      <w:pPr>
        <w:pStyle w:val="Subsection"/>
      </w:pPr>
      <w:r>
        <w:tab/>
      </w:r>
      <w:r>
        <w:tab/>
        <w:t>commits an offence.</w:t>
      </w:r>
    </w:p>
    <w:p>
      <w:pPr>
        <w:pStyle w:val="Penstart"/>
      </w:pPr>
      <w:r>
        <w:tab/>
        <w:t>Modified penalty: a fine of $100.</w:t>
      </w:r>
    </w:p>
    <w:p>
      <w:pPr>
        <w:pStyle w:val="Penstart"/>
      </w:pPr>
      <w:r>
        <w:tab/>
        <w:t>Penalty: a fine of $500.</w:t>
      </w:r>
    </w:p>
    <w:p>
      <w:pPr>
        <w:pStyle w:val="Footnotesection"/>
      </w:pPr>
      <w:r>
        <w:tab/>
        <w:t>[Regulation 22 amended in Gazette 24 Jul 2009 p. 2955; 5 Nov 2013 p. 4954-5.]</w:t>
      </w:r>
    </w:p>
    <w:p>
      <w:pPr>
        <w:pStyle w:val="Heading5"/>
      </w:pPr>
      <w:bookmarkStart w:id="30" w:name="_Toc470187423"/>
      <w:r>
        <w:rPr>
          <w:rStyle w:val="CharSectno"/>
        </w:rPr>
        <w:t>23</w:t>
      </w:r>
      <w:r>
        <w:t>.</w:t>
      </w:r>
      <w:r>
        <w:tab/>
        <w:t>Persons to stay inside conveyance</w:t>
      </w:r>
      <w:bookmarkEnd w:id="30"/>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r>
        <w:tab/>
        <w:t>Modified penalty: a fine of $100.</w:t>
      </w:r>
    </w:p>
    <w:p>
      <w:pPr>
        <w:pStyle w:val="Penstart"/>
      </w:pPr>
      <w:r>
        <w:tab/>
        <w:t>Penalty: a fine of $500.</w:t>
      </w:r>
    </w:p>
    <w:p>
      <w:pPr>
        <w:pStyle w:val="Footnotesection"/>
      </w:pPr>
      <w:r>
        <w:tab/>
        <w:t>[Regulation 23 amended in Gazette 24 Jul 2009 p. 2956; 5 Nov 2013 p. 4954-5.]</w:t>
      </w:r>
    </w:p>
    <w:p>
      <w:pPr>
        <w:pStyle w:val="Heading2"/>
      </w:pPr>
      <w:bookmarkStart w:id="31" w:name="_Toc470187424"/>
      <w:r>
        <w:rPr>
          <w:rStyle w:val="CharPartNo"/>
        </w:rPr>
        <w:t>Part 4</w:t>
      </w:r>
      <w:r>
        <w:rPr>
          <w:rStyle w:val="CharDivNo"/>
        </w:rPr>
        <w:t> </w:t>
      </w:r>
      <w:r>
        <w:t>—</w:t>
      </w:r>
      <w:r>
        <w:rPr>
          <w:rStyle w:val="CharDivText"/>
        </w:rPr>
        <w:t> </w:t>
      </w:r>
      <w:r>
        <w:rPr>
          <w:rStyle w:val="CharPartText"/>
        </w:rPr>
        <w:t>Regulation of persons and vehicles on Authority property</w:t>
      </w:r>
      <w:bookmarkEnd w:id="31"/>
    </w:p>
    <w:p>
      <w:pPr>
        <w:pStyle w:val="Heading5"/>
        <w:spacing w:before="240"/>
      </w:pPr>
      <w:bookmarkStart w:id="32" w:name="_Toc470187425"/>
      <w:r>
        <w:rPr>
          <w:rStyle w:val="CharSectno"/>
        </w:rPr>
        <w:t>24</w:t>
      </w:r>
      <w:r>
        <w:t>.</w:t>
      </w:r>
      <w:r>
        <w:tab/>
        <w:t>Terms used in this Part</w:t>
      </w:r>
      <w:bookmarkEnd w:id="32"/>
    </w:p>
    <w:p>
      <w:pPr>
        <w:pStyle w:val="Subsection"/>
        <w:spacing w:before="180"/>
      </w:pPr>
      <w:r>
        <w:tab/>
      </w:r>
      <w:r>
        <w:tab/>
        <w:t xml:space="preserve">In this Part, unless the contrary intention appears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spacing w:before="100"/>
      </w:pPr>
      <w:r>
        <w:rPr>
          <w:b/>
        </w:rPr>
        <w:tab/>
      </w:r>
      <w:r>
        <w:rPr>
          <w:rStyle w:val="CharDefText"/>
        </w:rPr>
        <w:t>driver</w:t>
      </w:r>
      <w:r>
        <w:t xml:space="preserve"> means any person driving or in control of a vehicle;</w:t>
      </w:r>
    </w:p>
    <w:p>
      <w:pPr>
        <w:pStyle w:val="Defstart"/>
        <w:spacing w:before="100"/>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spacing w:before="100"/>
      </w:pPr>
      <w:r>
        <w:rPr>
          <w:b/>
        </w:rPr>
        <w:tab/>
      </w:r>
      <w:r>
        <w:rPr>
          <w:rStyle w:val="CharDefText"/>
        </w:rPr>
        <w:t>parking space</w:t>
      </w:r>
      <w:r>
        <w:t xml:space="preserve"> means a section or part of Authority property, that is designated as a place where a vehicle may stand or be parked whether on payment of a charge or otherwise;</w:t>
      </w:r>
    </w:p>
    <w:p>
      <w:pPr>
        <w:pStyle w:val="Defstart"/>
        <w:spacing w:before="100"/>
      </w:pPr>
      <w:r>
        <w:rPr>
          <w:b/>
        </w:rPr>
        <w:tab/>
      </w:r>
      <w:r>
        <w:rPr>
          <w:rStyle w:val="CharDefText"/>
        </w:rPr>
        <w:t>secured parking facility</w:t>
      </w:r>
      <w:r>
        <w:t xml:space="preserve"> means a facility in or on Authority property which is fenced and to which entry can be gained only through a gate that is locked between designated hours;</w:t>
      </w:r>
    </w:p>
    <w:p>
      <w:pPr>
        <w:pStyle w:val="Defstart"/>
        <w:spacing w:before="100"/>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keepNext/>
        <w:keepLines/>
      </w:pPr>
      <w:r>
        <w:rPr>
          <w:b/>
        </w:rPr>
        <w:tab/>
      </w:r>
      <w:r>
        <w:rPr>
          <w:rStyle w:val="CharDefText"/>
        </w:rPr>
        <w:t>ticket vending machine</w:t>
      </w:r>
      <w:r>
        <w:t xml:space="preserve"> means a machine situated in or on Authority property which, following payment by note, coin, card or token, issues a parking ticket.</w:t>
      </w:r>
    </w:p>
    <w:p>
      <w:pPr>
        <w:pStyle w:val="Footnotesection"/>
      </w:pPr>
      <w:r>
        <w:tab/>
        <w:t>[Regulation 24 amended in Gazette 12 Dec 2003 p. 5040; 5 Nov 2013 p. 4951.]</w:t>
      </w:r>
    </w:p>
    <w:p>
      <w:pPr>
        <w:pStyle w:val="Heading5"/>
      </w:pPr>
      <w:bookmarkStart w:id="33" w:name="_Toc470187426"/>
      <w:r>
        <w:rPr>
          <w:rStyle w:val="CharSectno"/>
        </w:rPr>
        <w:t>24A</w:t>
      </w:r>
      <w:r>
        <w:t>.</w:t>
      </w:r>
      <w:r>
        <w:tab/>
        <w:t>Government railways parking stations</w:t>
      </w:r>
      <w:bookmarkEnd w:id="33"/>
    </w:p>
    <w:p>
      <w:pPr>
        <w:pStyle w:val="Subsection"/>
        <w:spacing w:before="120"/>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in Gazette 12 Dec 2003 p. 5040.]</w:t>
      </w:r>
    </w:p>
    <w:p>
      <w:pPr>
        <w:pStyle w:val="Heading5"/>
      </w:pPr>
      <w:bookmarkStart w:id="34" w:name="_Toc470187427"/>
      <w:r>
        <w:rPr>
          <w:rStyle w:val="CharSectno"/>
        </w:rPr>
        <w:t>25</w:t>
      </w:r>
      <w:r>
        <w:t>.</w:t>
      </w:r>
      <w:r>
        <w:tab/>
        <w:t>Regulation of persons and vehicles on Authority property</w:t>
      </w:r>
      <w:bookmarkEnd w:id="34"/>
    </w:p>
    <w:p>
      <w:pPr>
        <w:pStyle w:val="Subsection"/>
        <w:spacing w:before="120"/>
      </w:pPr>
      <w:r>
        <w:tab/>
        <w:t>(1)</w:t>
      </w:r>
      <w:r>
        <w:tab/>
        <w:t>The Authority may place signs in or on Authority property or remove or modify those signs.</w:t>
      </w:r>
    </w:p>
    <w:p>
      <w:pPr>
        <w:pStyle w:val="Subsection"/>
        <w:spacing w:before="120"/>
      </w:pPr>
      <w:r>
        <w:tab/>
        <w:t>(2)</w:t>
      </w:r>
      <w:r>
        <w:tab/>
        <w:t>Signs in or on Authority property immediately before the coming into operation of these regulations are to be taken to have been placed under subregulation (1).</w:t>
      </w:r>
    </w:p>
    <w:p>
      <w:pPr>
        <w:pStyle w:val="Subsection"/>
        <w:spacing w:before="120"/>
      </w:pPr>
      <w:r>
        <w:tab/>
        <w:t>(3)</w:t>
      </w:r>
      <w:r>
        <w:tab/>
        <w:t>The inscription on a sign operates according to its tenor.</w:t>
      </w:r>
    </w:p>
    <w:p>
      <w:pPr>
        <w:pStyle w:val="Subsection"/>
        <w:spacing w:before="120"/>
      </w:pPr>
      <w:r>
        <w:tab/>
        <w:t>(4)</w:t>
      </w:r>
      <w:r>
        <w:tab/>
        <w:t xml:space="preserve">A person must comply with — </w:t>
      </w:r>
    </w:p>
    <w:p>
      <w:pPr>
        <w:pStyle w:val="Indenta"/>
      </w:pPr>
      <w:r>
        <w:tab/>
        <w:t>(a)</w:t>
      </w:r>
      <w:r>
        <w:tab/>
        <w:t>the inscription on a sign placed under subregulation (1) unless authorised by the chief executive officer to disobey the sign; or</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a fine of $50.</w:t>
      </w:r>
    </w:p>
    <w:p>
      <w:pPr>
        <w:pStyle w:val="Penstart"/>
      </w:pPr>
      <w:r>
        <w:tab/>
        <w:t>Penalty: a fine of $250.</w:t>
      </w:r>
    </w:p>
    <w:p>
      <w:pPr>
        <w:pStyle w:val="Footnotesection"/>
      </w:pPr>
      <w:r>
        <w:tab/>
        <w:t>[Regulation 25 amended in Gazette 5 Nov 2013 p. 4951-2 and 4954-5.]</w:t>
      </w:r>
    </w:p>
    <w:p>
      <w:pPr>
        <w:pStyle w:val="Heading5"/>
      </w:pPr>
      <w:bookmarkStart w:id="35" w:name="_Toc470187428"/>
      <w:r>
        <w:rPr>
          <w:rStyle w:val="CharSectno"/>
        </w:rPr>
        <w:t>26</w:t>
      </w:r>
      <w:r>
        <w:t>.</w:t>
      </w:r>
      <w:r>
        <w:tab/>
        <w:t>Obstruction</w:t>
      </w:r>
      <w:bookmarkEnd w:id="35"/>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a fine of $50.</w:t>
      </w:r>
    </w:p>
    <w:p>
      <w:pPr>
        <w:pStyle w:val="Penstart"/>
      </w:pPr>
      <w:r>
        <w:tab/>
        <w:t>Penalty: a fine of $250.</w:t>
      </w:r>
    </w:p>
    <w:p>
      <w:pPr>
        <w:pStyle w:val="Footnotesection"/>
      </w:pPr>
      <w:r>
        <w:tab/>
        <w:t>[Regulation 26 amended in Gazette 5 Nov 2013 p. 4954-5.]</w:t>
      </w:r>
    </w:p>
    <w:p>
      <w:pPr>
        <w:pStyle w:val="Heading5"/>
      </w:pPr>
      <w:bookmarkStart w:id="36" w:name="_Toc470187429"/>
      <w:r>
        <w:rPr>
          <w:rStyle w:val="CharSectno"/>
        </w:rPr>
        <w:t>27</w:t>
      </w:r>
      <w:r>
        <w:t>.</w:t>
      </w:r>
      <w:r>
        <w:tab/>
        <w:t>Direction not to park in area</w:t>
      </w:r>
      <w:bookmarkEnd w:id="36"/>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a fine of $50.</w:t>
      </w:r>
    </w:p>
    <w:p>
      <w:pPr>
        <w:pStyle w:val="Penstart"/>
      </w:pPr>
      <w:r>
        <w:tab/>
        <w:t>Penalty: a fine of $250.</w:t>
      </w:r>
    </w:p>
    <w:p>
      <w:pPr>
        <w:pStyle w:val="Footnotesection"/>
      </w:pPr>
      <w:r>
        <w:tab/>
        <w:t>[Regulation 27 amended in Gazette 5 Nov 2013 p. 4954-5.]</w:t>
      </w:r>
    </w:p>
    <w:p>
      <w:pPr>
        <w:pStyle w:val="Heading5"/>
      </w:pPr>
      <w:bookmarkStart w:id="37" w:name="_Toc470187430"/>
      <w:r>
        <w:rPr>
          <w:rStyle w:val="CharSectno"/>
        </w:rPr>
        <w:t>28</w:t>
      </w:r>
      <w:r>
        <w:t>.</w:t>
      </w:r>
      <w:r>
        <w:tab/>
        <w:t>Loading zone</w:t>
      </w:r>
      <w:bookmarkEnd w:id="37"/>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a fine of $50.</w:t>
      </w:r>
    </w:p>
    <w:p>
      <w:pPr>
        <w:pStyle w:val="Penstart"/>
      </w:pPr>
      <w:r>
        <w:tab/>
        <w:t>Penalty: a fine of $250.</w:t>
      </w:r>
    </w:p>
    <w:p>
      <w:pPr>
        <w:pStyle w:val="Subsection"/>
      </w:pPr>
      <w:r>
        <w:tab/>
        <w:t>(2)</w:t>
      </w:r>
      <w:r>
        <w:tab/>
        <w:t xml:space="preserve">In this regulation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[Regulation 28 inserted in Gazette 12 Dec 2003 p. 5041; amended in Gazette 5 Nov 2013 p. 4954-5.]</w:t>
      </w:r>
    </w:p>
    <w:p>
      <w:pPr>
        <w:pStyle w:val="Heading5"/>
      </w:pPr>
      <w:bookmarkStart w:id="38" w:name="_Toc470187431"/>
      <w:r>
        <w:rPr>
          <w:rStyle w:val="CharSectno"/>
        </w:rPr>
        <w:t>29</w:t>
      </w:r>
      <w:r>
        <w:t>.</w:t>
      </w:r>
      <w:r>
        <w:tab/>
        <w:t>Designation of parking spaces for vehicles of persons with disability</w:t>
      </w:r>
      <w:bookmarkEnd w:id="38"/>
    </w:p>
    <w:p>
      <w:pPr>
        <w:pStyle w:val="Subsection"/>
      </w:pPr>
      <w:r>
        <w:tab/>
      </w:r>
      <w:r>
        <w:tab/>
        <w:t>A parking space in or on Authority property for the parking of vehicles of persons with a disability is to be designated by the symbol described in Australian Standard 1428 as the international symbol for access, displayed in the manner set out in Australian Standard 2890.6.</w:t>
      </w:r>
    </w:p>
    <w:p>
      <w:pPr>
        <w:pStyle w:val="Footnotesection"/>
      </w:pPr>
      <w:r>
        <w:tab/>
        <w:t>[Regulation 29 inserted in Gazette 5 Nov 2013 p. 4952.]</w:t>
      </w:r>
    </w:p>
    <w:p>
      <w:pPr>
        <w:pStyle w:val="Heading5"/>
        <w:spacing w:before="180"/>
        <w:rPr>
          <w:snapToGrid w:val="0"/>
        </w:rPr>
      </w:pPr>
      <w:bookmarkStart w:id="39" w:name="_Toc470187432"/>
      <w:r>
        <w:rPr>
          <w:rStyle w:val="CharSectno"/>
        </w:rPr>
        <w:t>30</w:t>
      </w:r>
      <w:r>
        <w:t>.</w:t>
      </w:r>
      <w:r>
        <w:tab/>
      </w:r>
      <w:r>
        <w:rPr>
          <w:snapToGrid w:val="0"/>
        </w:rPr>
        <w:t>Disabled parking</w:t>
      </w:r>
      <w:bookmarkEnd w:id="39"/>
    </w:p>
    <w:p>
      <w:pPr>
        <w:pStyle w:val="Subsection"/>
        <w:spacing w:before="200"/>
      </w:pPr>
      <w:r>
        <w:tab/>
        <w:t>(1)</w:t>
      </w:r>
      <w:r>
        <w:tab/>
        <w:t>A person must not, without permission of an authorised person,</w:t>
      </w:r>
      <w:r>
        <w:rPr>
          <w:snapToGrid w:val="0"/>
        </w:rPr>
        <w:t xml:space="preserve"> </w:t>
      </w:r>
      <w:r>
        <w:t xml:space="preserve">park or stand a vehicle in an area designated for the parking or standing of vehicles of disabled persons, unless — </w:t>
      </w:r>
    </w:p>
    <w:p>
      <w:pPr>
        <w:pStyle w:val="Indenta"/>
        <w:spacing w:before="60"/>
      </w:pPr>
      <w:r>
        <w:tab/>
        <w:t>(a)</w:t>
      </w:r>
      <w:r>
        <w:tab/>
        <w:t xml:space="preserve">a </w:t>
      </w:r>
      <w:r>
        <w:rPr>
          <w:snapToGrid w:val="0"/>
        </w:rPr>
        <w:t>disabled</w:t>
      </w:r>
      <w:r>
        <w:t xml:space="preserve"> person is the driver of or a passenger in the vehicle; and</w:t>
      </w:r>
    </w:p>
    <w:p>
      <w:pPr>
        <w:pStyle w:val="Indenta"/>
        <w:spacing w:before="60"/>
      </w:pPr>
      <w:r>
        <w:tab/>
        <w:t>(b)</w:t>
      </w:r>
      <w:r>
        <w:tab/>
        <w:t xml:space="preserve">an ACROD permit is displayed in a prominent position </w:t>
      </w:r>
      <w:r>
        <w:rPr>
          <w:snapToGrid w:val="0"/>
        </w:rPr>
        <w:t>in such a manner as to be clearly visible from the front of the vehicle</w:t>
      </w:r>
      <w:r>
        <w:t>.</w:t>
      </w:r>
    </w:p>
    <w:p>
      <w:pPr>
        <w:pStyle w:val="Penstart"/>
      </w:pPr>
      <w:r>
        <w:tab/>
        <w:t>Modified penalty: a fine of $50.</w:t>
      </w:r>
    </w:p>
    <w:p>
      <w:pPr>
        <w:pStyle w:val="Penstart"/>
      </w:pPr>
      <w:r>
        <w:tab/>
        <w:t>Penalty: a fine of $250.</w:t>
      </w:r>
    </w:p>
    <w:p>
      <w:pPr>
        <w:pStyle w:val="Subsection"/>
        <w:spacing w:before="120"/>
      </w:pPr>
      <w:r>
        <w:tab/>
        <w:t>(2)</w:t>
      </w:r>
      <w:r>
        <w:tab/>
      </w:r>
      <w:r>
        <w:rPr>
          <w:snapToGrid w:val="0"/>
        </w:rPr>
        <w:t>A person other than a disabled person must not identify or purport to identify a vehicle in accordance with subregulation (1)(b).</w:t>
      </w:r>
    </w:p>
    <w:p>
      <w:pPr>
        <w:pStyle w:val="Penstart"/>
      </w:pPr>
      <w:r>
        <w:tab/>
        <w:t>Modified penalty: a fine of $50.</w:t>
      </w:r>
    </w:p>
    <w:p>
      <w:pPr>
        <w:pStyle w:val="Penstart"/>
      </w:pPr>
      <w:r>
        <w:tab/>
        <w:t>Penalty: a fine of $250.</w:t>
      </w:r>
    </w:p>
    <w:p>
      <w:pPr>
        <w:pStyle w:val="Footnotesection"/>
      </w:pPr>
      <w:r>
        <w:tab/>
        <w:t>[Regulation 30 amended in Gazette 5 Nov 2013 p. 4952 and 4954-5.]</w:t>
      </w:r>
    </w:p>
    <w:p>
      <w:pPr>
        <w:pStyle w:val="Heading5"/>
        <w:spacing w:before="180"/>
      </w:pPr>
      <w:bookmarkStart w:id="40" w:name="_Toc470187433"/>
      <w:r>
        <w:rPr>
          <w:rStyle w:val="CharSectno"/>
        </w:rPr>
        <w:t>31</w:t>
      </w:r>
      <w:r>
        <w:t>.</w:t>
      </w:r>
      <w:r>
        <w:tab/>
      </w:r>
      <w:r>
        <w:rPr>
          <w:snapToGrid w:val="0"/>
        </w:rPr>
        <w:t>Vehicles</w:t>
      </w:r>
      <w:r>
        <w:t xml:space="preserve"> and parking</w:t>
      </w:r>
      <w:bookmarkEnd w:id="40"/>
    </w:p>
    <w:p>
      <w:pPr>
        <w:pStyle w:val="Subsection"/>
        <w:spacing w:before="120"/>
      </w:pPr>
      <w:r>
        <w:tab/>
      </w:r>
      <w:r>
        <w:tab/>
        <w:t xml:space="preserve">A person </w:t>
      </w:r>
      <w:r>
        <w:rPr>
          <w:snapToGrid w:val="0"/>
        </w:rPr>
        <w:t>must</w:t>
      </w:r>
      <w:r>
        <w:t xml:space="preserve"> not, without permission of an authorised person — </w:t>
      </w:r>
    </w:p>
    <w:p>
      <w:pPr>
        <w:pStyle w:val="Indenta"/>
        <w:spacing w:before="60"/>
      </w:pPr>
      <w:r>
        <w:tab/>
        <w:t>(a)</w:t>
      </w:r>
      <w:r>
        <w:tab/>
        <w:t>park a vehicle in or on any part of Authority property other than a part designated for the time being for the parking of vehicles; or</w:t>
      </w:r>
    </w:p>
    <w:p>
      <w:pPr>
        <w:pStyle w:val="Indenta"/>
        <w:spacing w:before="60"/>
      </w:pPr>
      <w:r>
        <w:tab/>
        <w:t>(b)</w:t>
      </w:r>
      <w:r>
        <w:tab/>
        <w:t>stand a vehicle in or on any part of Authority property other than a part designated for the time being for the parking or standing of vehicles.</w:t>
      </w:r>
    </w:p>
    <w:p>
      <w:pPr>
        <w:pStyle w:val="Penstart"/>
      </w:pPr>
      <w:r>
        <w:tab/>
        <w:t>Modified penalty: a fine of $50.</w:t>
      </w:r>
    </w:p>
    <w:p>
      <w:pPr>
        <w:pStyle w:val="Penstart"/>
      </w:pPr>
      <w:r>
        <w:tab/>
        <w:t>Penalty: a fine of $250.</w:t>
      </w:r>
    </w:p>
    <w:p>
      <w:pPr>
        <w:pStyle w:val="Footnotesection"/>
      </w:pPr>
      <w:r>
        <w:tab/>
        <w:t>[Regulation 31 amended in Gazette 5 Nov 2013 p. 4954-5.]</w:t>
      </w:r>
    </w:p>
    <w:p>
      <w:pPr>
        <w:pStyle w:val="Heading5"/>
      </w:pPr>
      <w:bookmarkStart w:id="41" w:name="_Toc470187434"/>
      <w:r>
        <w:rPr>
          <w:rStyle w:val="CharSectno"/>
        </w:rPr>
        <w:t>32</w:t>
      </w:r>
      <w:r>
        <w:t>.</w:t>
      </w:r>
      <w:r>
        <w:tab/>
        <w:t>Parking charges</w:t>
      </w:r>
      <w:bookmarkEnd w:id="41"/>
    </w:p>
    <w:p>
      <w:pPr>
        <w:pStyle w:val="Subsection"/>
      </w:pPr>
      <w:r>
        <w:tab/>
        <w:t>(1)</w:t>
      </w:r>
      <w:r>
        <w:tab/>
        <w:t xml:space="preserve">If an area of Authority property is designated for parking subject to the payment of a charge set out in Schedule 1 item 1, a person must not park a vehicle in such an area at any time when the charge applies unless the charge for the relevant time — </w:t>
      </w:r>
    </w:p>
    <w:p>
      <w:pPr>
        <w:pStyle w:val="Indenta"/>
      </w:pPr>
      <w:r>
        <w:tab/>
        <w:t>(a)</w:t>
      </w:r>
      <w:r>
        <w:tab/>
        <w:t>has been paid into a ticket vending machine and, during the relevant time, a parking ticket issued from the ticket vending machine is displayed in accordance with subregulation (2); or</w:t>
      </w:r>
    </w:p>
    <w:p>
      <w:pPr>
        <w:pStyle w:val="Indenta"/>
      </w:pPr>
      <w:r>
        <w:tab/>
        <w:t>(b)</w:t>
      </w:r>
      <w:r>
        <w:tab/>
        <w:t>has been paid to the Authority in another manner approved by the Authority under subregulation (3).</w:t>
      </w:r>
    </w:p>
    <w:p>
      <w:pPr>
        <w:pStyle w:val="Penstart"/>
      </w:pPr>
      <w:r>
        <w:tab/>
        <w:t>Modified penalty: a fine of $50.</w:t>
      </w:r>
    </w:p>
    <w:p>
      <w:pPr>
        <w:pStyle w:val="Penstart"/>
      </w:pPr>
      <w:r>
        <w:tab/>
        <w:t>Penalty: a fine of $250.</w:t>
      </w:r>
    </w:p>
    <w:p>
      <w:pPr>
        <w:pStyle w:val="Subsection"/>
      </w:pPr>
      <w:r>
        <w:tab/>
        <w:t>(2)</w:t>
      </w:r>
      <w:r>
        <w:tab/>
        <w:t>The ticket must be displayed so that the date and an expiry time for permitted parking are clearly visible from outside the vehicle.</w:t>
      </w:r>
    </w:p>
    <w:p>
      <w:pPr>
        <w:pStyle w:val="Subsection"/>
      </w:pPr>
      <w:r>
        <w:tab/>
        <w:t>(3)</w:t>
      </w:r>
      <w:r>
        <w:tab/>
        <w:t xml:space="preserve">The Authority may approve an alternative manner of payment for the purposes of this regulation by notice published in the </w:t>
      </w:r>
      <w:r>
        <w:rPr>
          <w:i/>
        </w:rPr>
        <w:t>Gazette</w:t>
      </w:r>
      <w:r>
        <w:t>.</w:t>
      </w:r>
    </w:p>
    <w:p>
      <w:pPr>
        <w:pStyle w:val="Footnotesection"/>
      </w:pPr>
      <w:r>
        <w:tab/>
        <w:t>[Regulation 32 inserted in Gazette 5 Nov 2013 p. 4952-3.]</w:t>
      </w:r>
    </w:p>
    <w:p>
      <w:pPr>
        <w:pStyle w:val="Heading5"/>
      </w:pPr>
      <w:bookmarkStart w:id="42" w:name="_Toc470187435"/>
      <w:r>
        <w:rPr>
          <w:rStyle w:val="CharSectno"/>
        </w:rPr>
        <w:t>33</w:t>
      </w:r>
      <w:r>
        <w:t>.</w:t>
      </w:r>
      <w:r>
        <w:tab/>
        <w:t>Removing vehicle from secured parking facility</w:t>
      </w:r>
      <w:bookmarkEnd w:id="42"/>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a particular case.</w:t>
      </w:r>
    </w:p>
    <w:p>
      <w:pPr>
        <w:pStyle w:val="Footnotesection"/>
      </w:pPr>
      <w:r>
        <w:tab/>
        <w:t>[Regulation 33 amended in Gazette 5 Nov 2013 p. 4953.]</w:t>
      </w:r>
    </w:p>
    <w:p>
      <w:pPr>
        <w:pStyle w:val="Heading2"/>
      </w:pPr>
      <w:bookmarkStart w:id="43" w:name="_Toc470187436"/>
      <w:r>
        <w:rPr>
          <w:rStyle w:val="CharPartNo"/>
        </w:rPr>
        <w:t>Part 4A</w:t>
      </w:r>
      <w:r>
        <w:rPr>
          <w:b w:val="0"/>
        </w:rPr>
        <w:t> </w:t>
      </w:r>
      <w:r>
        <w:t>—</w:t>
      </w:r>
      <w:r>
        <w:rPr>
          <w:b w:val="0"/>
        </w:rPr>
        <w:t> </w:t>
      </w:r>
      <w:r>
        <w:rPr>
          <w:rStyle w:val="CharPartText"/>
        </w:rPr>
        <w:t>Bicycles on passenger trains</w:t>
      </w:r>
      <w:bookmarkEnd w:id="43"/>
    </w:p>
    <w:p>
      <w:pPr>
        <w:pStyle w:val="Footnoteheading"/>
      </w:pPr>
      <w:r>
        <w:tab/>
        <w:t>[Heading inserted in Gazette 11 Feb 2005 p. 697.]</w:t>
      </w:r>
    </w:p>
    <w:p>
      <w:pPr>
        <w:pStyle w:val="Heading5"/>
        <w:spacing w:before="260"/>
      </w:pPr>
      <w:bookmarkStart w:id="44" w:name="_Toc470187437"/>
      <w:r>
        <w:rPr>
          <w:rStyle w:val="CharSectno"/>
        </w:rPr>
        <w:t>33A</w:t>
      </w:r>
      <w:r>
        <w:t>.</w:t>
      </w:r>
      <w:r>
        <w:tab/>
        <w:t>Terms used in this Part</w:t>
      </w:r>
      <w:bookmarkEnd w:id="44"/>
    </w:p>
    <w:p>
      <w:pPr>
        <w:pStyle w:val="Subsection"/>
        <w:spacing w:before="200"/>
      </w:pPr>
      <w:r>
        <w:tab/>
      </w:r>
      <w:r>
        <w:tab/>
        <w:t xml:space="preserve">In this Part — </w:t>
      </w:r>
    </w:p>
    <w:p>
      <w:pPr>
        <w:pStyle w:val="Defstart"/>
        <w:spacing w:before="100"/>
      </w:pPr>
      <w:r>
        <w:rPr>
          <w:b/>
        </w:rPr>
        <w:tab/>
      </w:r>
      <w:r>
        <w:rPr>
          <w:rStyle w:val="CharDefText"/>
        </w:rPr>
        <w:t>counter flow direction</w:t>
      </w:r>
      <w:r>
        <w:t xml:space="preserve"> means — </w:t>
      </w:r>
    </w:p>
    <w:p>
      <w:pPr>
        <w:pStyle w:val="Defpara"/>
        <w:spacing w:before="100"/>
      </w:pPr>
      <w:r>
        <w:tab/>
        <w:t>(a)</w:t>
      </w:r>
      <w:r>
        <w:tab/>
        <w:t>away from the Perth CBD in the morning; or</w:t>
      </w:r>
    </w:p>
    <w:p>
      <w:pPr>
        <w:pStyle w:val="Defpara"/>
        <w:spacing w:before="100"/>
      </w:pPr>
      <w:r>
        <w:tab/>
        <w:t>(b)</w:t>
      </w:r>
      <w:r>
        <w:tab/>
        <w:t>towards the Perth CBD in the afternoon or evening;</w:t>
      </w:r>
    </w:p>
    <w:p>
      <w:pPr>
        <w:pStyle w:val="Defstart"/>
        <w:spacing w:before="100"/>
        <w:rPr>
          <w:bCs/>
        </w:rPr>
      </w:pPr>
      <w:r>
        <w:rPr>
          <w:b/>
        </w:rPr>
        <w:tab/>
      </w:r>
      <w:r>
        <w:rPr>
          <w:rStyle w:val="CharDefText"/>
        </w:rPr>
        <w:t>peak flow direction</w:t>
      </w:r>
      <w:r>
        <w:rPr>
          <w:bCs/>
        </w:rPr>
        <w:t xml:space="preserve"> means — </w:t>
      </w:r>
    </w:p>
    <w:p>
      <w:pPr>
        <w:pStyle w:val="Defpara"/>
        <w:spacing w:before="100"/>
      </w:pPr>
      <w:r>
        <w:tab/>
        <w:t>(a)</w:t>
      </w:r>
      <w:r>
        <w:tab/>
        <w:t>towards the Perth CBD in the morning; or</w:t>
      </w:r>
    </w:p>
    <w:p>
      <w:pPr>
        <w:pStyle w:val="Defpara"/>
        <w:spacing w:before="100"/>
      </w:pPr>
      <w:r>
        <w:tab/>
        <w:t>(b)</w:t>
      </w:r>
      <w:r>
        <w:tab/>
        <w:t>away from the Perth CBD in the afternoon or evening;</w:t>
      </w:r>
    </w:p>
    <w:p>
      <w:pPr>
        <w:pStyle w:val="Defstart"/>
        <w:spacing w:before="100"/>
      </w:pPr>
      <w:r>
        <w:rPr>
          <w:b/>
        </w:rPr>
        <w:tab/>
      </w:r>
      <w:r>
        <w:rPr>
          <w:rStyle w:val="CharDefText"/>
        </w:rPr>
        <w:t>peak time</w:t>
      </w:r>
      <w:r>
        <w:t xml:space="preserve"> means 7.00 a.m. to 9.00 a.m., and 4.30 p.m. to 6.30 p.m.;</w:t>
      </w:r>
    </w:p>
    <w:p>
      <w:pPr>
        <w:pStyle w:val="Defstart"/>
        <w:spacing w:before="100"/>
      </w:pPr>
      <w:r>
        <w:rPr>
          <w:b/>
        </w:rPr>
        <w:tab/>
      </w:r>
      <w:r>
        <w:rPr>
          <w:rStyle w:val="CharDefText"/>
        </w:rPr>
        <w:t>working day</w:t>
      </w:r>
      <w:r>
        <w:t xml:space="preserve"> means a weekday that is not a public holiday for the Perth metropolitan area.</w:t>
      </w:r>
    </w:p>
    <w:p>
      <w:pPr>
        <w:pStyle w:val="Footnotesection"/>
      </w:pPr>
      <w:r>
        <w:tab/>
        <w:t>[Regulation 33A inserted in Gazette 11 Feb 2005 p. 697.]</w:t>
      </w:r>
    </w:p>
    <w:p>
      <w:pPr>
        <w:pStyle w:val="Heading5"/>
        <w:spacing w:before="260"/>
      </w:pPr>
      <w:bookmarkStart w:id="45" w:name="_Toc470187438"/>
      <w:r>
        <w:rPr>
          <w:rStyle w:val="CharSectno"/>
        </w:rPr>
        <w:t>33B</w:t>
      </w:r>
      <w:r>
        <w:t>.</w:t>
      </w:r>
      <w:r>
        <w:tab/>
        <w:t>Bikes on trains generally</w:t>
      </w:r>
      <w:bookmarkEnd w:id="45"/>
    </w:p>
    <w:p>
      <w:pPr>
        <w:pStyle w:val="Subsection"/>
        <w:spacing w:before="200"/>
      </w:pPr>
      <w:r>
        <w:tab/>
        <w:t>(1)</w:t>
      </w:r>
      <w:r>
        <w:tab/>
        <w:t>Subject to regulation 33D, a person may travel with a bicycle on a passenger train on a day that is not a working day, at any time.</w:t>
      </w:r>
    </w:p>
    <w:p>
      <w:pPr>
        <w:pStyle w:val="Subsection"/>
        <w:spacing w:before="200"/>
      </w:pPr>
      <w:r>
        <w:tab/>
        <w:t>(2)</w:t>
      </w:r>
      <w:r>
        <w:tab/>
        <w:t>Subject to regulation 33D, a person may travel with a bicycle on a passenger train on a working day, at any time that is not peak time.</w:t>
      </w:r>
    </w:p>
    <w:p>
      <w:pPr>
        <w:pStyle w:val="Footnotesection"/>
      </w:pPr>
      <w:r>
        <w:tab/>
        <w:t>[Regulation 33B inserted in Gazette 11 Feb 2005 p. 697.]</w:t>
      </w:r>
    </w:p>
    <w:p>
      <w:pPr>
        <w:pStyle w:val="Heading5"/>
        <w:spacing w:before="260"/>
      </w:pPr>
      <w:bookmarkStart w:id="46" w:name="_Toc470187439"/>
      <w:r>
        <w:rPr>
          <w:rStyle w:val="CharSectno"/>
        </w:rPr>
        <w:t>33C</w:t>
      </w:r>
      <w:r>
        <w:t>.</w:t>
      </w:r>
      <w:r>
        <w:tab/>
        <w:t>Bikes on trains in peak times</w:t>
      </w:r>
      <w:bookmarkEnd w:id="46"/>
    </w:p>
    <w:p>
      <w:pPr>
        <w:pStyle w:val="Subsection"/>
        <w:spacing w:before="200"/>
      </w:pPr>
      <w:r>
        <w:tab/>
        <w:t>(1)</w:t>
      </w:r>
      <w:r>
        <w:tab/>
        <w:t>Subject to regulation 33D, a person may travel with a bicycle on a passenger train, in a counter flow direction during a peak time on a working day but, in doing so, must not get any closer to the Perth CBD than the Canning Bridge, McIver, City West or Leederville station.</w:t>
      </w:r>
    </w:p>
    <w:p>
      <w:pPr>
        <w:pStyle w:val="Penstart"/>
      </w:pPr>
      <w:r>
        <w:tab/>
        <w:t>Modified penalty: a fine of $100.</w:t>
      </w:r>
    </w:p>
    <w:p>
      <w:pPr>
        <w:pStyle w:val="Penstart"/>
      </w:pPr>
      <w:r>
        <w:tab/>
        <w:t>Penalty: a fine of $2 000.</w:t>
      </w:r>
    </w:p>
    <w:p>
      <w:pPr>
        <w:pStyle w:val="Subsection"/>
        <w:spacing w:before="120"/>
      </w:pPr>
      <w:r>
        <w:tab/>
        <w:t>(2)</w:t>
      </w:r>
      <w:r>
        <w:tab/>
        <w:t>A person must not travel with a bicycle on a passenger train in a peak flow direction, during a peak time on a working day.</w:t>
      </w:r>
    </w:p>
    <w:p>
      <w:pPr>
        <w:pStyle w:val="Penstart"/>
      </w:pPr>
      <w:r>
        <w:tab/>
        <w:t>Modified penalty: a fine of $100.</w:t>
      </w:r>
    </w:p>
    <w:p>
      <w:pPr>
        <w:pStyle w:val="Penstart"/>
      </w:pPr>
      <w:r>
        <w:tab/>
        <w:t>Penalty: a fine of $2 000.</w:t>
      </w:r>
    </w:p>
    <w:p>
      <w:pPr>
        <w:pStyle w:val="Subsection"/>
        <w:spacing w:before="120"/>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spacing w:before="120"/>
      </w:pPr>
      <w:r>
        <w:tab/>
        <w:t>(4)</w:t>
      </w:r>
      <w:r>
        <w:tab/>
        <w:t>A security officer, an authorised person, or a member of the Police Force may direct that a person who is in breach of subregulation (1) or (2) is to disembark.</w:t>
      </w:r>
    </w:p>
    <w:p>
      <w:pPr>
        <w:pStyle w:val="Footnotesection"/>
      </w:pPr>
      <w:r>
        <w:tab/>
        <w:t>[Regulation 33C inserted in Gazette 11 Feb 2005 p. 697</w:t>
      </w:r>
      <w:r>
        <w:noBreakHyphen/>
        <w:t>8; amended in Gazette 24 Jul 2009 p. 2956; 5 Nov 2013 p. 4954</w:t>
      </w:r>
      <w:r>
        <w:noBreakHyphen/>
        <w:t>5.]</w:t>
      </w:r>
    </w:p>
    <w:p>
      <w:pPr>
        <w:pStyle w:val="Heading5"/>
      </w:pPr>
      <w:bookmarkStart w:id="47" w:name="_Toc470187440"/>
      <w:r>
        <w:rPr>
          <w:rStyle w:val="CharSectno"/>
        </w:rPr>
        <w:t>33D</w:t>
      </w:r>
      <w:r>
        <w:t>.</w:t>
      </w:r>
      <w:r>
        <w:tab/>
        <w:t>Special events</w:t>
      </w:r>
      <w:bookmarkEnd w:id="47"/>
    </w:p>
    <w:p>
      <w:pPr>
        <w:pStyle w:val="Subsection"/>
        <w:spacing w:before="120"/>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spacing w:before="120"/>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spacing w:before="120"/>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a fine of $100.</w:t>
      </w:r>
    </w:p>
    <w:p>
      <w:pPr>
        <w:pStyle w:val="Penstart"/>
      </w:pPr>
      <w:r>
        <w:tab/>
        <w:t>Penalty: a fine of $2 000.</w:t>
      </w:r>
    </w:p>
    <w:p>
      <w:pPr>
        <w:pStyle w:val="Footnotesection"/>
      </w:pPr>
      <w:r>
        <w:tab/>
        <w:t>[Regulation 33D inserted in Gazette 11 Feb 2005 p. 698; amended in Gazette 24 Jul 2009 p. 2956; 5 Nov 2013 p. 4954</w:t>
      </w:r>
      <w:r>
        <w:noBreakHyphen/>
        <w:t>5.]</w:t>
      </w:r>
    </w:p>
    <w:p>
      <w:pPr>
        <w:pStyle w:val="Heading2"/>
      </w:pPr>
      <w:bookmarkStart w:id="48" w:name="_Toc470187441"/>
      <w:r>
        <w:rPr>
          <w:rStyle w:val="CharPartNo"/>
        </w:rPr>
        <w:t>Part 5</w:t>
      </w:r>
      <w:r>
        <w:rPr>
          <w:rStyle w:val="CharDivNo"/>
        </w:rPr>
        <w:t> </w:t>
      </w:r>
      <w:r>
        <w:t>—</w:t>
      </w:r>
      <w:r>
        <w:rPr>
          <w:rStyle w:val="CharDivText"/>
        </w:rPr>
        <w:t> </w:t>
      </w:r>
      <w:r>
        <w:rPr>
          <w:rStyle w:val="CharPartText"/>
        </w:rPr>
        <w:t>Miscellaneous</w:t>
      </w:r>
      <w:bookmarkEnd w:id="48"/>
    </w:p>
    <w:p>
      <w:pPr>
        <w:pStyle w:val="Heading5"/>
      </w:pPr>
      <w:bookmarkStart w:id="49" w:name="_Toc470187442"/>
      <w:r>
        <w:rPr>
          <w:rStyle w:val="CharSectno"/>
        </w:rPr>
        <w:t>34</w:t>
      </w:r>
      <w:r>
        <w:t>.</w:t>
      </w:r>
      <w:r>
        <w:tab/>
        <w:t>Secondary functions: section 12(3) of the Act</w:t>
      </w:r>
      <w:bookmarkEnd w:id="49"/>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50" w:name="_Toc470187443"/>
      <w:r>
        <w:rPr>
          <w:rStyle w:val="CharSectno"/>
        </w:rPr>
        <w:t>35</w:t>
      </w:r>
      <w:r>
        <w:t>.</w:t>
      </w:r>
      <w:r>
        <w:tab/>
        <w:t>Criteria for Minister’s approval not being required under section 15 of the Act</w:t>
      </w:r>
      <w:bookmarkEnd w:id="50"/>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51" w:name="_Toc470187444"/>
      <w:r>
        <w:rPr>
          <w:rStyle w:val="CharSectno"/>
        </w:rPr>
        <w:t>36</w:t>
      </w:r>
      <w:r>
        <w:t>.</w:t>
      </w:r>
      <w:r>
        <w:tab/>
        <w:t>Disposal of an estate in land other than Crown land without the Minister’s approval: section 16 of the Act</w:t>
      </w:r>
      <w:bookmarkEnd w:id="51"/>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52" w:name="_Toc470187445"/>
      <w:r>
        <w:rPr>
          <w:rStyle w:val="CharSectno"/>
        </w:rPr>
        <w:t>37</w:t>
      </w:r>
      <w:r>
        <w:t>.</w:t>
      </w:r>
      <w:r>
        <w:tab/>
        <w:t>Crossings by traction engines and large vehicles</w:t>
      </w:r>
      <w:bookmarkEnd w:id="52"/>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a fine of $400.</w:t>
      </w:r>
    </w:p>
    <w:p>
      <w:pPr>
        <w:pStyle w:val="Penstart"/>
      </w:pPr>
      <w:r>
        <w:tab/>
        <w:t>Penalty: a fine of $2 000.</w:t>
      </w:r>
    </w:p>
    <w:p>
      <w:pPr>
        <w:pStyle w:val="Subsection"/>
      </w:pPr>
      <w:r>
        <w:tab/>
        <w:t>(3)</w:t>
      </w:r>
      <w:r>
        <w:tab/>
        <w:t>A permit may be granted for the purposes of subregulation (2) subject to such conditions and restrictions as the Authority or authorised person considers necessary to prevent damage being done to the railway.</w:t>
      </w:r>
    </w:p>
    <w:p>
      <w:pPr>
        <w:pStyle w:val="Footnotesection"/>
      </w:pPr>
      <w:r>
        <w:tab/>
        <w:t>[Regulation 37 amended in Gazette 5 Nov 2013 p. 4954-5.]</w:t>
      </w:r>
    </w:p>
    <w:p>
      <w:pPr>
        <w:pStyle w:val="Heading5"/>
      </w:pPr>
      <w:bookmarkStart w:id="53" w:name="_Toc470187446"/>
      <w:r>
        <w:rPr>
          <w:rStyle w:val="CharSectno"/>
        </w:rPr>
        <w:t>38</w:t>
      </w:r>
      <w:r>
        <w:t>.</w:t>
      </w:r>
      <w:r>
        <w:tab/>
        <w:t>Sewage etc.</w:t>
      </w:r>
      <w:bookmarkEnd w:id="53"/>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a fine of $400.</w:t>
      </w:r>
    </w:p>
    <w:p>
      <w:pPr>
        <w:pStyle w:val="Penstart"/>
      </w:pPr>
      <w:r>
        <w:tab/>
        <w:t>Penalty: a fine of $2 000.</w:t>
      </w:r>
    </w:p>
    <w:p>
      <w:pPr>
        <w:pStyle w:val="Footnotesection"/>
      </w:pPr>
      <w:r>
        <w:tab/>
        <w:t>[Regulation 38 amended in Gazette 5 Nov 2013 p. 4954-5.]</w:t>
      </w:r>
    </w:p>
    <w:p>
      <w:pPr>
        <w:pStyle w:val="Heading5"/>
      </w:pPr>
      <w:bookmarkStart w:id="54" w:name="_Toc470187447"/>
      <w:r>
        <w:rPr>
          <w:rStyle w:val="CharSectno"/>
        </w:rPr>
        <w:t>39</w:t>
      </w:r>
      <w:r>
        <w:t>.</w:t>
      </w:r>
      <w:r>
        <w:tab/>
        <w:t>Animals</w:t>
      </w:r>
      <w:bookmarkEnd w:id="54"/>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a fine of $400.</w:t>
      </w:r>
    </w:p>
    <w:p>
      <w:pPr>
        <w:pStyle w:val="Penstart"/>
      </w:pPr>
      <w:r>
        <w:tab/>
        <w:t>Penalty: a fine of $2 000.</w:t>
      </w:r>
    </w:p>
    <w:p>
      <w:pPr>
        <w:pStyle w:val="Footnotesection"/>
      </w:pPr>
      <w:r>
        <w:tab/>
        <w:t>[Regulation 39 amended in Gazette 5 Nov 2013 p. 4954-5.]</w:t>
      </w:r>
    </w:p>
    <w:p>
      <w:pPr>
        <w:pStyle w:val="Heading5"/>
      </w:pPr>
      <w:bookmarkStart w:id="55" w:name="_Toc470187448"/>
      <w:r>
        <w:rPr>
          <w:rStyle w:val="CharSectno"/>
        </w:rPr>
        <w:t>40</w:t>
      </w:r>
      <w:r>
        <w:t>.</w:t>
      </w:r>
      <w:r>
        <w:tab/>
        <w:t>Obstructing an authorised person</w:t>
      </w:r>
      <w:bookmarkEnd w:id="55"/>
    </w:p>
    <w:p>
      <w:pPr>
        <w:pStyle w:val="Subsection"/>
      </w:pPr>
      <w:r>
        <w:tab/>
      </w:r>
      <w:r>
        <w:tab/>
        <w:t>A person who obstructs, hinders, impedes or attempts to obstruct, hinder, or impede an authorised person or a security officer in the course of his or her duties commits an offence.</w:t>
      </w:r>
    </w:p>
    <w:p>
      <w:pPr>
        <w:pStyle w:val="Penstart"/>
      </w:pPr>
      <w:r>
        <w:tab/>
        <w:t>Modified penalty: a fine of $200.</w:t>
      </w:r>
    </w:p>
    <w:p>
      <w:pPr>
        <w:pStyle w:val="Penstart"/>
      </w:pPr>
      <w:r>
        <w:tab/>
        <w:t>Penalty: a fine of $1 000.</w:t>
      </w:r>
    </w:p>
    <w:p>
      <w:pPr>
        <w:pStyle w:val="Footnotesection"/>
      </w:pPr>
      <w:r>
        <w:tab/>
        <w:t>[Regulation 40 amended in Gazette 5 Nov 2013 p. 4954-5.]</w:t>
      </w:r>
    </w:p>
    <w:p>
      <w:pPr>
        <w:pStyle w:val="Heading5"/>
      </w:pPr>
      <w:bookmarkStart w:id="56" w:name="_Toc470187449"/>
      <w:r>
        <w:rPr>
          <w:rStyle w:val="CharSectno"/>
        </w:rPr>
        <w:t>41</w:t>
      </w:r>
      <w:r>
        <w:t>.</w:t>
      </w:r>
      <w:r>
        <w:tab/>
        <w:t>Refusal of passage</w:t>
      </w:r>
      <w:bookmarkEnd w:id="56"/>
    </w:p>
    <w:p>
      <w:pPr>
        <w:pStyle w:val="Subsection"/>
      </w:pPr>
      <w:r>
        <w:tab/>
      </w:r>
      <w:r>
        <w:tab/>
        <w:t xml:space="preserve">A driver, master, or an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7; or</w:t>
      </w:r>
    </w:p>
    <w:p>
      <w:pPr>
        <w:pStyle w:val="Indenta"/>
        <w:rPr>
          <w:i/>
        </w:rPr>
      </w:pPr>
      <w:r>
        <w:tab/>
        <w:t>(b)</w:t>
      </w:r>
      <w:r>
        <w:tab/>
        <w:t>is engaging in conduct that constitutes an offence under regulation 8; or</w:t>
      </w:r>
    </w:p>
    <w:p>
      <w:pPr>
        <w:pStyle w:val="Indenta"/>
      </w:pPr>
      <w:r>
        <w:tab/>
        <w:t>(c)</w:t>
      </w:r>
      <w:r>
        <w:tab/>
        <w:t>is sitting in a seat other than the seat allocated to him or her by a driver or master, or by the Authority by means of a ticket; or</w:t>
      </w:r>
    </w:p>
    <w:p>
      <w:pPr>
        <w:pStyle w:val="Indenta"/>
        <w:rPr>
          <w:i/>
        </w:rPr>
      </w:pPr>
      <w:r>
        <w:tab/>
        <w:t>(d)</w:t>
      </w:r>
      <w:r>
        <w:tab/>
        <w:t>is engaging in conduct that constitutes an offence under regulation 23; or</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 or</w:t>
      </w:r>
    </w:p>
    <w:p>
      <w:pPr>
        <w:pStyle w:val="Indenta"/>
      </w:pPr>
      <w:r>
        <w:tab/>
        <w:t>(f)</w:t>
      </w:r>
      <w:r>
        <w:tab/>
        <w:t>except in an emergency, is entering or leaving the conveyance through a part of the conveyance other than a door intended for the use of passengers; or</w:t>
      </w:r>
    </w:p>
    <w:p>
      <w:pPr>
        <w:pStyle w:val="Indenta"/>
      </w:pPr>
      <w:r>
        <w:tab/>
        <w:t>(g)</w:t>
      </w:r>
      <w:r>
        <w:tab/>
        <w:t>poses a threat to the safety of the driver or master of or a passenger on the conveyance; or</w:t>
      </w:r>
    </w:p>
    <w:p>
      <w:pPr>
        <w:pStyle w:val="Indenta"/>
      </w:pPr>
      <w:r>
        <w:tab/>
        <w:t>(h)</w:t>
      </w:r>
      <w:r>
        <w:tab/>
        <w:t>is in such an unclean condition that he or she is likely to soil the conveyance; or</w:t>
      </w:r>
    </w:p>
    <w:p>
      <w:pPr>
        <w:pStyle w:val="Indenta"/>
      </w:pPr>
      <w:r>
        <w:tab/>
        <w:t>(i)</w:t>
      </w:r>
      <w:r>
        <w:tab/>
        <w:t>is abusive or disorderly; or</w:t>
      </w:r>
    </w:p>
    <w:p>
      <w:pPr>
        <w:pStyle w:val="Indenta"/>
      </w:pPr>
      <w:r>
        <w:tab/>
        <w:t>(j)</w:t>
      </w:r>
      <w:r>
        <w:tab/>
        <w:t>is under the influence of alcohol or drugs to such an extent that he or she is likely to soil the conveyance or to become abusive or disorderly; or</w:t>
      </w:r>
    </w:p>
    <w:p>
      <w:pPr>
        <w:pStyle w:val="Indenta"/>
      </w:pPr>
      <w:r>
        <w:tab/>
        <w:t>(k)</w:t>
      </w:r>
      <w:r>
        <w:tab/>
        <w:t xml:space="preserve">is in the company of an animal other than an assistance dog by which the person is entitled to be accompanied under the </w:t>
      </w:r>
      <w:r>
        <w:rPr>
          <w:i/>
        </w:rPr>
        <w:t>Dog Act 1976</w:t>
      </w:r>
      <w:r>
        <w:t xml:space="preserve"> section 8; or</w:t>
      </w:r>
    </w:p>
    <w:p>
      <w:pPr>
        <w:pStyle w:val="Indenta"/>
      </w:pPr>
      <w:r>
        <w:tab/>
        <w:t>(l)</w:t>
      </w:r>
      <w:r>
        <w:tab/>
        <w:t>is, without lawful excuse, in possession of a thing referred to in regulation 21; or</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w:t>
      </w:r>
    </w:p>
    <w:p>
      <w:pPr>
        <w:pStyle w:val="Footnotesection"/>
      </w:pPr>
      <w:r>
        <w:tab/>
        <w:t>[Regulation 41 amended in Gazette 13 Jun 2014 p. 1901.]</w:t>
      </w:r>
    </w:p>
    <w:p>
      <w:pPr>
        <w:pStyle w:val="Heading5"/>
      </w:pPr>
      <w:bookmarkStart w:id="57" w:name="_Toc470187450"/>
      <w:r>
        <w:rPr>
          <w:rStyle w:val="CharSectno"/>
        </w:rPr>
        <w:t>42</w:t>
      </w:r>
      <w:r>
        <w:t>.</w:t>
      </w:r>
      <w:r>
        <w:tab/>
        <w:t>Failure to comply with refusal of travel</w:t>
      </w:r>
      <w:bookmarkEnd w:id="57"/>
    </w:p>
    <w:p>
      <w:pPr>
        <w:pStyle w:val="Subsection"/>
      </w:pPr>
      <w:r>
        <w:tab/>
      </w:r>
      <w:r>
        <w:tab/>
        <w:t xml:space="preserve">If a person has been advised under regulation 41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a fine of $200.</w:t>
      </w:r>
    </w:p>
    <w:p>
      <w:pPr>
        <w:pStyle w:val="Penstart"/>
      </w:pPr>
      <w:r>
        <w:tab/>
        <w:t>Penalty: a fine of $2 000.</w:t>
      </w:r>
    </w:p>
    <w:p>
      <w:pPr>
        <w:pStyle w:val="Footnotesection"/>
      </w:pPr>
      <w:r>
        <w:tab/>
        <w:t>[Regulation 42 amended in Gazette 5 Nov 2013 p. 4954-5.]</w:t>
      </w:r>
    </w:p>
    <w:p>
      <w:pPr>
        <w:pStyle w:val="Heading5"/>
      </w:pPr>
      <w:bookmarkStart w:id="58" w:name="_Toc470187451"/>
      <w:r>
        <w:rPr>
          <w:rStyle w:val="CharSectno"/>
        </w:rPr>
        <w:t>43</w:t>
      </w:r>
      <w:r>
        <w:t>.</w:t>
      </w:r>
      <w:r>
        <w:tab/>
        <w:t>Ejecting people from Authority property: section 65 of the Act</w:t>
      </w:r>
      <w:bookmarkEnd w:id="58"/>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 or</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 or</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 or</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 or</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 or</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 or</w:t>
      </w:r>
    </w:p>
    <w:p>
      <w:pPr>
        <w:pStyle w:val="Indenta"/>
      </w:pPr>
      <w:r>
        <w:tab/>
        <w:t>(fa)</w:t>
      </w:r>
      <w:r>
        <w:tab/>
        <w:t>the person has been given a direction under regulation 33C(3), 33C(4), 33D(1) or 33D(2) and the person does not obey that direction; or</w:t>
      </w:r>
    </w:p>
    <w:p>
      <w:pPr>
        <w:pStyle w:val="Indenta"/>
      </w:pPr>
      <w:r>
        <w:tab/>
        <w:t>(g)</w:t>
      </w:r>
      <w:r>
        <w:tab/>
        <w:t>the person has been advised under regulation 41 that he or she must not travel on or remain on a conveyance; or</w:t>
      </w:r>
    </w:p>
    <w:p>
      <w:pPr>
        <w:pStyle w:val="Indenta"/>
      </w:pPr>
      <w:r>
        <w:tab/>
        <w:t>(ga)</w:t>
      </w:r>
      <w:r>
        <w:tab/>
        <w:t>the person is in or on Authority property, without reasonable excuse, in contravention of a prohibition order given to the person under  section 64A(5) of the Act; or</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p>
    <w:p>
      <w:pPr>
        <w:pStyle w:val="Footnotesection"/>
      </w:pPr>
      <w:r>
        <w:tab/>
        <w:t>[Regulation 43 amended in Gazette 11 Feb 2005 p. 699; 29 Feb 2008 p. 699; 27 Mar 2009 p. 932.]</w:t>
      </w:r>
    </w:p>
    <w:p>
      <w:pPr>
        <w:pStyle w:val="Ednotesection"/>
      </w:pPr>
      <w:r>
        <w:t>[</w:t>
      </w:r>
      <w:r>
        <w:rPr>
          <w:b/>
          <w:bCs/>
        </w:rPr>
        <w:t>43A, 43B.</w:t>
      </w:r>
      <w:r>
        <w:rPr>
          <w:b/>
          <w:bCs/>
        </w:rPr>
        <w:tab/>
      </w:r>
      <w:r>
        <w:t>Deleted in Gazette 27 Mar 2009 p. 932.]</w:t>
      </w:r>
    </w:p>
    <w:p>
      <w:pPr>
        <w:pStyle w:val="Heading5"/>
      </w:pPr>
      <w:bookmarkStart w:id="59" w:name="_Toc470187452"/>
      <w:r>
        <w:rPr>
          <w:rStyle w:val="CharSectno"/>
        </w:rPr>
        <w:t>44</w:t>
      </w:r>
      <w:r>
        <w:t>.</w:t>
      </w:r>
      <w:r>
        <w:tab/>
        <w:t>Recording information printed on a ticket or retention of ticket</w:t>
      </w:r>
      <w:bookmarkEnd w:id="59"/>
    </w:p>
    <w:p>
      <w:pPr>
        <w:pStyle w:val="Subsection"/>
      </w:pPr>
      <w:r>
        <w:tab/>
        <w:t>(1)</w:t>
      </w:r>
      <w:r>
        <w:tab/>
        <w:t>If a person produces a ticket to an authorised person under regulation 6, the authorised person may photograph or copy the ticket, or take notes of any information on the ticket.</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Subsection"/>
      </w:pPr>
      <w:r>
        <w:tab/>
        <w:t>(3)</w:t>
      </w:r>
      <w:r>
        <w:tab/>
        <w:t xml:space="preserve">If — </w:t>
      </w:r>
    </w:p>
    <w:p>
      <w:pPr>
        <w:pStyle w:val="Indenta"/>
      </w:pPr>
      <w:r>
        <w:tab/>
        <w:t>(a)</w:t>
      </w:r>
      <w:r>
        <w:tab/>
        <w:t>the ticket produced to an authorised person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r>
      <w:r>
        <w:tab/>
        <w:t>the authorised person may retain the ticket.</w:t>
      </w:r>
    </w:p>
    <w:p>
      <w:pPr>
        <w:pStyle w:val="Subsection"/>
      </w:pPr>
      <w:r>
        <w:tab/>
        <w:t>(4)</w:t>
      </w:r>
      <w:r>
        <w:tab/>
        <w:t>If the ticket produced to an authorised person is not valid under regulation 5(f) because it is not being used in accordance with a condition that it be used only by the person to whom it was issued, the authorised person may retain the ticket and return it to the person to whom it was issued.</w:t>
      </w:r>
    </w:p>
    <w:p>
      <w:pPr>
        <w:pStyle w:val="Footnotesection"/>
      </w:pPr>
      <w:r>
        <w:tab/>
        <w:t>[Regulation 44 amended in Gazette 9 Jan 2007 p. 27-8.]</w:t>
      </w:r>
    </w:p>
    <w:p>
      <w:pPr>
        <w:pStyle w:val="Heading5"/>
      </w:pPr>
      <w:bookmarkStart w:id="60" w:name="_Toc470187453"/>
      <w:r>
        <w:rPr>
          <w:rStyle w:val="CharSectno"/>
        </w:rPr>
        <w:t>45</w:t>
      </w:r>
      <w:r>
        <w:t>.</w:t>
      </w:r>
      <w:r>
        <w:tab/>
        <w:t>Infringement notice</w:t>
      </w:r>
      <w:bookmarkEnd w:id="60"/>
    </w:p>
    <w:p>
      <w:pPr>
        <w:pStyle w:val="Subsection"/>
      </w:pPr>
      <w:r>
        <w:tab/>
      </w:r>
      <w:r>
        <w:tab/>
        <w:t>Schedule 2 Form 1 is prescribed, under section 45(1) of the Act, as the form of infringement notice.</w:t>
      </w:r>
    </w:p>
    <w:p>
      <w:pPr>
        <w:pStyle w:val="Heading5"/>
      </w:pPr>
      <w:bookmarkStart w:id="61" w:name="_Toc470187454"/>
      <w:r>
        <w:rPr>
          <w:rStyle w:val="CharSectno"/>
        </w:rPr>
        <w:t>46</w:t>
      </w:r>
      <w:r>
        <w:t>.</w:t>
      </w:r>
      <w:r>
        <w:tab/>
        <w:t>Withdrawal of infringement notice</w:t>
      </w:r>
      <w:bookmarkEnd w:id="61"/>
    </w:p>
    <w:p>
      <w:pPr>
        <w:pStyle w:val="Subsection"/>
      </w:pPr>
      <w:r>
        <w:tab/>
      </w:r>
      <w:r>
        <w:tab/>
        <w:t>Schedule 2 Form 2 is prescribed, under section 47(1) of the Act, as the form of notice of withdrawal of infringement notice.</w:t>
      </w:r>
    </w:p>
    <w:p>
      <w:pPr>
        <w:pStyle w:val="Ednotesection"/>
      </w:pPr>
      <w:r>
        <w:t>[</w:t>
      </w:r>
      <w:r>
        <w:rPr>
          <w:b/>
          <w:bCs/>
        </w:rPr>
        <w:t>47.</w:t>
      </w:r>
      <w:r>
        <w:tab/>
        <w:t>Omitted under the Reprints Act 1984 s. 7(4)(f).]</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2" w:name="_Toc470187455"/>
      <w:r>
        <w:rPr>
          <w:rStyle w:val="CharSchNo"/>
        </w:rPr>
        <w:t>Schedule 1</w:t>
      </w:r>
      <w:r>
        <w:t> — </w:t>
      </w:r>
      <w:r>
        <w:rPr>
          <w:rStyle w:val="CharSchText"/>
        </w:rPr>
        <w:t>Charges</w:t>
      </w:r>
      <w:bookmarkEnd w:id="62"/>
    </w:p>
    <w:p>
      <w:pPr>
        <w:pStyle w:val="yShoulderClause"/>
      </w:pPr>
      <w:r>
        <w:t>[r. 32, 33]</w:t>
      </w:r>
    </w:p>
    <w:p>
      <w:pPr>
        <w:pStyle w:val="yNumberedItem"/>
      </w:pPr>
      <w:r>
        <w:t>1.</w:t>
      </w:r>
      <w:r>
        <w:tab/>
        <w:t>The charge to be paid under regulation 32 for parking a vehicle in a paid parking station on a weekday for any 24 hour period is $2.00 including GST.</w:t>
      </w:r>
    </w:p>
    <w:p>
      <w:pPr>
        <w:pStyle w:val="yNumberedItem"/>
      </w:pPr>
      <w:r>
        <w:t>2.</w:t>
      </w:r>
      <w:r>
        <w:tab/>
        <w:t>The charge to be paid under regulation 33(1) is $10.00 including GST.</w:t>
      </w:r>
    </w:p>
    <w:p>
      <w:pPr>
        <w:pStyle w:val="yFootnotesection"/>
      </w:pPr>
      <w:r>
        <w:tab/>
        <w:t>[Schedule 1 amended in Gazette 26 Jun 2007 p. 3059; 5 Nov 2013 p. 4953; 23 Dec 2016 p. 5912.]</w:t>
      </w:r>
    </w:p>
    <w:p>
      <w:pPr>
        <w:pStyle w:val="yScheduleHeading"/>
        <w:keepNext w:val="0"/>
      </w:pPr>
      <w:bookmarkStart w:id="63" w:name="_Toc470187456"/>
      <w:r>
        <w:rPr>
          <w:rStyle w:val="CharSchNo"/>
        </w:rPr>
        <w:t>Schedule 2</w:t>
      </w:r>
      <w:r>
        <w:t> — </w:t>
      </w:r>
      <w:r>
        <w:rPr>
          <w:rStyle w:val="CharSchText"/>
        </w:rPr>
        <w:t>Forms</w:t>
      </w:r>
      <w:bookmarkEnd w:id="63"/>
    </w:p>
    <w:p>
      <w:pPr>
        <w:pStyle w:val="yShoulderClause"/>
      </w:pPr>
      <w:r>
        <w:t>[r. 45,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80" w:type="dxa"/>
        <w:tblLayout w:type="fixed"/>
        <w:tblLook w:val="0000" w:firstRow="0" w:lastRow="0" w:firstColumn="0" w:lastColumn="0" w:noHBand="0" w:noVBand="0"/>
      </w:tblPr>
      <w:tblGrid>
        <w:gridCol w:w="595"/>
        <w:gridCol w:w="426"/>
        <w:gridCol w:w="1275"/>
        <w:gridCol w:w="3686"/>
        <w:gridCol w:w="1134"/>
      </w:tblGrid>
      <w:tr>
        <w:trPr>
          <w:cantSplit/>
        </w:trPr>
        <w:tc>
          <w:tcPr>
            <w:tcW w:w="7116" w:type="dxa"/>
            <w:gridSpan w:val="5"/>
          </w:tcPr>
          <w:p>
            <w:pPr>
              <w:pStyle w:val="yTable"/>
              <w:jc w:val="right"/>
            </w:pPr>
            <w:r>
              <w:t>Serial No.            </w:t>
            </w:r>
          </w:p>
        </w:tc>
      </w:tr>
      <w:tr>
        <w:trPr>
          <w:cantSplit/>
        </w:trPr>
        <w:tc>
          <w:tcPr>
            <w:tcW w:w="595"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95"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116"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1021"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60"/>
        <w:ind w:left="567" w:hanging="567"/>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709"/>
        </w:tabs>
        <w:spacing w:before="260"/>
        <w:ind w:left="567" w:hanging="567"/>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tabs>
          <w:tab w:val="clear" w:pos="595"/>
          <w:tab w:val="clear" w:pos="879"/>
          <w:tab w:val="left" w:pos="709"/>
        </w:tabs>
        <w:spacing w:before="260"/>
        <w:ind w:left="567" w:hanging="567"/>
      </w:pPr>
      <w:r>
        <w:t>5.</w:t>
      </w:r>
      <w:r>
        <w:tab/>
        <w:t>Please see the reverse side of this form for payment options.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you require an extension of time to pay the modified penalty or if you believe you have good reason to request this Authority to consider withdrawing this infringement notice, you must send your written reasons to the Director Security Services, Public Transport Authority, P.O. Box 383, Northbridge 6865.</w:t>
      </w:r>
    </w:p>
    <w:p>
      <w:pPr>
        <w:pStyle w:val="yMiscellaneousBody"/>
        <w:jc w:val="center"/>
      </w:pPr>
      <w:r>
        <w:rPr>
          <w:i/>
          <w:sz w:val="18"/>
        </w:rPr>
        <w:t>[Reverse side]</w:t>
      </w:r>
    </w:p>
    <w:p>
      <w:pPr>
        <w:pStyle w:val="yMiscellaneousBody"/>
        <w:rPr>
          <w:sz w:val="18"/>
          <w:szCs w:val="18"/>
        </w:rPr>
      </w:pPr>
      <w:r>
        <w:rPr>
          <w:sz w:val="18"/>
          <w:szCs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p>
    <w:p>
      <w:pPr>
        <w:pStyle w:val="yMiscellaneousBody"/>
        <w:rPr>
          <w:sz w:val="18"/>
          <w:szCs w:val="18"/>
        </w:rPr>
      </w:pPr>
      <w:r>
        <w:rPr>
          <w:sz w:val="18"/>
          <w:szCs w:val="18"/>
        </w:rPr>
        <w:t>Alternatively, the modified penalty may be paid personally by presenting this notice and the payment amount to the following offices:</w:t>
      </w:r>
      <w:r>
        <w:rPr>
          <w:sz w:val="18"/>
          <w:szCs w:val="18"/>
        </w:rPr>
        <w:br/>
      </w:r>
    </w:p>
    <w:tbl>
      <w:tblPr>
        <w:tblStyle w:val="TableGrid"/>
        <w:tblW w:w="0" w:type="auto"/>
        <w:tblInd w:w="108" w:type="dxa"/>
        <w:tblLook w:val="04A0" w:firstRow="1" w:lastRow="0" w:firstColumn="1" w:lastColumn="0" w:noHBand="0" w:noVBand="1"/>
      </w:tblPr>
      <w:tblGrid>
        <w:gridCol w:w="1985"/>
        <w:gridCol w:w="1701"/>
        <w:gridCol w:w="3260"/>
      </w:tblGrid>
      <w:tr>
        <w:trPr>
          <w:tblHeader/>
        </w:trPr>
        <w:tc>
          <w:tcPr>
            <w:tcW w:w="1985" w:type="dxa"/>
          </w:tcPr>
          <w:p>
            <w:pPr>
              <w:pStyle w:val="yTableNAm"/>
              <w:jc w:val="center"/>
            </w:pPr>
            <w:r>
              <w:rPr>
                <w:b/>
                <w:sz w:val="16"/>
                <w:szCs w:val="16"/>
              </w:rPr>
              <w:t>Info Centre / Booking Office</w:t>
            </w:r>
          </w:p>
        </w:tc>
        <w:tc>
          <w:tcPr>
            <w:tcW w:w="1701" w:type="dxa"/>
          </w:tcPr>
          <w:p>
            <w:pPr>
              <w:pStyle w:val="yTableNAm"/>
              <w:jc w:val="center"/>
            </w:pPr>
            <w:r>
              <w:rPr>
                <w:b/>
                <w:sz w:val="16"/>
                <w:szCs w:val="16"/>
              </w:rPr>
              <w:t>Location</w:t>
            </w:r>
          </w:p>
        </w:tc>
        <w:tc>
          <w:tcPr>
            <w:tcW w:w="3260" w:type="dxa"/>
          </w:tcPr>
          <w:p>
            <w:pPr>
              <w:pStyle w:val="yTableNAm"/>
              <w:jc w:val="center"/>
              <w:rPr>
                <w:sz w:val="16"/>
                <w:szCs w:val="16"/>
              </w:rPr>
            </w:pPr>
            <w:r>
              <w:rPr>
                <w:b/>
                <w:sz w:val="16"/>
                <w:szCs w:val="16"/>
              </w:rPr>
              <w:t>Opening hours</w:t>
            </w:r>
          </w:p>
        </w:tc>
      </w:tr>
      <w:tr>
        <w:tc>
          <w:tcPr>
            <w:tcW w:w="1985" w:type="dxa"/>
          </w:tcPr>
          <w:p>
            <w:pPr>
              <w:pStyle w:val="yTableNAm"/>
            </w:pPr>
            <w:r>
              <w:rPr>
                <w:sz w:val="16"/>
                <w:szCs w:val="16"/>
              </w:rPr>
              <w:t>Perth Station</w:t>
            </w:r>
          </w:p>
        </w:tc>
        <w:tc>
          <w:tcPr>
            <w:tcW w:w="1701" w:type="dxa"/>
          </w:tcPr>
          <w:p>
            <w:pPr>
              <w:pStyle w:val="yTableNAm"/>
            </w:pPr>
            <w:r>
              <w:rPr>
                <w:sz w:val="16"/>
                <w:szCs w:val="16"/>
              </w:rPr>
              <w:t>Wellington St, Perth</w:t>
            </w:r>
          </w:p>
        </w:tc>
        <w:tc>
          <w:tcPr>
            <w:tcW w:w="3260" w:type="dxa"/>
          </w:tcPr>
          <w:p>
            <w:pPr>
              <w:pStyle w:val="yTableNAm"/>
              <w:rPr>
                <w:sz w:val="16"/>
                <w:szCs w:val="16"/>
              </w:rPr>
            </w:pPr>
            <w:r>
              <w:rPr>
                <w:b/>
                <w:sz w:val="16"/>
                <w:szCs w:val="16"/>
              </w:rPr>
              <w:t>Monday — Thursday:</w:t>
            </w:r>
            <w:r>
              <w:rPr>
                <w:sz w:val="16"/>
                <w:szCs w:val="16"/>
              </w:rPr>
              <w:t xml:space="preserve"> 7.00 a.m. </w:t>
            </w:r>
            <w:r>
              <w:rPr>
                <w:sz w:val="16"/>
                <w:szCs w:val="16"/>
              </w:rPr>
              <w:noBreakHyphen/>
              <w:t xml:space="preserve"> 6.30 p.m.</w:t>
            </w:r>
          </w:p>
          <w:p>
            <w:pPr>
              <w:pStyle w:val="yTableNAm"/>
              <w:spacing w:before="0"/>
              <w:rPr>
                <w:sz w:val="16"/>
                <w:szCs w:val="16"/>
              </w:rPr>
            </w:pPr>
            <w:r>
              <w:rPr>
                <w:b/>
                <w:sz w:val="16"/>
                <w:szCs w:val="16"/>
              </w:rPr>
              <w:t>Friday:</w:t>
            </w:r>
            <w:r>
              <w:rPr>
                <w:sz w:val="16"/>
                <w:szCs w:val="16"/>
              </w:rPr>
              <w:t xml:space="preserve"> 7.00 a.m. </w:t>
            </w:r>
            <w:r>
              <w:rPr>
                <w:sz w:val="16"/>
                <w:szCs w:val="16"/>
              </w:rPr>
              <w:noBreakHyphen/>
              <w:t xml:space="preserve"> 6.30 p.m.</w:t>
            </w:r>
          </w:p>
          <w:p>
            <w:pPr>
              <w:pStyle w:val="yTableNAm"/>
              <w:spacing w:before="0"/>
              <w:rPr>
                <w:sz w:val="16"/>
                <w:szCs w:val="16"/>
              </w:rPr>
            </w:pPr>
            <w:r>
              <w:rPr>
                <w:b/>
                <w:sz w:val="16"/>
                <w:szCs w:val="16"/>
              </w:rPr>
              <w:t>Saturday: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Sunday:</w:t>
            </w:r>
            <w:r>
              <w:rPr>
                <w:sz w:val="16"/>
                <w:szCs w:val="16"/>
              </w:rPr>
              <w:t xml:space="preserve"> 8.30 a.m. </w:t>
            </w:r>
            <w:r>
              <w:rPr>
                <w:sz w:val="16"/>
                <w:szCs w:val="16"/>
              </w:rPr>
              <w:noBreakHyphen/>
              <w:t xml:space="preserve"> 6.00 p.m.</w:t>
            </w:r>
          </w:p>
          <w:p>
            <w:pPr>
              <w:pStyle w:val="yTableNAm"/>
              <w:spacing w:before="0"/>
              <w:rPr>
                <w:sz w:val="16"/>
                <w:szCs w:val="16"/>
              </w:rPr>
            </w:pPr>
            <w:r>
              <w:rPr>
                <w:b/>
                <w:sz w:val="16"/>
                <w:szCs w:val="16"/>
              </w:rPr>
              <w:t>Public Holidays:</w:t>
            </w:r>
            <w:r>
              <w:rPr>
                <w:sz w:val="16"/>
                <w:szCs w:val="16"/>
              </w:rPr>
              <w:t xml:space="preserve"> 8.30 a.m. </w:t>
            </w:r>
            <w:r>
              <w:rPr>
                <w:sz w:val="16"/>
                <w:szCs w:val="16"/>
              </w:rPr>
              <w:noBreakHyphen/>
              <w:t xml:space="preserve"> 6.00 p.m.</w:t>
            </w:r>
          </w:p>
        </w:tc>
      </w:tr>
      <w:tr>
        <w:tc>
          <w:tcPr>
            <w:tcW w:w="1985" w:type="dxa"/>
          </w:tcPr>
          <w:p>
            <w:pPr>
              <w:pStyle w:val="yTableNAm"/>
            </w:pPr>
            <w:r>
              <w:rPr>
                <w:sz w:val="16"/>
                <w:szCs w:val="16"/>
              </w:rPr>
              <w:t>Perth Underground Station</w:t>
            </w:r>
          </w:p>
        </w:tc>
        <w:tc>
          <w:tcPr>
            <w:tcW w:w="1701" w:type="dxa"/>
          </w:tcPr>
          <w:p>
            <w:pPr>
              <w:pStyle w:val="yTableNAm"/>
            </w:pPr>
            <w:r>
              <w:rPr>
                <w:sz w:val="16"/>
                <w:szCs w:val="16"/>
              </w:rPr>
              <w:t>Perth Underground Station, Murray St entrance, Perth</w:t>
            </w:r>
          </w:p>
        </w:tc>
        <w:tc>
          <w:tcPr>
            <w:tcW w:w="3260" w:type="dxa"/>
          </w:tcPr>
          <w:p>
            <w:pPr>
              <w:pStyle w:val="yTableNAm"/>
              <w:rPr>
                <w:sz w:val="16"/>
                <w:szCs w:val="16"/>
              </w:rPr>
            </w:pPr>
            <w:r>
              <w:rPr>
                <w:b/>
                <w:sz w:val="16"/>
                <w:szCs w:val="16"/>
              </w:rPr>
              <w:t>Monday — Thursday: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Friday: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Saturday:</w:t>
            </w:r>
            <w:r>
              <w:rPr>
                <w:sz w:val="16"/>
                <w:szCs w:val="16"/>
              </w:rPr>
              <w:t xml:space="preserve"> 9.00 a.m. </w:t>
            </w:r>
            <w:r>
              <w:rPr>
                <w:sz w:val="16"/>
                <w:szCs w:val="16"/>
              </w:rPr>
              <w:noBreakHyphen/>
              <w:t xml:space="preserve"> 5.00 p.m.</w:t>
            </w:r>
          </w:p>
          <w:p>
            <w:pPr>
              <w:pStyle w:val="yTableNAm"/>
              <w:spacing w:before="0"/>
              <w:rPr>
                <w:sz w:val="16"/>
                <w:szCs w:val="16"/>
              </w:rPr>
            </w:pPr>
            <w:r>
              <w:rPr>
                <w:b/>
                <w:sz w:val="16"/>
                <w:szCs w:val="16"/>
              </w:rPr>
              <w:t>Sunday:</w:t>
            </w:r>
            <w:r>
              <w:rPr>
                <w:sz w:val="16"/>
                <w:szCs w:val="16"/>
              </w:rPr>
              <w:t xml:space="preserve"> 11.00 a.m. </w:t>
            </w:r>
            <w:r>
              <w:rPr>
                <w:sz w:val="16"/>
                <w:szCs w:val="16"/>
              </w:rPr>
              <w:noBreakHyphen/>
              <w:t xml:space="preserve"> 3.00 p.m.</w:t>
            </w:r>
          </w:p>
          <w:p>
            <w:pPr>
              <w:pStyle w:val="yTableNAm"/>
              <w:spacing w:before="0"/>
              <w:rPr>
                <w:sz w:val="16"/>
                <w:szCs w:val="16"/>
              </w:rPr>
            </w:pPr>
            <w:r>
              <w:rPr>
                <w:b/>
                <w:sz w:val="16"/>
                <w:szCs w:val="16"/>
              </w:rPr>
              <w:t>Public Holidays:</w:t>
            </w:r>
            <w:r>
              <w:rPr>
                <w:sz w:val="16"/>
                <w:szCs w:val="16"/>
              </w:rPr>
              <w:t xml:space="preserve"> 11.00 a.m. </w:t>
            </w:r>
            <w:r>
              <w:rPr>
                <w:sz w:val="16"/>
                <w:szCs w:val="16"/>
              </w:rPr>
              <w:noBreakHyphen/>
              <w:t xml:space="preserve"> 3.00 p.m.</w:t>
            </w:r>
          </w:p>
          <w:p>
            <w:pPr>
              <w:pStyle w:val="yTableNAm"/>
              <w:spacing w:before="0"/>
              <w:rPr>
                <w:sz w:val="16"/>
                <w:szCs w:val="16"/>
              </w:rPr>
            </w:pPr>
            <w:r>
              <w:rPr>
                <w:sz w:val="16"/>
                <w:szCs w:val="16"/>
              </w:rPr>
              <w:t>(excluding Christmas Day and Boxing Day)</w:t>
            </w:r>
          </w:p>
        </w:tc>
      </w:tr>
      <w:tr>
        <w:tc>
          <w:tcPr>
            <w:tcW w:w="1985" w:type="dxa"/>
          </w:tcPr>
          <w:p>
            <w:pPr>
              <w:pStyle w:val="yTableNAm"/>
            </w:pPr>
            <w:r>
              <w:rPr>
                <w:sz w:val="16"/>
                <w:szCs w:val="16"/>
              </w:rPr>
              <w:t>Esplanade Busport</w:t>
            </w:r>
          </w:p>
        </w:tc>
        <w:tc>
          <w:tcPr>
            <w:tcW w:w="1701" w:type="dxa"/>
          </w:tcPr>
          <w:p>
            <w:pPr>
              <w:pStyle w:val="yTableNAm"/>
            </w:pPr>
            <w:r>
              <w:rPr>
                <w:sz w:val="16"/>
                <w:szCs w:val="16"/>
              </w:rPr>
              <w:t>Mounts Bay Rd, Perth</w:t>
            </w:r>
          </w:p>
        </w:tc>
        <w:tc>
          <w:tcPr>
            <w:tcW w:w="3260" w:type="dxa"/>
          </w:tcPr>
          <w:p>
            <w:pPr>
              <w:pStyle w:val="yTableNAm"/>
              <w:rPr>
                <w:sz w:val="16"/>
                <w:szCs w:val="16"/>
              </w:rPr>
            </w:pPr>
            <w:r>
              <w:rPr>
                <w:b/>
                <w:sz w:val="16"/>
                <w:szCs w:val="16"/>
              </w:rPr>
              <w:t>Monday — Thursday: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Friday: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Saturday:</w:t>
            </w:r>
            <w:r>
              <w:rPr>
                <w:sz w:val="16"/>
                <w:szCs w:val="16"/>
              </w:rPr>
              <w:t xml:space="preserve"> 10.00 a.m. </w:t>
            </w:r>
            <w:r>
              <w:rPr>
                <w:sz w:val="16"/>
                <w:szCs w:val="16"/>
              </w:rPr>
              <w:noBreakHyphen/>
              <w:t xml:space="preserve"> 2.00 p.m.</w:t>
            </w:r>
          </w:p>
          <w:p>
            <w:pPr>
              <w:pStyle w:val="yTableNAm"/>
              <w:spacing w:before="0"/>
              <w:rPr>
                <w:sz w:val="16"/>
                <w:szCs w:val="16"/>
              </w:rPr>
            </w:pPr>
            <w:r>
              <w:rPr>
                <w:b/>
                <w:sz w:val="16"/>
                <w:szCs w:val="16"/>
              </w:rPr>
              <w:t>Sunday:</w:t>
            </w:r>
            <w:r>
              <w:rPr>
                <w:sz w:val="16"/>
                <w:szCs w:val="16"/>
              </w:rPr>
              <w:t xml:space="preserve"> 12.00 p.m. </w:t>
            </w:r>
            <w:r>
              <w:rPr>
                <w:sz w:val="16"/>
                <w:szCs w:val="16"/>
              </w:rPr>
              <w:noBreakHyphen/>
              <w:t xml:space="preserve"> 4.00 p.m.</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Wellington Street Bus Station</w:t>
            </w:r>
          </w:p>
        </w:tc>
        <w:tc>
          <w:tcPr>
            <w:tcW w:w="1701" w:type="dxa"/>
          </w:tcPr>
          <w:p>
            <w:pPr>
              <w:pStyle w:val="yTableNAm"/>
            </w:pPr>
            <w:r>
              <w:rPr>
                <w:sz w:val="16"/>
                <w:szCs w:val="16"/>
              </w:rPr>
              <w:t>376 Wellington St, Perth</w:t>
            </w:r>
          </w:p>
        </w:tc>
        <w:tc>
          <w:tcPr>
            <w:tcW w:w="3260" w:type="dxa"/>
          </w:tcPr>
          <w:p>
            <w:pPr>
              <w:pStyle w:val="yTableNAm"/>
              <w:rPr>
                <w:sz w:val="16"/>
                <w:szCs w:val="16"/>
              </w:rPr>
            </w:pPr>
            <w:r>
              <w:rPr>
                <w:b/>
                <w:sz w:val="16"/>
                <w:szCs w:val="16"/>
              </w:rPr>
              <w:t>Monday — Thursday: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Friday: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Saturday:</w:t>
            </w:r>
            <w:r>
              <w:rPr>
                <w:sz w:val="16"/>
                <w:szCs w:val="16"/>
              </w:rPr>
              <w:t xml:space="preserve"> 8.00 a.m. </w:t>
            </w:r>
            <w:r>
              <w:rPr>
                <w:sz w:val="16"/>
                <w:szCs w:val="16"/>
              </w:rPr>
              <w:noBreakHyphen/>
              <w:t xml:space="preserve"> 1.00 p.m.</w:t>
            </w:r>
          </w:p>
          <w:p>
            <w:pPr>
              <w:pStyle w:val="yTableNAm"/>
              <w:spacing w:before="0"/>
              <w:rPr>
                <w:sz w:val="16"/>
                <w:szCs w:val="16"/>
              </w:rPr>
            </w:pPr>
            <w:r>
              <w:rPr>
                <w:b/>
                <w:sz w:val="16"/>
                <w:szCs w:val="16"/>
              </w:rPr>
              <w:t>Sunday:</w:t>
            </w:r>
            <w:r>
              <w:rPr>
                <w:sz w:val="16"/>
                <w:szCs w:val="16"/>
              </w:rPr>
              <w:t xml:space="preserve"> Closed</w:t>
            </w:r>
          </w:p>
          <w:p>
            <w:pPr>
              <w:pStyle w:val="yTableNAm"/>
              <w:spacing w:before="0"/>
              <w:rPr>
                <w:sz w:val="16"/>
                <w:szCs w:val="16"/>
              </w:rPr>
            </w:pPr>
            <w:r>
              <w:rPr>
                <w:b/>
                <w:sz w:val="16"/>
                <w:szCs w:val="16"/>
              </w:rPr>
              <w:t>Public Holiday:</w:t>
            </w:r>
            <w:r>
              <w:rPr>
                <w:sz w:val="16"/>
                <w:szCs w:val="16"/>
              </w:rPr>
              <w:t xml:space="preserve"> Closed</w:t>
            </w:r>
          </w:p>
        </w:tc>
      </w:tr>
      <w:tr>
        <w:tc>
          <w:tcPr>
            <w:tcW w:w="1985" w:type="dxa"/>
          </w:tcPr>
          <w:p>
            <w:pPr>
              <w:pStyle w:val="yTableNAm"/>
            </w:pPr>
            <w:r>
              <w:rPr>
                <w:sz w:val="16"/>
                <w:szCs w:val="16"/>
              </w:rPr>
              <w:t>Public Transport Centre</w:t>
            </w:r>
          </w:p>
        </w:tc>
        <w:tc>
          <w:tcPr>
            <w:tcW w:w="1701" w:type="dxa"/>
          </w:tcPr>
          <w:p>
            <w:pPr>
              <w:pStyle w:val="yTableNAm"/>
            </w:pPr>
            <w:r>
              <w:rPr>
                <w:sz w:val="16"/>
                <w:szCs w:val="16"/>
              </w:rPr>
              <w:t>West Parade, East Perth</w:t>
            </w:r>
          </w:p>
        </w:tc>
        <w:tc>
          <w:tcPr>
            <w:tcW w:w="3260" w:type="dxa"/>
          </w:tcPr>
          <w:p>
            <w:pPr>
              <w:pStyle w:val="yTableNAm"/>
              <w:rPr>
                <w:sz w:val="16"/>
                <w:szCs w:val="16"/>
              </w:rPr>
            </w:pPr>
            <w:r>
              <w:rPr>
                <w:b/>
                <w:sz w:val="16"/>
                <w:szCs w:val="16"/>
              </w:rPr>
              <w:t>Monday — Thursday:</w:t>
            </w:r>
            <w:r>
              <w:rPr>
                <w:sz w:val="16"/>
                <w:szCs w:val="16"/>
              </w:rPr>
              <w:t xml:space="preserve"> 6.30 a.m. </w:t>
            </w:r>
            <w:r>
              <w:rPr>
                <w:sz w:val="16"/>
                <w:szCs w:val="16"/>
              </w:rPr>
              <w:noBreakHyphen/>
              <w:t xml:space="preserve"> 5.00 p.m.</w:t>
            </w:r>
          </w:p>
          <w:p>
            <w:pPr>
              <w:pStyle w:val="yTableNAm"/>
              <w:spacing w:before="0"/>
              <w:rPr>
                <w:sz w:val="16"/>
                <w:szCs w:val="16"/>
              </w:rPr>
            </w:pPr>
            <w:r>
              <w:rPr>
                <w:b/>
                <w:sz w:val="16"/>
                <w:szCs w:val="16"/>
              </w:rPr>
              <w:t>Friday:</w:t>
            </w:r>
            <w:r>
              <w:rPr>
                <w:sz w:val="16"/>
                <w:szCs w:val="16"/>
              </w:rPr>
              <w:t xml:space="preserve"> 6.30 a.m. </w:t>
            </w:r>
            <w:r>
              <w:rPr>
                <w:sz w:val="16"/>
                <w:szCs w:val="16"/>
              </w:rPr>
              <w:noBreakHyphen/>
              <w:t xml:space="preserve"> 6.00 p.m.</w:t>
            </w:r>
          </w:p>
          <w:p>
            <w:pPr>
              <w:pStyle w:val="yTableNAm"/>
              <w:spacing w:before="0"/>
              <w:rPr>
                <w:sz w:val="16"/>
                <w:szCs w:val="16"/>
              </w:rPr>
            </w:pPr>
            <w:r>
              <w:rPr>
                <w:b/>
                <w:sz w:val="16"/>
                <w:szCs w:val="16"/>
              </w:rPr>
              <w:t>Saturday:</w:t>
            </w:r>
            <w:r>
              <w:rPr>
                <w:sz w:val="16"/>
                <w:szCs w:val="16"/>
              </w:rPr>
              <w:t xml:space="preserve"> 6.30 a.m. </w:t>
            </w:r>
            <w:r>
              <w:rPr>
                <w:sz w:val="16"/>
                <w:szCs w:val="16"/>
              </w:rPr>
              <w:noBreakHyphen/>
              <w:t xml:space="preserve"> 1.00 p.m.</w:t>
            </w:r>
          </w:p>
          <w:p>
            <w:pPr>
              <w:pStyle w:val="yTableNAm"/>
              <w:spacing w:before="0"/>
              <w:rPr>
                <w:sz w:val="16"/>
                <w:szCs w:val="16"/>
              </w:rPr>
            </w:pPr>
            <w:r>
              <w:rPr>
                <w:b/>
                <w:sz w:val="16"/>
                <w:szCs w:val="16"/>
              </w:rPr>
              <w:t>Sunday:</w:t>
            </w:r>
            <w:r>
              <w:rPr>
                <w:sz w:val="16"/>
                <w:szCs w:val="16"/>
              </w:rPr>
              <w:t xml:space="preserve"> 7.30 a.m. </w:t>
            </w:r>
            <w:r>
              <w:rPr>
                <w:sz w:val="16"/>
                <w:szCs w:val="16"/>
              </w:rPr>
              <w:noBreakHyphen/>
              <w:t xml:space="preserve"> 3.30 p.m.</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Armadale Booking Office</w:t>
            </w:r>
          </w:p>
        </w:tc>
        <w:tc>
          <w:tcPr>
            <w:tcW w:w="1701" w:type="dxa"/>
          </w:tcPr>
          <w:p>
            <w:pPr>
              <w:pStyle w:val="yTableNAm"/>
            </w:pPr>
            <w:r>
              <w:rPr>
                <w:sz w:val="16"/>
                <w:szCs w:val="16"/>
              </w:rPr>
              <w:t>Armadale Railway Station</w:t>
            </w:r>
          </w:p>
        </w:tc>
        <w:tc>
          <w:tcPr>
            <w:tcW w:w="3260" w:type="dxa"/>
          </w:tcPr>
          <w:p>
            <w:pPr>
              <w:pStyle w:val="yTableNAm"/>
              <w:rPr>
                <w:sz w:val="16"/>
                <w:szCs w:val="16"/>
              </w:rPr>
            </w:pPr>
            <w:r>
              <w:rPr>
                <w:b/>
                <w:sz w:val="16"/>
                <w:szCs w:val="16"/>
              </w:rPr>
              <w:t>Monday — Friday:</w:t>
            </w:r>
            <w:r>
              <w:rPr>
                <w:sz w:val="16"/>
                <w:szCs w:val="16"/>
              </w:rPr>
              <w:t xml:space="preserve"> 8.30 a.m. </w:t>
            </w:r>
            <w:r>
              <w:rPr>
                <w:sz w:val="16"/>
                <w:szCs w:val="16"/>
              </w:rPr>
              <w:noBreakHyphen/>
              <w:t xml:space="preserve">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Midland Booking Office</w:t>
            </w:r>
          </w:p>
        </w:tc>
        <w:tc>
          <w:tcPr>
            <w:tcW w:w="1701" w:type="dxa"/>
          </w:tcPr>
          <w:p>
            <w:pPr>
              <w:pStyle w:val="yTableNAm"/>
            </w:pPr>
            <w:r>
              <w:rPr>
                <w:sz w:val="16"/>
                <w:szCs w:val="16"/>
              </w:rPr>
              <w:t>Midland Railway Station</w:t>
            </w:r>
          </w:p>
        </w:tc>
        <w:tc>
          <w:tcPr>
            <w:tcW w:w="3260" w:type="dxa"/>
          </w:tcPr>
          <w:p>
            <w:pPr>
              <w:pStyle w:val="yTableNAm"/>
              <w:rPr>
                <w:sz w:val="16"/>
                <w:szCs w:val="16"/>
              </w:rPr>
            </w:pPr>
            <w:r>
              <w:rPr>
                <w:b/>
                <w:sz w:val="16"/>
                <w:szCs w:val="16"/>
              </w:rPr>
              <w:t>Monday — Friday:</w:t>
            </w:r>
            <w:r>
              <w:rPr>
                <w:sz w:val="16"/>
                <w:szCs w:val="16"/>
              </w:rPr>
              <w:t xml:space="preserve"> 8.30 a.m. </w:t>
            </w:r>
            <w:r>
              <w:rPr>
                <w:sz w:val="16"/>
                <w:szCs w:val="16"/>
              </w:rPr>
              <w:noBreakHyphen/>
              <w:t xml:space="preserve">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keepNext/>
            </w:pPr>
            <w:r>
              <w:rPr>
                <w:sz w:val="16"/>
                <w:szCs w:val="16"/>
              </w:rPr>
              <w:t>Transit Admin Office</w:t>
            </w:r>
          </w:p>
        </w:tc>
        <w:tc>
          <w:tcPr>
            <w:tcW w:w="1701" w:type="dxa"/>
          </w:tcPr>
          <w:p>
            <w:pPr>
              <w:pStyle w:val="yTableNAm"/>
              <w:keepNext/>
            </w:pPr>
            <w:r>
              <w:rPr>
                <w:sz w:val="16"/>
                <w:szCs w:val="16"/>
              </w:rPr>
              <w:t>Perth Railway Station</w:t>
            </w:r>
          </w:p>
        </w:tc>
        <w:tc>
          <w:tcPr>
            <w:tcW w:w="3260" w:type="dxa"/>
          </w:tcPr>
          <w:p>
            <w:pPr>
              <w:pStyle w:val="yTableNAm"/>
              <w:keepNext/>
              <w:rPr>
                <w:sz w:val="16"/>
                <w:szCs w:val="16"/>
              </w:rPr>
            </w:pPr>
            <w:r>
              <w:rPr>
                <w:b/>
                <w:sz w:val="16"/>
                <w:szCs w:val="16"/>
              </w:rPr>
              <w:t>Monday — Friday:</w:t>
            </w:r>
            <w:r>
              <w:rPr>
                <w:sz w:val="16"/>
                <w:szCs w:val="16"/>
              </w:rPr>
              <w:t xml:space="preserve"> 8.30 a.m. </w:t>
            </w:r>
            <w:r>
              <w:rPr>
                <w:sz w:val="16"/>
                <w:szCs w:val="16"/>
              </w:rPr>
              <w:noBreakHyphen/>
              <w:t xml:space="preserve"> 4.30 p.m.</w:t>
            </w:r>
          </w:p>
          <w:p>
            <w:pPr>
              <w:pStyle w:val="yTableNAm"/>
              <w:keepNext/>
              <w:spacing w:before="0"/>
              <w:rPr>
                <w:sz w:val="16"/>
                <w:szCs w:val="16"/>
              </w:rPr>
            </w:pPr>
            <w:r>
              <w:rPr>
                <w:b/>
                <w:sz w:val="16"/>
                <w:szCs w:val="16"/>
              </w:rPr>
              <w:t>Saturday and Sunday:</w:t>
            </w:r>
            <w:r>
              <w:rPr>
                <w:sz w:val="16"/>
                <w:szCs w:val="16"/>
              </w:rPr>
              <w:t xml:space="preserve"> Closed</w:t>
            </w:r>
          </w:p>
          <w:p>
            <w:pPr>
              <w:pStyle w:val="yTableNAm"/>
              <w:keepNext/>
              <w:spacing w:before="0"/>
              <w:rPr>
                <w:sz w:val="16"/>
                <w:szCs w:val="16"/>
              </w:rPr>
            </w:pPr>
            <w:r>
              <w:rPr>
                <w:b/>
                <w:sz w:val="16"/>
                <w:szCs w:val="16"/>
              </w:rPr>
              <w:t>Public Holidays:</w:t>
            </w:r>
            <w:r>
              <w:rPr>
                <w:sz w:val="16"/>
                <w:szCs w:val="16"/>
              </w:rPr>
              <w:t xml:space="preserve"> Closed</w:t>
            </w:r>
          </w:p>
        </w:tc>
      </w:tr>
    </w:tbl>
    <w:p>
      <w:pPr>
        <w:pStyle w:val="yMiscellaneousBody"/>
        <w:rPr>
          <w:sz w:val="18"/>
          <w:szCs w:val="18"/>
        </w:rPr>
      </w:pPr>
      <w:r>
        <w:rPr>
          <w:sz w:val="18"/>
          <w:szCs w:val="18"/>
        </w:rPr>
        <w:t>Payment by phone: Please call 1300 276 468 (credit card payments only)</w:t>
      </w:r>
    </w:p>
    <w:p>
      <w:pPr>
        <w:pStyle w:val="yMiscellaneousBody"/>
        <w:rPr>
          <w:sz w:val="18"/>
          <w:szCs w:val="18"/>
        </w:rPr>
      </w:pPr>
      <w:r>
        <w:rPr>
          <w:sz w:val="18"/>
          <w:szCs w:val="18"/>
        </w:rPr>
        <w:t>Payment by internet: infringements.pta.wa.gov.au (credit card payments only)</w:t>
      </w:r>
    </w:p>
    <w:p>
      <w:pPr>
        <w:pStyle w:val="yMiscellaneousBody"/>
        <w:rPr>
          <w:sz w:val="18"/>
          <w:szCs w:val="18"/>
        </w:rPr>
      </w:pPr>
      <w:r>
        <w:rPr>
          <w:sz w:val="18"/>
          <w:szCs w:val="18"/>
        </w:rPr>
        <w:t>Biller ID: 1001089 Ref: Please refer to the infringement serial number printed at the top right hand corner on the reverse side of this form.</w:t>
      </w:r>
    </w:p>
    <w:p>
      <w:pPr>
        <w:pStyle w:val="yMiscellaneousBody"/>
        <w:rPr>
          <w:sz w:val="18"/>
          <w:szCs w:val="18"/>
        </w:rPr>
      </w:pPr>
      <w:r>
        <w:rPr>
          <w:b/>
          <w:sz w:val="18"/>
          <w:szCs w:val="18"/>
        </w:rPr>
        <w:t>Credit card only</w:t>
      </w:r>
      <w:r>
        <w:rPr>
          <w:sz w:val="18"/>
          <w:szCs w:val="18"/>
        </w:rPr>
        <w:t xml:space="preserve">.  Payments made online or over the phone must be made </w:t>
      </w:r>
      <w:r>
        <w:rPr>
          <w:b/>
          <w:sz w:val="18"/>
          <w:szCs w:val="18"/>
        </w:rPr>
        <w:t>before 9.00 p.m.</w:t>
      </w:r>
      <w:r>
        <w:rPr>
          <w:sz w:val="18"/>
          <w:szCs w:val="18"/>
        </w:rPr>
        <w:t xml:space="preserve"> Western Australian Standard Time </w:t>
      </w:r>
      <w:r>
        <w:rPr>
          <w:b/>
          <w:sz w:val="18"/>
          <w:szCs w:val="18"/>
        </w:rPr>
        <w:t>on the due date</w:t>
      </w:r>
      <w:r>
        <w:rPr>
          <w:sz w:val="18"/>
          <w:szCs w:val="18"/>
        </w:rPr>
        <w:t>.</w:t>
      </w:r>
    </w:p>
    <w:p>
      <w:pPr>
        <w:pStyle w:val="yFootnotesection"/>
      </w:pPr>
      <w:r>
        <w:tab/>
        <w:t>[Form 1 amended in Gazette 5 Nov 2013 p. 4953-4; 13 Jun 2014 p. 1902.]</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65" w:name="_Toc470187457"/>
      <w:r>
        <w:t>Notes</w:t>
      </w:r>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Transport Authority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66" w:name="_Toc470187458"/>
      <w:r>
        <w:t>Compilation table</w:t>
      </w:r>
      <w:bookmarkEnd w:id="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Public Transport Authority Regulations 2003</w:t>
            </w:r>
          </w:p>
        </w:tc>
        <w:tc>
          <w:tcPr>
            <w:tcW w:w="1276" w:type="dxa"/>
            <w:tcBorders>
              <w:top w:val="single" w:sz="8" w:space="0" w:color="auto"/>
            </w:tcBorders>
          </w:tcPr>
          <w:p>
            <w:pPr>
              <w:pStyle w:val="nTable"/>
              <w:spacing w:after="40"/>
            </w:pPr>
            <w:r>
              <w:t>27 Jun 2003 p. 2465-97</w:t>
            </w:r>
          </w:p>
        </w:tc>
        <w:tc>
          <w:tcPr>
            <w:tcW w:w="2693" w:type="dxa"/>
            <w:tcBorders>
              <w:top w:val="single" w:sz="8" w:space="0" w:color="auto"/>
            </w:tcBorders>
          </w:tcPr>
          <w:p>
            <w:pPr>
              <w:pStyle w:val="nTable"/>
              <w:spacing w:after="40"/>
            </w:pPr>
            <w:r>
              <w:t xml:space="preserve">1 Jul 2003 (see r. 2 and </w:t>
            </w:r>
            <w:r>
              <w:rPr>
                <w:i/>
              </w:rPr>
              <w:t xml:space="preserve">Gazette </w:t>
            </w:r>
            <w:r>
              <w:t>27 Jun 2003 p. 2384)</w:t>
            </w:r>
          </w:p>
        </w:tc>
      </w:tr>
      <w:tr>
        <w:tc>
          <w:tcPr>
            <w:tcW w:w="3119" w:type="dxa"/>
          </w:tcPr>
          <w:p>
            <w:pPr>
              <w:pStyle w:val="nTable"/>
              <w:spacing w:after="40"/>
              <w:rPr>
                <w:i/>
              </w:rPr>
            </w:pPr>
            <w:r>
              <w:rPr>
                <w:i/>
              </w:rPr>
              <w:t>Public Transport Authority Amendment Regulations 2003</w:t>
            </w:r>
          </w:p>
        </w:tc>
        <w:tc>
          <w:tcPr>
            <w:tcW w:w="1276" w:type="dxa"/>
          </w:tcPr>
          <w:p>
            <w:pPr>
              <w:pStyle w:val="nTable"/>
              <w:spacing w:after="40"/>
            </w:pPr>
            <w:r>
              <w:t>12 Dec 2003 p. 5040-1</w:t>
            </w:r>
          </w:p>
        </w:tc>
        <w:tc>
          <w:tcPr>
            <w:tcW w:w="2693" w:type="dxa"/>
          </w:tcPr>
          <w:p>
            <w:pPr>
              <w:pStyle w:val="nTable"/>
              <w:spacing w:after="40"/>
            </w:pPr>
            <w:r>
              <w:t>12 Dec 2003</w:t>
            </w:r>
          </w:p>
        </w:tc>
      </w:tr>
      <w:tr>
        <w:tc>
          <w:tcPr>
            <w:tcW w:w="3119" w:type="dxa"/>
          </w:tcPr>
          <w:p>
            <w:pPr>
              <w:pStyle w:val="nTable"/>
              <w:spacing w:after="40"/>
              <w:rPr>
                <w:i/>
              </w:rPr>
            </w:pPr>
            <w:r>
              <w:rPr>
                <w:i/>
              </w:rPr>
              <w:t>Public Transport Authority Amendment Regulations 2005</w:t>
            </w:r>
          </w:p>
        </w:tc>
        <w:tc>
          <w:tcPr>
            <w:tcW w:w="1276" w:type="dxa"/>
          </w:tcPr>
          <w:p>
            <w:pPr>
              <w:pStyle w:val="nTable"/>
              <w:spacing w:after="40"/>
            </w:pPr>
            <w:r>
              <w:t>11 Feb 2005 p. 696</w:t>
            </w:r>
            <w:r>
              <w:noBreakHyphen/>
              <w:t>9</w:t>
            </w:r>
          </w:p>
        </w:tc>
        <w:tc>
          <w:tcPr>
            <w:tcW w:w="2693" w:type="dxa"/>
          </w:tcPr>
          <w:p>
            <w:pPr>
              <w:pStyle w:val="nTable"/>
              <w:spacing w:after="40"/>
            </w:pPr>
            <w:r>
              <w:t>11 Feb 2005</w:t>
            </w:r>
          </w:p>
        </w:tc>
      </w:tr>
      <w:tr>
        <w:tc>
          <w:tcPr>
            <w:tcW w:w="3119" w:type="dxa"/>
          </w:tcPr>
          <w:p>
            <w:pPr>
              <w:pStyle w:val="nTable"/>
              <w:spacing w:after="40"/>
              <w:rPr>
                <w:i/>
              </w:rPr>
            </w:pPr>
            <w:r>
              <w:rPr>
                <w:i/>
              </w:rPr>
              <w:t>Public Transport Authority Amendment Regulations 2007</w:t>
            </w:r>
          </w:p>
        </w:tc>
        <w:tc>
          <w:tcPr>
            <w:tcW w:w="1276" w:type="dxa"/>
          </w:tcPr>
          <w:p>
            <w:pPr>
              <w:pStyle w:val="nTable"/>
              <w:spacing w:after="40"/>
            </w:pPr>
            <w:r>
              <w:t>9 Jan 2007 p. 27</w:t>
            </w:r>
            <w:r>
              <w:noBreakHyphen/>
              <w:t>8</w:t>
            </w:r>
          </w:p>
        </w:tc>
        <w:tc>
          <w:tcPr>
            <w:tcW w:w="2693" w:type="dxa"/>
          </w:tcPr>
          <w:p>
            <w:pPr>
              <w:pStyle w:val="nTable"/>
              <w:spacing w:after="40"/>
            </w:pPr>
            <w:r>
              <w:t>9 Jan 2007</w:t>
            </w:r>
          </w:p>
        </w:tc>
      </w:tr>
      <w:tr>
        <w:tc>
          <w:tcPr>
            <w:tcW w:w="3119" w:type="dxa"/>
          </w:tcPr>
          <w:p>
            <w:pPr>
              <w:pStyle w:val="nTable"/>
              <w:spacing w:after="40"/>
              <w:rPr>
                <w:i/>
              </w:rPr>
            </w:pPr>
            <w:r>
              <w:rPr>
                <w:i/>
              </w:rPr>
              <w:t>Public Transport Authority Amendment Regulations (No. 3) 2007</w:t>
            </w:r>
          </w:p>
        </w:tc>
        <w:tc>
          <w:tcPr>
            <w:tcW w:w="1276" w:type="dxa"/>
          </w:tcPr>
          <w:p>
            <w:pPr>
              <w:pStyle w:val="nTable"/>
              <w:spacing w:after="40"/>
            </w:pPr>
            <w:r>
              <w:t>26 Jun 2007 p. 3058-9</w:t>
            </w:r>
          </w:p>
        </w:tc>
        <w:tc>
          <w:tcPr>
            <w:tcW w:w="2693" w:type="dxa"/>
          </w:tcPr>
          <w:p>
            <w:pPr>
              <w:pStyle w:val="nTable"/>
              <w:spacing w:after="40"/>
            </w:pPr>
            <w:r>
              <w:t>r. 1 and 2: 26 Jun 2007 (see r. 2(a));</w:t>
            </w:r>
            <w:r>
              <w:br/>
              <w:t>Regulations other than r. 1 and 2: 1 Jul 2007 (see r. 2(b))</w:t>
            </w:r>
          </w:p>
        </w:tc>
      </w:tr>
      <w:tr>
        <w:tc>
          <w:tcPr>
            <w:tcW w:w="3119" w:type="dxa"/>
          </w:tcPr>
          <w:p>
            <w:pPr>
              <w:pStyle w:val="nTable"/>
              <w:spacing w:after="40"/>
              <w:rPr>
                <w:i/>
              </w:rPr>
            </w:pPr>
            <w:r>
              <w:rPr>
                <w:i/>
              </w:rPr>
              <w:t>Public Transport Authority Amendment Regulations 2008</w:t>
            </w:r>
          </w:p>
        </w:tc>
        <w:tc>
          <w:tcPr>
            <w:tcW w:w="1276" w:type="dxa"/>
          </w:tcPr>
          <w:p>
            <w:pPr>
              <w:pStyle w:val="nTable"/>
              <w:spacing w:after="40"/>
            </w:pPr>
            <w:r>
              <w:t>29 Feb 2008 p. 698</w:t>
            </w:r>
            <w:r>
              <w:noBreakHyphen/>
              <w:t>700</w:t>
            </w:r>
          </w:p>
        </w:tc>
        <w:tc>
          <w:tcPr>
            <w:tcW w:w="2693" w:type="dxa"/>
          </w:tcPr>
          <w:p>
            <w:pPr>
              <w:pStyle w:val="nTable"/>
              <w:spacing w:after="40"/>
            </w:pPr>
            <w:r>
              <w:rPr>
                <w:snapToGrid w:val="0"/>
              </w:rPr>
              <w:t>r. 1 and 2: 29 Feb 2008 (see r. 2(a));</w:t>
            </w:r>
            <w:r>
              <w:rPr>
                <w:snapToGrid w:val="0"/>
              </w:rPr>
              <w:br/>
              <w:t>Regulations other than r. 1 and 2: 1 Mar 2008 (see r. 2(b))</w:t>
            </w:r>
          </w:p>
        </w:tc>
      </w:tr>
      <w:tr>
        <w:trPr>
          <w:cantSplit/>
        </w:trPr>
        <w:tc>
          <w:tcPr>
            <w:tcW w:w="7088" w:type="dxa"/>
            <w:gridSpan w:val="3"/>
          </w:tcPr>
          <w:p>
            <w:pPr>
              <w:pStyle w:val="nTable"/>
              <w:spacing w:after="40"/>
              <w:rPr>
                <w:snapToGrid w:val="0"/>
              </w:rPr>
            </w:pPr>
            <w:r>
              <w:rPr>
                <w:b/>
                <w:bCs/>
                <w:snapToGrid w:val="0"/>
              </w:rPr>
              <w:t xml:space="preserve">Reprint 1: The </w:t>
            </w:r>
            <w:r>
              <w:rPr>
                <w:b/>
                <w:bCs/>
                <w:i/>
              </w:rPr>
              <w:t>Public Transport Authority Regulations 2003</w:t>
            </w:r>
            <w:r>
              <w:rPr>
                <w:b/>
                <w:bCs/>
                <w:snapToGrid w:val="0"/>
              </w:rPr>
              <w:t xml:space="preserve"> as at 4 Jul 2008</w:t>
            </w:r>
            <w:r>
              <w:rPr>
                <w:snapToGrid w:val="0"/>
              </w:rPr>
              <w:t xml:space="preserve"> (includes amendments listed above)</w:t>
            </w:r>
          </w:p>
        </w:tc>
      </w:tr>
      <w:tr>
        <w:tc>
          <w:tcPr>
            <w:tcW w:w="3119" w:type="dxa"/>
          </w:tcPr>
          <w:p>
            <w:pPr>
              <w:pStyle w:val="nTable"/>
              <w:spacing w:after="40"/>
              <w:rPr>
                <w:i/>
              </w:rPr>
            </w:pPr>
            <w:r>
              <w:rPr>
                <w:i/>
              </w:rPr>
              <w:t>Public Transport Authority Amendment Regulations 2009</w:t>
            </w:r>
          </w:p>
        </w:tc>
        <w:tc>
          <w:tcPr>
            <w:tcW w:w="1276" w:type="dxa"/>
          </w:tcPr>
          <w:p>
            <w:pPr>
              <w:pStyle w:val="nTable"/>
              <w:spacing w:after="40"/>
            </w:pPr>
            <w:r>
              <w:t>27 Mar 2009 p. 931</w:t>
            </w:r>
            <w:r>
              <w:noBreakHyphen/>
              <w:t>2</w:t>
            </w:r>
          </w:p>
        </w:tc>
        <w:tc>
          <w:tcPr>
            <w:tcW w:w="2693" w:type="dxa"/>
          </w:tcPr>
          <w:p>
            <w:pPr>
              <w:pStyle w:val="nTable"/>
              <w:spacing w:after="40"/>
            </w:pPr>
            <w:r>
              <w:rPr>
                <w:snapToGrid w:val="0"/>
              </w:rPr>
              <w:t>r. 1 and 2: 27 Mar 2009 (see r. 2(a));</w:t>
            </w:r>
            <w:r>
              <w:rPr>
                <w:snapToGrid w:val="0"/>
              </w:rPr>
              <w:br/>
              <w:t xml:space="preserve">Regulations other than r. 1 and 2: 28 Mar 2009 (see r. 2(b) and </w:t>
            </w:r>
            <w:r>
              <w:rPr>
                <w:i/>
                <w:iCs/>
                <w:snapToGrid w:val="0"/>
              </w:rPr>
              <w:t>Gazette</w:t>
            </w:r>
            <w:r>
              <w:rPr>
                <w:snapToGrid w:val="0"/>
              </w:rPr>
              <w:t xml:space="preserve"> 27 Mar 2009 p. 917)</w:t>
            </w:r>
          </w:p>
        </w:tc>
      </w:tr>
      <w:tr>
        <w:tc>
          <w:tcPr>
            <w:tcW w:w="3119" w:type="dxa"/>
          </w:tcPr>
          <w:p>
            <w:pPr>
              <w:pStyle w:val="nTable"/>
              <w:spacing w:after="40"/>
              <w:rPr>
                <w:i/>
              </w:rPr>
            </w:pPr>
            <w:r>
              <w:rPr>
                <w:i/>
              </w:rPr>
              <w:t>Public Transport Authority Amendment Regulations (No. 2) 2009</w:t>
            </w:r>
          </w:p>
        </w:tc>
        <w:tc>
          <w:tcPr>
            <w:tcW w:w="1276" w:type="dxa"/>
          </w:tcPr>
          <w:p>
            <w:pPr>
              <w:pStyle w:val="nTable"/>
              <w:spacing w:after="40"/>
            </w:pPr>
            <w:r>
              <w:t>24 Jul 2009 p. 2953-6</w:t>
            </w:r>
          </w:p>
        </w:tc>
        <w:tc>
          <w:tcPr>
            <w:tcW w:w="2693" w:type="dxa"/>
          </w:tcPr>
          <w:p>
            <w:pPr>
              <w:pStyle w:val="nTable"/>
              <w:spacing w:after="40"/>
              <w:rPr>
                <w:snapToGrid w:val="0"/>
              </w:rPr>
            </w:pPr>
            <w:r>
              <w:rPr>
                <w:snapToGrid w:val="0"/>
                <w:spacing w:val="-2"/>
              </w:rPr>
              <w:t xml:space="preserve">r. 1 and 2: </w:t>
            </w:r>
            <w:r>
              <w:rPr>
                <w:snapToGrid w:val="0"/>
              </w:rPr>
              <w:t>24 Jul 2009</w:t>
            </w:r>
            <w:r>
              <w:rPr>
                <w:snapToGrid w:val="0"/>
                <w:spacing w:val="-2"/>
              </w:rPr>
              <w:t xml:space="preserve"> (see r. 2(a));</w:t>
            </w:r>
            <w:r>
              <w:rPr>
                <w:snapToGrid w:val="0"/>
                <w:spacing w:val="-2"/>
              </w:rPr>
              <w:br/>
              <w:t xml:space="preserve">Regulations other than r. 1 and 2: </w:t>
            </w:r>
            <w:r>
              <w:rPr>
                <w:snapToGrid w:val="0"/>
              </w:rPr>
              <w:t>25 Jul 2009</w:t>
            </w:r>
            <w:r>
              <w:rPr>
                <w:snapToGrid w:val="0"/>
                <w:spacing w:val="-2"/>
              </w:rPr>
              <w:t xml:space="preserve"> (see r. 2(b))</w:t>
            </w:r>
          </w:p>
        </w:tc>
      </w:tr>
      <w:tr>
        <w:tc>
          <w:tcPr>
            <w:tcW w:w="3119" w:type="dxa"/>
          </w:tcPr>
          <w:p>
            <w:pPr>
              <w:pStyle w:val="nTable"/>
              <w:spacing w:after="40"/>
              <w:rPr>
                <w:i/>
              </w:rPr>
            </w:pPr>
            <w:r>
              <w:rPr>
                <w:i/>
              </w:rPr>
              <w:t>Public Transport Authority Amendment Regulations 2013</w:t>
            </w:r>
          </w:p>
        </w:tc>
        <w:tc>
          <w:tcPr>
            <w:tcW w:w="1276" w:type="dxa"/>
          </w:tcPr>
          <w:p>
            <w:pPr>
              <w:pStyle w:val="nTable"/>
              <w:spacing w:after="40"/>
            </w:pPr>
            <w:r>
              <w:t>5 Nov 2013 p. 4950-5</w:t>
            </w:r>
          </w:p>
        </w:tc>
        <w:tc>
          <w:tcPr>
            <w:tcW w:w="2693" w:type="dxa"/>
          </w:tcPr>
          <w:p>
            <w:pPr>
              <w:pStyle w:val="nTable"/>
              <w:spacing w:after="40"/>
              <w:rPr>
                <w:snapToGrid w:val="0"/>
                <w:spacing w:val="-2"/>
              </w:rPr>
            </w:pPr>
            <w:r>
              <w:rPr>
                <w:snapToGrid w:val="0"/>
              </w:rPr>
              <w:t>r. 1 and 2: 5 Nov 2013 (see r. 2(a));</w:t>
            </w:r>
            <w:r>
              <w:rPr>
                <w:snapToGrid w:val="0"/>
              </w:rPr>
              <w:br/>
              <w:t>Regulations other than r. 1 and 2: 6 Nov 2013 (see r. 2(b))</w:t>
            </w:r>
          </w:p>
        </w:tc>
      </w:tr>
      <w:tr>
        <w:tc>
          <w:tcPr>
            <w:tcW w:w="3119" w:type="dxa"/>
          </w:tcPr>
          <w:p>
            <w:pPr>
              <w:pStyle w:val="nTable"/>
              <w:keepNext/>
              <w:spacing w:after="40"/>
              <w:rPr>
                <w:i/>
              </w:rPr>
            </w:pPr>
            <w:r>
              <w:rPr>
                <w:i/>
              </w:rPr>
              <w:t>Public Transport Authority Amendment Regulations 2014</w:t>
            </w:r>
          </w:p>
        </w:tc>
        <w:tc>
          <w:tcPr>
            <w:tcW w:w="1276" w:type="dxa"/>
          </w:tcPr>
          <w:p>
            <w:pPr>
              <w:pStyle w:val="nTable"/>
              <w:keepNext/>
              <w:spacing w:after="40"/>
            </w:pPr>
            <w:r>
              <w:t>13 Jun 2014 p. 1901</w:t>
            </w:r>
            <w:r>
              <w:noBreakHyphen/>
              <w:t>2</w:t>
            </w:r>
          </w:p>
        </w:tc>
        <w:tc>
          <w:tcPr>
            <w:tcW w:w="2693" w:type="dxa"/>
          </w:tcPr>
          <w:p>
            <w:pPr>
              <w:pStyle w:val="nTable"/>
              <w:keepNext/>
              <w:spacing w:after="40"/>
              <w:rPr>
                <w:snapToGrid w:val="0"/>
              </w:rPr>
            </w:pPr>
            <w:r>
              <w:rPr>
                <w:rFonts w:ascii="Times" w:hAnsi="Times"/>
                <w:bCs/>
                <w:snapToGrid w:val="0"/>
                <w:spacing w:val="-2"/>
              </w:rPr>
              <w:t>r. 1 and 2: 13 Jun 2014 (see r. 2(a));</w:t>
            </w:r>
            <w:r>
              <w:rPr>
                <w:rFonts w:ascii="Times" w:hAnsi="Times"/>
                <w:bCs/>
                <w:snapToGrid w:val="0"/>
                <w:spacing w:val="-2"/>
              </w:rPr>
              <w:br/>
              <w:t>Regulations other than r. 1 and 2: 14 Jun 2014 (see r. 2(b))</w:t>
            </w:r>
          </w:p>
        </w:tc>
      </w:tr>
      <w:tr>
        <w:tc>
          <w:tcPr>
            <w:tcW w:w="3119" w:type="dxa"/>
            <w:tcBorders>
              <w:bottom w:val="single" w:sz="4" w:space="0" w:color="auto"/>
            </w:tcBorders>
          </w:tcPr>
          <w:p>
            <w:pPr>
              <w:pStyle w:val="nTable"/>
              <w:keepNext/>
              <w:spacing w:after="40"/>
            </w:pPr>
            <w:r>
              <w:rPr>
                <w:i/>
              </w:rPr>
              <w:t>Public Transport Authority Amendment Regulations 2016</w:t>
            </w:r>
          </w:p>
        </w:tc>
        <w:tc>
          <w:tcPr>
            <w:tcW w:w="1276" w:type="dxa"/>
            <w:tcBorders>
              <w:bottom w:val="single" w:sz="4" w:space="0" w:color="auto"/>
            </w:tcBorders>
          </w:tcPr>
          <w:p>
            <w:pPr>
              <w:pStyle w:val="nTable"/>
              <w:keepNext/>
              <w:spacing w:after="40"/>
            </w:pPr>
            <w:r>
              <w:t>23 Dec 2016 p. 5912</w:t>
            </w:r>
          </w:p>
        </w:tc>
        <w:tc>
          <w:tcPr>
            <w:tcW w:w="2693" w:type="dxa"/>
            <w:tcBorders>
              <w:bottom w:val="single" w:sz="4" w:space="0" w:color="auto"/>
            </w:tcBorders>
          </w:tcPr>
          <w:p>
            <w:pPr>
              <w:pStyle w:val="nTable"/>
              <w:keepNext/>
              <w:spacing w:after="40"/>
              <w:rPr>
                <w:rFonts w:ascii="Times" w:hAnsi="Times"/>
                <w:bCs/>
                <w:snapToGrid w:val="0"/>
                <w:spacing w:val="-2"/>
              </w:rPr>
            </w:pPr>
            <w:r>
              <w:rPr>
                <w:rFonts w:ascii="Times" w:hAnsi="Times"/>
                <w:bCs/>
                <w:snapToGrid w:val="0"/>
                <w:spacing w:val="-2"/>
              </w:rPr>
              <w:t>r. 1 and 2: 23 Dec 2016 (see r. 2(a));</w:t>
            </w:r>
            <w:r>
              <w:rPr>
                <w:rFonts w:ascii="Times" w:hAnsi="Times"/>
                <w:bCs/>
                <w:snapToGrid w:val="0"/>
                <w:spacing w:val="-2"/>
              </w:rPr>
              <w:br/>
              <w:t>Regulations other than r. 1 and 2: 24 Dec 2016 (see r. 2(b))</w:t>
            </w:r>
          </w:p>
        </w:tc>
      </w:tr>
    </w:tbl>
    <w:p>
      <w:pPr>
        <w:pStyle w:val="nSubsection"/>
      </w:pPr>
      <w:r>
        <w:rPr>
          <w:vertAlign w:val="superscript"/>
        </w:rPr>
        <w:t>2</w:t>
      </w:r>
      <w:r>
        <w:tab/>
        <w:t xml:space="preserve">Repealed by the </w:t>
      </w:r>
      <w:r>
        <w:rPr>
          <w:i/>
        </w:rPr>
        <w:t>Health (Smoking in Enclosed Public Places) Regulations 2003</w:t>
      </w:r>
      <w:r>
        <w:rPr>
          <w:iCs/>
        </w:rPr>
        <w:t xml:space="preserve"> which were repealed by the </w:t>
      </w:r>
      <w:r>
        <w:rPr>
          <w:i/>
          <w:iCs/>
          <w:snapToGrid w:val="0"/>
        </w:rPr>
        <w:t>Tobacco Products Control Act 2006</w:t>
      </w:r>
      <w:r>
        <w:rPr>
          <w:snapToGrid w:val="0"/>
        </w:rPr>
        <w:t xml:space="preserve"> s. 126.</w:t>
      </w:r>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8" w:name="_Toc470187459"/>
      <w:r>
        <w:rPr>
          <w:sz w:val="28"/>
        </w:rPr>
        <w:t>Defined terms</w:t>
      </w:r>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permit</w:t>
      </w:r>
      <w:r>
        <w:tab/>
        <w:t>24</w:t>
      </w:r>
    </w:p>
    <w:p>
      <w:pPr>
        <w:pStyle w:val="DefinedTerms"/>
      </w:pPr>
      <w:r>
        <w:t>Act</w:t>
      </w:r>
      <w:r>
        <w:tab/>
        <w:t>3</w:t>
      </w:r>
    </w:p>
    <w:p>
      <w:pPr>
        <w:pStyle w:val="DefinedTerms"/>
      </w:pPr>
      <w:r>
        <w:t>conveyance</w:t>
      </w:r>
      <w:r>
        <w:tab/>
        <w:t>3</w:t>
      </w:r>
    </w:p>
    <w:p>
      <w:pPr>
        <w:pStyle w:val="DefinedTerms"/>
      </w:pPr>
      <w:r>
        <w:t>counter flow direction</w:t>
      </w:r>
      <w:r>
        <w:tab/>
        <w:t>33A</w:t>
      </w:r>
    </w:p>
    <w:p>
      <w:pPr>
        <w:pStyle w:val="DefinedTerms"/>
      </w:pPr>
      <w:r>
        <w:t>designated</w:t>
      </w:r>
      <w:r>
        <w:tab/>
        <w:t>3</w:t>
      </w:r>
    </w:p>
    <w:p>
      <w:pPr>
        <w:pStyle w:val="DefinedTerms"/>
      </w:pPr>
      <w:r>
        <w:t>driver</w:t>
      </w:r>
      <w:r>
        <w:tab/>
        <w:t>3, 24</w:t>
      </w:r>
    </w:p>
    <w:p>
      <w:pPr>
        <w:pStyle w:val="DefinedTerms"/>
      </w:pPr>
      <w:r>
        <w:t>facility</w:t>
      </w:r>
      <w:r>
        <w:tab/>
        <w:t>3</w:t>
      </w:r>
    </w:p>
    <w:p>
      <w:pPr>
        <w:pStyle w:val="DefinedTerms"/>
      </w:pPr>
      <w:r>
        <w:t>goods</w:t>
      </w:r>
      <w:r>
        <w:tab/>
        <w:t>28(2)</w:t>
      </w:r>
    </w:p>
    <w:p>
      <w:pPr>
        <w:pStyle w:val="DefinedTerms"/>
      </w:pPr>
      <w:r>
        <w:t>master</w:t>
      </w:r>
      <w:r>
        <w:tab/>
        <w:t>3</w:t>
      </w:r>
    </w:p>
    <w:p>
      <w:pPr>
        <w:pStyle w:val="DefinedTerms"/>
      </w:pPr>
      <w:r>
        <w:t>park</w:t>
      </w:r>
      <w:r>
        <w:tab/>
        <w:t>24</w:t>
      </w:r>
    </w:p>
    <w:p>
      <w:pPr>
        <w:pStyle w:val="DefinedTerms"/>
      </w:pPr>
      <w:r>
        <w:t>parking</w:t>
      </w:r>
      <w:r>
        <w:tab/>
        <w:t>24</w:t>
      </w:r>
    </w:p>
    <w:p>
      <w:pPr>
        <w:pStyle w:val="DefinedTerms"/>
      </w:pPr>
      <w:r>
        <w:t>parking space</w:t>
      </w:r>
      <w:r>
        <w:tab/>
        <w:t>24</w:t>
      </w:r>
    </w:p>
    <w:p>
      <w:pPr>
        <w:pStyle w:val="DefinedTerms"/>
      </w:pPr>
      <w:r>
        <w:t>peak flow direction</w:t>
      </w:r>
      <w:r>
        <w:tab/>
        <w:t>33A</w:t>
      </w:r>
    </w:p>
    <w:p>
      <w:pPr>
        <w:pStyle w:val="DefinedTerms"/>
      </w:pPr>
      <w:r>
        <w:t>peak time</w:t>
      </w:r>
      <w:r>
        <w:tab/>
        <w:t>33A</w:t>
      </w:r>
    </w:p>
    <w:p>
      <w:pPr>
        <w:pStyle w:val="DefinedTerms"/>
      </w:pPr>
      <w:r>
        <w:t>secured parking facility</w:t>
      </w:r>
      <w:r>
        <w:tab/>
        <w:t>24</w:t>
      </w:r>
    </w:p>
    <w:p>
      <w:pPr>
        <w:pStyle w:val="DefinedTerms"/>
      </w:pPr>
      <w:r>
        <w:t>sign</w:t>
      </w:r>
      <w:r>
        <w:tab/>
        <w:t>3</w:t>
      </w:r>
    </w:p>
    <w:p>
      <w:pPr>
        <w:pStyle w:val="DefinedTerms"/>
      </w:pPr>
      <w:r>
        <w:t>stand</w:t>
      </w:r>
      <w:r>
        <w:tab/>
        <w:t>24</w:t>
      </w:r>
    </w:p>
    <w:p>
      <w:pPr>
        <w:pStyle w:val="DefinedTerms"/>
      </w:pPr>
      <w:r>
        <w:t>standing</w:t>
      </w:r>
      <w:r>
        <w:tab/>
        <w:t>24</w:t>
      </w:r>
    </w:p>
    <w:p>
      <w:pPr>
        <w:pStyle w:val="DefinedTerms"/>
      </w:pPr>
      <w:r>
        <w:t>ticket</w:t>
      </w:r>
      <w:r>
        <w:tab/>
        <w:t>3</w:t>
      </w:r>
    </w:p>
    <w:p>
      <w:pPr>
        <w:pStyle w:val="DefinedTerms"/>
      </w:pPr>
      <w:r>
        <w:t>ticket vending machine</w:t>
      </w:r>
      <w:r>
        <w:tab/>
        <w:t>24</w:t>
      </w:r>
    </w:p>
    <w:p>
      <w:pPr>
        <w:pStyle w:val="DefinedTerms"/>
      </w:pPr>
      <w:r>
        <w:t>working day</w:t>
      </w:r>
      <w:r>
        <w:tab/>
        <w:t>33A</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Dec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64" w:name="Schedule"/>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241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8A5C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8EFD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B06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B63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6F3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341B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F89C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CE5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AC0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55ED0E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2153607"/>
    <w:docVar w:name="WAFER_20140124140245" w:val="RemoveTocBookmarks,RemoveUnusedBookmarks,RemoveLanguageTags,UsedStyles,ResetPageSize,UpdateArrangement"/>
    <w:docVar w:name="WAFER_20140124140245_GUID" w:val="4113ae48-35ee-4ed2-9a0d-17a4d4f90cf8"/>
    <w:docVar w:name="WAFER_20140124143358" w:val="RemoveTocBookmarks,RunningHeaders"/>
    <w:docVar w:name="WAFER_20140124143358_GUID" w:val="35bb4ffb-e502-4b9f-8c96-d29efb9914f0"/>
    <w:docVar w:name="WAFER_20140612122500" w:val="RemoveTocBookmarks,RemoveUnusedBookmarks,RemoveLanguageTags,UsedStyles,ResetPageSize,UpdateArrangement"/>
    <w:docVar w:name="WAFER_20140612122500_GUID" w:val="67b5eda1-38f0-4f7a-a9cc-b5ace98aed2e"/>
    <w:docVar w:name="WAFER_20150715154334" w:val="ResetPageSize,UpdateArrangement,UpdateNTable"/>
    <w:docVar w:name="WAFER_20150715154334_GUID" w:val="c524ab11-3ea4-4313-b235-cc54e9ae1ac0"/>
    <w:docVar w:name="WAFER_20151126104805" w:val="UpdateStyles"/>
    <w:docVar w:name="WAFER_20151126104805_GUID" w:val="518835ac-74a5-41cc-93c6-534f1264c876"/>
    <w:docVar w:name="WAFER_20151126114539" w:val="UsedStyles"/>
    <w:docVar w:name="WAFER_20151126114539_GUID" w:val="bf26c081-c7a2-4bad-acc4-d800fddcc276"/>
    <w:docVar w:name="WAFER_20161222153607" w:val="RemoveTocBookmarks,RemoveUnusedBookmarks,RemoveLanguageTags,UsedStyles,ResetPageSize"/>
    <w:docVar w:name="WAFER_20161222153607_GUID" w:val="158e1d56-3c7b-4b91-96c8-254473f652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EF3E6-1B16-4C15-B220-348E1CFE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7845</Words>
  <Characters>38131</Characters>
  <Application>Microsoft Office Word</Application>
  <DocSecurity>0</DocSecurity>
  <Lines>1155</Lines>
  <Paragraphs>820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45156</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2003 - 01-f0-00</dc:title>
  <dc:subject/>
  <dc:creator/>
  <cp:keywords/>
  <dc:description/>
  <cp:lastModifiedBy>svcMRProcess</cp:lastModifiedBy>
  <cp:revision>4</cp:revision>
  <cp:lastPrinted>2008-06-17T04:08:00Z</cp:lastPrinted>
  <dcterms:created xsi:type="dcterms:W3CDTF">2016-12-23T01:23:00Z</dcterms:created>
  <dcterms:modified xsi:type="dcterms:W3CDTF">2016-12-23T01:23:00Z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OwlsUID">
    <vt:i4>33768</vt:i4>
  </property>
  <property fmtid="{D5CDD505-2E9C-101B-9397-08002B2CF9AE}" pid="4" name="ReprintNo">
    <vt:lpwstr>1</vt:lpwstr>
  </property>
  <property fmtid="{D5CDD505-2E9C-101B-9397-08002B2CF9AE}" pid="5" name="DocumentType">
    <vt:lpwstr>Reg</vt:lpwstr>
  </property>
  <property fmtid="{D5CDD505-2E9C-101B-9397-08002B2CF9AE}" pid="6" name="AsAtDate">
    <vt:lpwstr>24 Dec 2016</vt:lpwstr>
  </property>
  <property fmtid="{D5CDD505-2E9C-101B-9397-08002B2CF9AE}" pid="7" name="Suffix">
    <vt:lpwstr>01-f0-00</vt:lpwstr>
  </property>
  <property fmtid="{D5CDD505-2E9C-101B-9397-08002B2CF9AE}" pid="8" name="CommencementDate">
    <vt:lpwstr>20161224</vt:lpwstr>
  </property>
</Properties>
</file>