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Penalties (Appeals)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Penalties (Appeals)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_Toc470790142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_Toc470790143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_Toc470790144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_Toc470790145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_Toc470790146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_Toc470790147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_Toc470790148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_Toc470790149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_Toc470790150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_Toc470790153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3" w:name="_Toc407632728"/>
      <w:bookmarkStart w:id="4" w:name="_Toc470790142"/>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5" w:name="_Toc407632729"/>
      <w:bookmarkStart w:id="6" w:name="_Toc470790143"/>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07632730"/>
      <w:bookmarkStart w:id="8" w:name="_Toc470790144"/>
      <w:r>
        <w:rPr>
          <w:rStyle w:val="CharSectno"/>
        </w:rPr>
        <w:t>3</w:t>
      </w:r>
      <w:r>
        <w:rPr>
          <w:snapToGrid w:val="0"/>
        </w:rPr>
        <w:t>.</w:t>
      </w:r>
      <w:r>
        <w:rPr>
          <w:snapToGrid w:val="0"/>
        </w:rPr>
        <w:tab/>
        <w:t>Notice of appeal</w:t>
      </w:r>
      <w:bookmarkEnd w:id="7"/>
      <w:bookmarkEnd w:id="8"/>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9" w:name="_Toc407632731"/>
      <w:bookmarkStart w:id="10" w:name="_Toc470790145"/>
      <w:r>
        <w:rPr>
          <w:rStyle w:val="CharSectno"/>
        </w:rPr>
        <w:t>4</w:t>
      </w:r>
      <w:r>
        <w:rPr>
          <w:snapToGrid w:val="0"/>
        </w:rPr>
        <w:t>.</w:t>
      </w:r>
      <w:r>
        <w:rPr>
          <w:snapToGrid w:val="0"/>
        </w:rPr>
        <w:tab/>
        <w:t>Fees in relation to appeals</w:t>
      </w:r>
      <w:bookmarkEnd w:id="9"/>
      <w:bookmarkEnd w:id="10"/>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$152</w:t>
      </w:r>
      <w:r>
        <w:rPr>
          <w:snapToGrid w:val="0"/>
        </w:rPr>
        <w:t>; and</w:t>
      </w:r>
    </w:p>
    <w:p>
      <w:pPr>
        <w:pStyle w:val="Indenta"/>
        <w:rPr>
          <w:snapToGrid w:val="0"/>
        </w:rPr>
      </w:pPr>
      <w:r>
        <w:rPr>
          <w:snapToGrid w:val="0"/>
        </w:rPr>
        <w:tab/>
        <w:t>(b)</w:t>
      </w:r>
      <w:r>
        <w:rPr>
          <w:snapToGrid w:val="0"/>
        </w:rPr>
        <w:tab/>
        <w:t xml:space="preserve">for all other appeals, </w:t>
      </w:r>
      <w:r>
        <w:t>$377</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$152</w:t>
      </w:r>
      <w:r>
        <w:rPr>
          <w:snapToGrid w:val="0"/>
        </w:rPr>
        <w:t>; and</w:t>
      </w:r>
    </w:p>
    <w:p>
      <w:pPr>
        <w:pStyle w:val="Indenti"/>
        <w:keepNext/>
        <w:rPr>
          <w:snapToGrid w:val="0"/>
        </w:rPr>
      </w:pPr>
      <w:r>
        <w:rPr>
          <w:snapToGrid w:val="0"/>
        </w:rPr>
        <w:tab/>
        <w:t>(ii)</w:t>
      </w:r>
      <w:r>
        <w:rPr>
          <w:snapToGrid w:val="0"/>
        </w:rPr>
        <w:tab/>
        <w:t xml:space="preserve">for all other appeals, </w:t>
      </w:r>
      <w:r>
        <w:t>$377</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$74</w:t>
      </w:r>
      <w:r>
        <w:rPr>
          <w:snapToGrid w:val="0"/>
        </w:rPr>
        <w:t>.</w:t>
      </w:r>
    </w:p>
    <w:p>
      <w:pPr>
        <w:pStyle w:val="Footnotesection"/>
      </w:pPr>
      <w:r>
        <w:tab/>
        <w:t>[Regulation 4 inserted in Gazette 11 Sep 1998 p. 4941; amended in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w:t>
      </w:r>
    </w:p>
    <w:p>
      <w:pPr>
        <w:pStyle w:val="Heading5"/>
        <w:rPr>
          <w:snapToGrid w:val="0"/>
        </w:rPr>
      </w:pPr>
      <w:bookmarkStart w:id="11" w:name="_Toc407632732"/>
      <w:bookmarkStart w:id="12" w:name="_Toc470790146"/>
      <w:r>
        <w:rPr>
          <w:rStyle w:val="CharSectno"/>
        </w:rPr>
        <w:t>5</w:t>
      </w:r>
      <w:r>
        <w:rPr>
          <w:snapToGrid w:val="0"/>
        </w:rPr>
        <w:t>.</w:t>
      </w:r>
      <w:r>
        <w:rPr>
          <w:snapToGrid w:val="0"/>
        </w:rPr>
        <w:tab/>
        <w:t>Notice of representation</w:t>
      </w:r>
      <w:bookmarkEnd w:id="11"/>
      <w:bookmarkEnd w:id="12"/>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13" w:name="_Toc407632733"/>
      <w:bookmarkStart w:id="14" w:name="_Toc470790147"/>
      <w:r>
        <w:rPr>
          <w:rStyle w:val="CharSectno"/>
        </w:rPr>
        <w:t>6</w:t>
      </w:r>
      <w:r>
        <w:rPr>
          <w:snapToGrid w:val="0"/>
        </w:rPr>
        <w:t>.</w:t>
      </w:r>
      <w:r>
        <w:rPr>
          <w:snapToGrid w:val="0"/>
        </w:rPr>
        <w:tab/>
        <w:t xml:space="preserve">Hearing of evidence </w:t>
      </w:r>
      <w:r>
        <w:rPr>
          <w:i/>
          <w:snapToGrid w:val="0"/>
        </w:rPr>
        <w:t>in camera</w:t>
      </w:r>
      <w:bookmarkEnd w:id="13"/>
      <w:bookmarkEnd w:id="14"/>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15" w:name="_Toc407632734"/>
      <w:bookmarkStart w:id="16" w:name="_Toc470790148"/>
      <w:r>
        <w:rPr>
          <w:rStyle w:val="CharSectno"/>
        </w:rPr>
        <w:t>7</w:t>
      </w:r>
      <w:r>
        <w:rPr>
          <w:snapToGrid w:val="0"/>
        </w:rPr>
        <w:t>.</w:t>
      </w:r>
      <w:r>
        <w:rPr>
          <w:snapToGrid w:val="0"/>
        </w:rPr>
        <w:tab/>
        <w:t>Fee for transcripts</w:t>
      </w:r>
      <w:bookmarkEnd w:id="15"/>
      <w:bookmarkEnd w:id="16"/>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in Gazette 11 Sep 1998 p. 4942; 12 May 2000 p. 2287; 14 Oct 2005 p. 4567; 9 Oct 2007 p. 5359.]</w:t>
      </w:r>
    </w:p>
    <w:p>
      <w:pPr>
        <w:pStyle w:val="Heading5"/>
        <w:rPr>
          <w:snapToGrid w:val="0"/>
        </w:rPr>
      </w:pPr>
      <w:bookmarkStart w:id="17" w:name="_Toc407632735"/>
      <w:bookmarkStart w:id="18" w:name="_Toc470790149"/>
      <w:r>
        <w:rPr>
          <w:rStyle w:val="CharSectno"/>
        </w:rPr>
        <w:t>8</w:t>
      </w:r>
      <w:r>
        <w:rPr>
          <w:snapToGrid w:val="0"/>
        </w:rPr>
        <w:t>.</w:t>
      </w:r>
      <w:r>
        <w:rPr>
          <w:snapToGrid w:val="0"/>
        </w:rPr>
        <w:tab/>
        <w:t>Duties of Registrar</w:t>
      </w:r>
      <w:bookmarkEnd w:id="17"/>
      <w:bookmarkEnd w:id="18"/>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9" w:name="_Toc407632736"/>
      <w:bookmarkStart w:id="20" w:name="_Toc470790150"/>
      <w:r>
        <w:rPr>
          <w:rStyle w:val="CharSectno"/>
        </w:rPr>
        <w:t>9</w:t>
      </w:r>
      <w:r>
        <w:rPr>
          <w:snapToGrid w:val="0"/>
        </w:rPr>
        <w:t>.</w:t>
      </w:r>
      <w:r>
        <w:rPr>
          <w:snapToGrid w:val="0"/>
        </w:rPr>
        <w:tab/>
        <w:t>Matters in which Chairperson or member alone may act</w:t>
      </w:r>
      <w:bookmarkEnd w:id="19"/>
      <w:bookmarkEnd w:id="20"/>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in Gazette 16 Aug 1994 p. 4146.]</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1" w:name="_Toc407632737"/>
      <w:bookmarkStart w:id="22" w:name="_Toc424741927"/>
      <w:bookmarkStart w:id="23" w:name="_Toc424741963"/>
      <w:bookmarkStart w:id="24" w:name="_Toc438119341"/>
      <w:bookmarkStart w:id="25" w:name="_Toc439166837"/>
      <w:bookmarkStart w:id="26" w:name="_Toc465417353"/>
      <w:bookmarkStart w:id="27" w:name="_Toc465417366"/>
      <w:bookmarkStart w:id="28" w:name="_Toc470790089"/>
      <w:bookmarkStart w:id="29" w:name="_Toc470790151"/>
      <w:r>
        <w:rPr>
          <w:rStyle w:val="CharSchNo"/>
        </w:rPr>
        <w:t>Schedule 1</w:t>
      </w:r>
      <w:bookmarkEnd w:id="21"/>
      <w:bookmarkEnd w:id="22"/>
      <w:bookmarkEnd w:id="23"/>
      <w:bookmarkEnd w:id="24"/>
      <w:bookmarkEnd w:id="25"/>
      <w:bookmarkEnd w:id="26"/>
      <w:bookmarkEnd w:id="27"/>
      <w:bookmarkEnd w:id="28"/>
      <w:bookmarkEnd w:id="29"/>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in Gazette 16 Aug 1994 p. 4147; amended in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pPr>
      <w:bookmarkStart w:id="31" w:name="_Toc407632738"/>
      <w:bookmarkStart w:id="32" w:name="_Toc424741928"/>
      <w:bookmarkStart w:id="33" w:name="_Toc424741964"/>
      <w:bookmarkStart w:id="34" w:name="_Toc438119342"/>
      <w:bookmarkStart w:id="35" w:name="_Toc439166838"/>
      <w:bookmarkStart w:id="36" w:name="_Toc465417354"/>
      <w:bookmarkStart w:id="37" w:name="_Toc465417367"/>
      <w:bookmarkStart w:id="38" w:name="_Toc470790090"/>
      <w:bookmarkStart w:id="39" w:name="_Toc470790152"/>
      <w:r>
        <w:t>Notes</w:t>
      </w:r>
      <w:bookmarkEnd w:id="31"/>
      <w:bookmarkEnd w:id="32"/>
      <w:bookmarkEnd w:id="33"/>
      <w:bookmarkEnd w:id="34"/>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40" w:name="_Toc407632739"/>
      <w:bookmarkStart w:id="41" w:name="_Toc470790153"/>
      <w:r>
        <w:t>Compilation table</w:t>
      </w:r>
      <w:bookmarkEnd w:id="40"/>
      <w:bookmarkEnd w:id="41"/>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Pr>
          <w:p>
            <w:pPr>
              <w:pStyle w:val="nTable"/>
              <w:spacing w:after="40"/>
              <w:ind w:right="113"/>
            </w:pPr>
            <w:r>
              <w:rPr>
                <w:i/>
              </w:rPr>
              <w:t>Racing Penalties (Appeals) Amendment Regulations 2014</w:t>
            </w:r>
          </w:p>
        </w:tc>
        <w:tc>
          <w:tcPr>
            <w:tcW w:w="1276" w:type="dxa"/>
            <w:gridSpan w:val="2"/>
          </w:tcPr>
          <w:p>
            <w:pPr>
              <w:pStyle w:val="nTable"/>
              <w:spacing w:after="40"/>
            </w:pPr>
            <w:r>
              <w:t>14 Nov 2014 p. 4288</w:t>
            </w:r>
          </w:p>
        </w:tc>
        <w:tc>
          <w:tcPr>
            <w:tcW w:w="2693" w:type="dxa"/>
            <w:gridSpan w:val="2"/>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r>
        <w:trPr>
          <w:gridAfter w:val="1"/>
          <w:wAfter w:w="8" w:type="dxa"/>
        </w:trPr>
        <w:tc>
          <w:tcPr>
            <w:tcW w:w="3118" w:type="dxa"/>
            <w:gridSpan w:val="2"/>
          </w:tcPr>
          <w:p>
            <w:pPr>
              <w:pStyle w:val="nTable"/>
              <w:spacing w:after="40"/>
              <w:ind w:right="113"/>
              <w:rPr>
                <w:i/>
              </w:rPr>
            </w:pPr>
            <w:r>
              <w:rPr>
                <w:i/>
              </w:rPr>
              <w:t xml:space="preserve">Racing, Gaming and Liquor Regulations Amendment (Fees and Charges) Regulations 2015 </w:t>
            </w:r>
            <w:r>
              <w:t>Pt. 8</w:t>
            </w:r>
          </w:p>
        </w:tc>
        <w:tc>
          <w:tcPr>
            <w:tcW w:w="1276" w:type="dxa"/>
            <w:gridSpan w:val="2"/>
          </w:tcPr>
          <w:p>
            <w:pPr>
              <w:pStyle w:val="nTable"/>
              <w:spacing w:after="40"/>
            </w:pPr>
            <w:r>
              <w:t>6 Nov 2015 p. 4581-8</w:t>
            </w:r>
          </w:p>
        </w:tc>
        <w:tc>
          <w:tcPr>
            <w:tcW w:w="2693" w:type="dxa"/>
            <w:gridSpan w:val="2"/>
          </w:tcPr>
          <w:p>
            <w:pPr>
              <w:pStyle w:val="nTable"/>
              <w:spacing w:after="40"/>
              <w:rPr>
                <w:snapToGrid w:val="0"/>
              </w:rPr>
            </w:pPr>
            <w:r>
              <w:t>1 Jan 2016 (see. r. 2(b))</w:t>
            </w:r>
          </w:p>
        </w:tc>
      </w:tr>
      <w:tr>
        <w:trPr>
          <w:gridAfter w:val="1"/>
          <w:wAfter w:w="8" w:type="dxa"/>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2016</w:t>
            </w:r>
            <w:r>
              <w:t xml:space="preserve"> Pt. 8</w:t>
            </w:r>
          </w:p>
        </w:tc>
        <w:tc>
          <w:tcPr>
            <w:tcW w:w="1276" w:type="dxa"/>
            <w:gridSpan w:val="2"/>
            <w:tcBorders>
              <w:bottom w:val="single" w:sz="4" w:space="0" w:color="auto"/>
            </w:tcBorders>
          </w:tcPr>
          <w:p>
            <w:pPr>
              <w:pStyle w:val="nTable"/>
              <w:spacing w:after="40"/>
            </w:pPr>
            <w:r>
              <w:t>28 Oct 2016 p. 4910</w:t>
            </w:r>
            <w:r>
              <w:noBreakHyphen/>
              <w:t>16</w:t>
            </w:r>
          </w:p>
        </w:tc>
        <w:tc>
          <w:tcPr>
            <w:tcW w:w="2693" w:type="dxa"/>
            <w:gridSpan w:val="2"/>
            <w:tcBorders>
              <w:bottom w:val="single" w:sz="4" w:space="0" w:color="auto"/>
            </w:tcBorders>
          </w:tcPr>
          <w:p>
            <w:pPr>
              <w:pStyle w:val="nTable"/>
              <w:spacing w:after="40"/>
            </w:pPr>
            <w:r>
              <w:t>1 Jan 2017 (see r. 2(b))</w:t>
            </w:r>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
      <w:pPr>
        <w:sectPr>
          <w:headerReference w:type="even" r:id="rId30"/>
          <w:headerReference w:type="default" r:id="rId31"/>
          <w:headerReference w:type="first" r:id="rId32"/>
          <w:pgSz w:w="11907" w:h="16840" w:code="9"/>
          <w:pgMar w:top="2376" w:right="2404" w:bottom="3544" w:left="2404" w:header="709" w:footer="3379"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lvlText w:val="%1."/>
      <w:lvlJc w:val="left"/>
      <w:pPr>
        <w:tabs>
          <w:tab w:val="num" w:pos="1800"/>
        </w:tabs>
        <w:ind w:left="1800" w:hanging="360"/>
      </w:pPr>
    </w:lvl>
  </w:abstractNum>
  <w:abstractNum w:abstractNumId="1">
    <w:nsid w:val="FFFFFF7D"/>
    <w:multiLevelType w:val="singleLevel"/>
    <w:tmpl w:val="889C4BAC"/>
    <w:lvl w:ilvl="0">
      <w:start w:val="1"/>
      <w:numFmt w:val="decimal"/>
      <w:lvlText w:val="%1."/>
      <w:lvlJc w:val="left"/>
      <w:pPr>
        <w:tabs>
          <w:tab w:val="num" w:pos="1440"/>
        </w:tabs>
        <w:ind w:left="1440" w:hanging="360"/>
      </w:pPr>
    </w:lvl>
  </w:abstractNum>
  <w:abstractNum w:abstractNumId="2">
    <w:nsid w:val="FFFFFF7E"/>
    <w:multiLevelType w:val="singleLevel"/>
    <w:tmpl w:val="B7E8DE88"/>
    <w:lvl w:ilvl="0">
      <w:start w:val="1"/>
      <w:numFmt w:val="decimal"/>
      <w:lvlText w:val="%1."/>
      <w:lvlJc w:val="left"/>
      <w:pPr>
        <w:tabs>
          <w:tab w:val="num" w:pos="1080"/>
        </w:tabs>
        <w:ind w:left="1080" w:hanging="360"/>
      </w:pPr>
    </w:lvl>
  </w:abstractNum>
  <w:abstractNum w:abstractNumId="3">
    <w:nsid w:val="FFFFFF7F"/>
    <w:multiLevelType w:val="singleLevel"/>
    <w:tmpl w:val="04B4CF14"/>
    <w:lvl w:ilvl="0">
      <w:start w:val="1"/>
      <w:numFmt w:val="decimal"/>
      <w:lvlText w:val="%1."/>
      <w:lvlJc w:val="left"/>
      <w:pPr>
        <w:tabs>
          <w:tab w:val="num" w:pos="720"/>
        </w:tabs>
        <w:ind w:left="720" w:hanging="360"/>
      </w:pPr>
    </w:lvl>
  </w:abstractNum>
  <w:abstractNum w:abstractNumId="4">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lvlText w:val="%1."/>
      <w:lvlJc w:val="left"/>
      <w:pPr>
        <w:tabs>
          <w:tab w:val="num" w:pos="360"/>
        </w:tabs>
        <w:ind w:left="360" w:hanging="360"/>
      </w:pPr>
    </w:lvl>
  </w:abstractNum>
  <w:abstractNum w:abstractNumId="9">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405"/>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4EE5-FABD-4B51-94BD-9BBAADA4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1644</Words>
  <Characters>7448</Characters>
  <Application>Microsoft Office Word</Application>
  <DocSecurity>0</DocSecurity>
  <Lines>286</Lines>
  <Paragraphs>174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1991 - 03-g0-00</dc:title>
  <dc:subject/>
  <dc:creator/>
  <cp:keywords/>
  <dc:description/>
  <cp:lastModifiedBy>svcMRProcess</cp:lastModifiedBy>
  <cp:revision>4</cp:revision>
  <cp:lastPrinted>2014-04-15T02:09:00Z</cp:lastPrinted>
  <dcterms:created xsi:type="dcterms:W3CDTF">2020-02-27T18:35:00Z</dcterms:created>
  <dcterms:modified xsi:type="dcterms:W3CDTF">2020-02-27T18:35:00Z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AsAtDate">
    <vt:lpwstr>01 Jan 2017</vt:lpwstr>
  </property>
  <property fmtid="{D5CDD505-2E9C-101B-9397-08002B2CF9AE}" pid="8" name="Suffix">
    <vt:lpwstr>03-g0-00</vt:lpwstr>
  </property>
  <property fmtid="{D5CDD505-2E9C-101B-9397-08002B2CF9AE}" pid="9" name="CommencementDate">
    <vt:lpwstr>20170101</vt:lpwstr>
  </property>
</Properties>
</file>