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Water Supply, Sewerage, and Drainage Act 1909 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Preliminary and definitions</w:t>
      </w:r>
    </w:p>
    <w:p>
      <w:pPr>
        <w:pStyle w:val="TOC8"/>
        <w:rPr>
          <w:rFonts w:asciiTheme="minorHAnsi" w:eastAsiaTheme="minorEastAsia" w:hAnsiTheme="minorHAnsi" w:cstheme="minorBidi"/>
          <w:szCs w:val="22"/>
        </w:rPr>
      </w:pPr>
      <w:r>
        <w:t>1.0</w:t>
      </w:r>
      <w:r>
        <w:rPr>
          <w:snapToGrid w:val="0"/>
        </w:rPr>
        <w:tab/>
        <w:t>Citation</w:t>
      </w:r>
      <w:r>
        <w:tab/>
      </w:r>
      <w:r>
        <w:fldChar w:fldCharType="begin"/>
      </w:r>
      <w:r>
        <w:instrText xml:space="preserve"> PAGEREF _Toc471997880 \h </w:instrText>
      </w:r>
      <w:r>
        <w:fldChar w:fldCharType="separate"/>
      </w:r>
      <w:r>
        <w:t>1</w:t>
      </w:r>
      <w:r>
        <w:fldChar w:fldCharType="end"/>
      </w:r>
    </w:p>
    <w:p>
      <w:pPr>
        <w:pStyle w:val="TOC8"/>
        <w:rPr>
          <w:rFonts w:asciiTheme="minorHAnsi" w:eastAsiaTheme="minorEastAsia" w:hAnsiTheme="minorHAnsi" w:cstheme="minorBidi"/>
          <w:szCs w:val="22"/>
        </w:rPr>
      </w:pPr>
      <w:r>
        <w:t>1.1</w:t>
      </w:r>
      <w:r>
        <w:rPr>
          <w:snapToGrid w:val="0"/>
        </w:rPr>
        <w:tab/>
        <w:t>Terms used</w:t>
      </w:r>
      <w:r>
        <w:tab/>
      </w:r>
      <w:r>
        <w:fldChar w:fldCharType="begin"/>
      </w:r>
      <w:r>
        <w:instrText xml:space="preserve"> PAGEREF _Toc471997881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4.0 Protection of catchment areas and water reserves</w:t>
      </w:r>
    </w:p>
    <w:p>
      <w:pPr>
        <w:pStyle w:val="TOC8"/>
        <w:rPr>
          <w:rFonts w:asciiTheme="minorHAnsi" w:eastAsiaTheme="minorEastAsia" w:hAnsiTheme="minorHAnsi" w:cstheme="minorBidi"/>
          <w:szCs w:val="22"/>
        </w:rPr>
      </w:pPr>
      <w:r>
        <w:t>4.1</w:t>
      </w:r>
      <w:r>
        <w:rPr>
          <w:snapToGrid w:val="0"/>
        </w:rPr>
        <w:tab/>
        <w:t>Object of this Part</w:t>
      </w:r>
      <w:r>
        <w:tab/>
      </w:r>
      <w:r>
        <w:fldChar w:fldCharType="begin"/>
      </w:r>
      <w:r>
        <w:instrText xml:space="preserve"> PAGEREF _Toc471997883 \h </w:instrText>
      </w:r>
      <w:r>
        <w:fldChar w:fldCharType="separate"/>
      </w:r>
      <w:r>
        <w:t>5</w:t>
      </w:r>
      <w:r>
        <w:fldChar w:fldCharType="end"/>
      </w:r>
    </w:p>
    <w:p>
      <w:pPr>
        <w:pStyle w:val="TOC8"/>
        <w:rPr>
          <w:rFonts w:asciiTheme="minorHAnsi" w:eastAsiaTheme="minorEastAsia" w:hAnsiTheme="minorHAnsi" w:cstheme="minorBidi"/>
          <w:szCs w:val="22"/>
        </w:rPr>
      </w:pPr>
      <w:r>
        <w:t>4.2</w:t>
      </w:r>
      <w:r>
        <w:rPr>
          <w:snapToGrid w:val="0"/>
        </w:rPr>
        <w:tab/>
        <w:t>Application of this Part</w:t>
      </w:r>
      <w:r>
        <w:tab/>
      </w:r>
      <w:r>
        <w:fldChar w:fldCharType="begin"/>
      </w:r>
      <w:r>
        <w:instrText xml:space="preserve"> PAGEREF _Toc471997884 \h </w:instrText>
      </w:r>
      <w:r>
        <w:fldChar w:fldCharType="separate"/>
      </w:r>
      <w:r>
        <w:t>5</w:t>
      </w:r>
      <w:r>
        <w:fldChar w:fldCharType="end"/>
      </w:r>
    </w:p>
    <w:p>
      <w:pPr>
        <w:pStyle w:val="TOC8"/>
        <w:rPr>
          <w:rFonts w:asciiTheme="minorHAnsi" w:eastAsiaTheme="minorEastAsia" w:hAnsiTheme="minorHAnsi" w:cstheme="minorBidi"/>
          <w:szCs w:val="22"/>
        </w:rPr>
      </w:pPr>
      <w:r>
        <w:t>4.3</w:t>
      </w:r>
      <w:r>
        <w:rPr>
          <w:snapToGrid w:val="0"/>
        </w:rPr>
        <w:tab/>
        <w:t>Catchment areas etc., protection of</w:t>
      </w:r>
      <w:r>
        <w:tab/>
      </w:r>
      <w:r>
        <w:fldChar w:fldCharType="begin"/>
      </w:r>
      <w:r>
        <w:instrText xml:space="preserve"> PAGEREF _Toc471997885 \h </w:instrText>
      </w:r>
      <w:r>
        <w:fldChar w:fldCharType="separate"/>
      </w:r>
      <w:r>
        <w:t>6</w:t>
      </w:r>
      <w:r>
        <w:fldChar w:fldCharType="end"/>
      </w:r>
    </w:p>
    <w:p>
      <w:pPr>
        <w:pStyle w:val="TOC8"/>
        <w:rPr>
          <w:rFonts w:asciiTheme="minorHAnsi" w:eastAsiaTheme="minorEastAsia" w:hAnsiTheme="minorHAnsi" w:cstheme="minorBidi"/>
          <w:szCs w:val="22"/>
        </w:rPr>
      </w:pPr>
      <w:r>
        <w:t>4.4</w:t>
      </w:r>
      <w:r>
        <w:rPr>
          <w:snapToGrid w:val="0"/>
        </w:rPr>
        <w:tab/>
        <w:t>Sewage, liquid waste and solid refuse</w:t>
      </w:r>
      <w:r>
        <w:tab/>
      </w:r>
      <w:r>
        <w:fldChar w:fldCharType="begin"/>
      </w:r>
      <w:r>
        <w:instrText xml:space="preserve"> PAGEREF _Toc471997886 \h </w:instrText>
      </w:r>
      <w:r>
        <w:fldChar w:fldCharType="separate"/>
      </w:r>
      <w:r>
        <w:t>7</w:t>
      </w:r>
      <w:r>
        <w:fldChar w:fldCharType="end"/>
      </w:r>
    </w:p>
    <w:p>
      <w:pPr>
        <w:pStyle w:val="TOC8"/>
        <w:rPr>
          <w:rFonts w:asciiTheme="minorHAnsi" w:eastAsiaTheme="minorEastAsia" w:hAnsiTheme="minorHAnsi" w:cstheme="minorBidi"/>
          <w:szCs w:val="22"/>
        </w:rPr>
      </w:pPr>
      <w:r>
        <w:t>4.5</w:t>
      </w:r>
      <w:r>
        <w:rPr>
          <w:snapToGrid w:val="0"/>
        </w:rPr>
        <w:tab/>
        <w:t>Animals and birds</w:t>
      </w:r>
      <w:r>
        <w:tab/>
      </w:r>
      <w:r>
        <w:fldChar w:fldCharType="begin"/>
      </w:r>
      <w:r>
        <w:instrText xml:space="preserve"> PAGEREF _Toc471997887 \h </w:instrText>
      </w:r>
      <w:r>
        <w:fldChar w:fldCharType="separate"/>
      </w:r>
      <w:r>
        <w:t>8</w:t>
      </w:r>
      <w:r>
        <w:fldChar w:fldCharType="end"/>
      </w:r>
    </w:p>
    <w:p>
      <w:pPr>
        <w:pStyle w:val="TOC8"/>
        <w:rPr>
          <w:rFonts w:asciiTheme="minorHAnsi" w:eastAsiaTheme="minorEastAsia" w:hAnsiTheme="minorHAnsi" w:cstheme="minorBidi"/>
          <w:szCs w:val="22"/>
        </w:rPr>
      </w:pPr>
      <w:r>
        <w:t>4.6</w:t>
      </w:r>
      <w:r>
        <w:rPr>
          <w:snapToGrid w:val="0"/>
        </w:rPr>
        <w:tab/>
        <w:t>Manure, fertilizers, chemicals, petrol etc.</w:t>
      </w:r>
      <w:r>
        <w:tab/>
      </w:r>
      <w:r>
        <w:fldChar w:fldCharType="begin"/>
      </w:r>
      <w:r>
        <w:instrText xml:space="preserve"> PAGEREF _Toc471997888 \h </w:instrText>
      </w:r>
      <w:r>
        <w:fldChar w:fldCharType="separate"/>
      </w:r>
      <w:r>
        <w:t>9</w:t>
      </w:r>
      <w:r>
        <w:fldChar w:fldCharType="end"/>
      </w:r>
    </w:p>
    <w:p>
      <w:pPr>
        <w:pStyle w:val="TOC8"/>
        <w:rPr>
          <w:rFonts w:asciiTheme="minorHAnsi" w:eastAsiaTheme="minorEastAsia" w:hAnsiTheme="minorHAnsi" w:cstheme="minorBidi"/>
          <w:szCs w:val="22"/>
        </w:rPr>
      </w:pPr>
      <w:r>
        <w:t>4.7</w:t>
      </w:r>
      <w:r>
        <w:rPr>
          <w:snapToGrid w:val="0"/>
        </w:rPr>
        <w:tab/>
        <w:t>Clearing, road construction, vehicles etc.</w:t>
      </w:r>
      <w:r>
        <w:tab/>
      </w:r>
      <w:r>
        <w:fldChar w:fldCharType="begin"/>
      </w:r>
      <w:r>
        <w:instrText xml:space="preserve"> PAGEREF _Toc471997889 \h </w:instrText>
      </w:r>
      <w:r>
        <w:fldChar w:fldCharType="separate"/>
      </w:r>
      <w:r>
        <w:t>11</w:t>
      </w:r>
      <w:r>
        <w:fldChar w:fldCharType="end"/>
      </w:r>
    </w:p>
    <w:p>
      <w:pPr>
        <w:pStyle w:val="TOC8"/>
        <w:rPr>
          <w:rFonts w:asciiTheme="minorHAnsi" w:eastAsiaTheme="minorEastAsia" w:hAnsiTheme="minorHAnsi" w:cstheme="minorBidi"/>
          <w:szCs w:val="22"/>
        </w:rPr>
      </w:pPr>
      <w:r>
        <w:t>4.8</w:t>
      </w:r>
      <w:r>
        <w:rPr>
          <w:snapToGrid w:val="0"/>
        </w:rPr>
        <w:tab/>
        <w:t>Development, mining, offensive trades etc.</w:t>
      </w:r>
      <w:r>
        <w:tab/>
      </w:r>
      <w:r>
        <w:fldChar w:fldCharType="begin"/>
      </w:r>
      <w:r>
        <w:instrText xml:space="preserve"> PAGEREF _Toc471997890 \h </w:instrText>
      </w:r>
      <w:r>
        <w:fldChar w:fldCharType="separate"/>
      </w:r>
      <w:r>
        <w:t>11</w:t>
      </w:r>
      <w:r>
        <w:fldChar w:fldCharType="end"/>
      </w:r>
    </w:p>
    <w:p>
      <w:pPr>
        <w:pStyle w:val="TOC8"/>
        <w:rPr>
          <w:rFonts w:asciiTheme="minorHAnsi" w:eastAsiaTheme="minorEastAsia" w:hAnsiTheme="minorHAnsi" w:cstheme="minorBidi"/>
          <w:szCs w:val="22"/>
        </w:rPr>
      </w:pPr>
      <w:r>
        <w:t>4.9</w:t>
      </w:r>
      <w:r>
        <w:rPr>
          <w:snapToGrid w:val="0"/>
        </w:rPr>
        <w:tab/>
        <w:t>Remedying damage etc., CEO’s powers for</w:t>
      </w:r>
      <w:r>
        <w:tab/>
      </w:r>
      <w:r>
        <w:fldChar w:fldCharType="begin"/>
      </w:r>
      <w:r>
        <w:instrText xml:space="preserve"> PAGEREF _Toc471997891 \h </w:instrText>
      </w:r>
      <w:r>
        <w:fldChar w:fldCharType="separate"/>
      </w:r>
      <w:r>
        <w:t>12</w:t>
      </w:r>
      <w:r>
        <w:fldChar w:fldCharType="end"/>
      </w:r>
    </w:p>
    <w:p>
      <w:pPr>
        <w:pStyle w:val="TOC8"/>
        <w:rPr>
          <w:rFonts w:asciiTheme="minorHAnsi" w:eastAsiaTheme="minorEastAsia" w:hAnsiTheme="minorHAnsi" w:cstheme="minorBidi"/>
          <w:szCs w:val="22"/>
        </w:rPr>
      </w:pPr>
      <w:r>
        <w:t>4.10</w:t>
      </w:r>
      <w:r>
        <w:rPr>
          <w:snapToGrid w:val="0"/>
        </w:rPr>
        <w:tab/>
        <w:t>Signs; rangers’ powers</w:t>
      </w:r>
      <w:r>
        <w:tab/>
      </w:r>
      <w:r>
        <w:fldChar w:fldCharType="begin"/>
      </w:r>
      <w:r>
        <w:instrText xml:space="preserve"> PAGEREF _Toc471997892 \h </w:instrText>
      </w:r>
      <w:r>
        <w:fldChar w:fldCharType="separate"/>
      </w:r>
      <w:r>
        <w:t>12</w:t>
      </w:r>
      <w:r>
        <w:fldChar w:fldCharType="end"/>
      </w:r>
    </w:p>
    <w:p>
      <w:pPr>
        <w:pStyle w:val="TOC8"/>
        <w:rPr>
          <w:rFonts w:asciiTheme="minorHAnsi" w:eastAsiaTheme="minorEastAsia" w:hAnsiTheme="minorHAnsi" w:cstheme="minorBidi"/>
          <w:szCs w:val="22"/>
        </w:rPr>
      </w:pPr>
      <w:r>
        <w:t>4.11</w:t>
      </w:r>
      <w:r>
        <w:tab/>
        <w:t>Designated camping sites for Noongar people</w:t>
      </w:r>
      <w:r>
        <w:tab/>
      </w:r>
      <w:r>
        <w:fldChar w:fldCharType="begin"/>
      </w:r>
      <w:r>
        <w:instrText xml:space="preserve"> PAGEREF _Toc471997893 \h </w:instrText>
      </w:r>
      <w:r>
        <w:fldChar w:fldCharType="separate"/>
      </w:r>
      <w:r>
        <w:t>13</w:t>
      </w:r>
      <w:r>
        <w:fldChar w:fldCharType="end"/>
      </w:r>
    </w:p>
    <w:p>
      <w:pPr>
        <w:pStyle w:val="TOC8"/>
        <w:rPr>
          <w:rFonts w:asciiTheme="minorHAnsi" w:eastAsiaTheme="minorEastAsia" w:hAnsiTheme="minorHAnsi" w:cstheme="minorBidi"/>
          <w:szCs w:val="22"/>
        </w:rPr>
      </w:pPr>
      <w:r>
        <w:t>4.12</w:t>
      </w:r>
      <w:r>
        <w:tab/>
        <w:t>Customary hunting by Noongar people</w:t>
      </w:r>
      <w:r>
        <w:tab/>
      </w:r>
      <w:r>
        <w:fldChar w:fldCharType="begin"/>
      </w:r>
      <w:r>
        <w:instrText xml:space="preserve"> PAGEREF _Toc471997894 \h </w:instrText>
      </w:r>
      <w:r>
        <w:fldChar w:fldCharType="separate"/>
      </w:r>
      <w:r>
        <w:t>14</w:t>
      </w:r>
      <w:r>
        <w:fldChar w:fldCharType="end"/>
      </w:r>
    </w:p>
    <w:p>
      <w:pPr>
        <w:pStyle w:val="TOC8"/>
        <w:rPr>
          <w:rFonts w:asciiTheme="minorHAnsi" w:eastAsiaTheme="minorEastAsia" w:hAnsiTheme="minorHAnsi" w:cstheme="minorBidi"/>
          <w:szCs w:val="22"/>
        </w:rPr>
      </w:pPr>
      <w:r>
        <w:t>4.13</w:t>
      </w:r>
      <w:r>
        <w:tab/>
        <w:t>Noongar people lighting fires for customary purposes</w:t>
      </w:r>
      <w:r>
        <w:tab/>
      </w:r>
      <w:r>
        <w:fldChar w:fldCharType="begin"/>
      </w:r>
      <w:r>
        <w:instrText xml:space="preserve"> PAGEREF _Toc471997895 \h </w:instrText>
      </w:r>
      <w:r>
        <w:fldChar w:fldCharType="separate"/>
      </w:r>
      <w:r>
        <w:t>15</w:t>
      </w:r>
      <w:r>
        <w:fldChar w:fldCharType="end"/>
      </w:r>
    </w:p>
    <w:p>
      <w:pPr>
        <w:pStyle w:val="TOC8"/>
        <w:rPr>
          <w:rFonts w:asciiTheme="minorHAnsi" w:eastAsiaTheme="minorEastAsia" w:hAnsiTheme="minorHAnsi" w:cstheme="minorBidi"/>
          <w:szCs w:val="22"/>
        </w:rPr>
      </w:pPr>
      <w:r>
        <w:t>4.14</w:t>
      </w:r>
      <w:r>
        <w:tab/>
        <w:t>Entry to Aboriginal sites by Noongar people</w:t>
      </w:r>
      <w:r>
        <w:tab/>
      </w:r>
      <w:r>
        <w:fldChar w:fldCharType="begin"/>
      </w:r>
      <w:r>
        <w:instrText xml:space="preserve"> PAGEREF _Toc471997896 \h </w:instrText>
      </w:r>
      <w:r>
        <w:fldChar w:fldCharType="separate"/>
      </w:r>
      <w:r>
        <w:t>15</w:t>
      </w:r>
      <w:r>
        <w:fldChar w:fldCharType="end"/>
      </w:r>
    </w:p>
    <w:p>
      <w:pPr>
        <w:pStyle w:val="TOC2"/>
        <w:tabs>
          <w:tab w:val="right" w:leader="dot" w:pos="7077"/>
        </w:tabs>
        <w:rPr>
          <w:rFonts w:asciiTheme="minorHAnsi" w:eastAsiaTheme="minorEastAsia" w:hAnsiTheme="minorHAnsi" w:cstheme="minorBidi"/>
          <w:b w:val="0"/>
          <w:sz w:val="22"/>
          <w:szCs w:val="22"/>
        </w:rPr>
      </w:pPr>
      <w:r>
        <w:t>5.0 Protection of public water supply areas and underground water pollution control areas</w:t>
      </w:r>
    </w:p>
    <w:p>
      <w:pPr>
        <w:pStyle w:val="TOC8"/>
        <w:rPr>
          <w:rFonts w:asciiTheme="minorHAnsi" w:eastAsiaTheme="minorEastAsia" w:hAnsiTheme="minorHAnsi" w:cstheme="minorBidi"/>
          <w:szCs w:val="22"/>
        </w:rPr>
      </w:pPr>
      <w:r>
        <w:t>5.1</w:t>
      </w:r>
      <w:r>
        <w:rPr>
          <w:snapToGrid w:val="0"/>
        </w:rPr>
        <w:tab/>
        <w:t>Object of this Part; CEO may erect signs</w:t>
      </w:r>
      <w:r>
        <w:tab/>
      </w:r>
      <w:r>
        <w:fldChar w:fldCharType="begin"/>
      </w:r>
      <w:r>
        <w:instrText xml:space="preserve"> PAGEREF _Toc471997898 \h </w:instrText>
      </w:r>
      <w:r>
        <w:fldChar w:fldCharType="separate"/>
      </w:r>
      <w:r>
        <w:t>17</w:t>
      </w:r>
      <w:r>
        <w:fldChar w:fldCharType="end"/>
      </w:r>
    </w:p>
    <w:p>
      <w:pPr>
        <w:pStyle w:val="TOC8"/>
        <w:rPr>
          <w:rFonts w:asciiTheme="minorHAnsi" w:eastAsiaTheme="minorEastAsia" w:hAnsiTheme="minorHAnsi" w:cstheme="minorBidi"/>
          <w:szCs w:val="22"/>
        </w:rPr>
      </w:pPr>
      <w:r>
        <w:t>5.3</w:t>
      </w:r>
      <w:r>
        <w:rPr>
          <w:snapToGrid w:val="0"/>
        </w:rPr>
        <w:tab/>
        <w:t>Causing flooding of wells etc.</w:t>
      </w:r>
      <w:r>
        <w:tab/>
      </w:r>
      <w:r>
        <w:fldChar w:fldCharType="begin"/>
      </w:r>
      <w:r>
        <w:instrText xml:space="preserve"> PAGEREF _Toc471997899 \h </w:instrText>
      </w:r>
      <w:r>
        <w:fldChar w:fldCharType="separate"/>
      </w:r>
      <w:r>
        <w:t>17</w:t>
      </w:r>
      <w:r>
        <w:fldChar w:fldCharType="end"/>
      </w:r>
    </w:p>
    <w:p>
      <w:pPr>
        <w:pStyle w:val="TOC8"/>
        <w:rPr>
          <w:rFonts w:asciiTheme="minorHAnsi" w:eastAsiaTheme="minorEastAsia" w:hAnsiTheme="minorHAnsi" w:cstheme="minorBidi"/>
          <w:szCs w:val="22"/>
        </w:rPr>
      </w:pPr>
      <w:r>
        <w:t>5.4</w:t>
      </w:r>
      <w:r>
        <w:rPr>
          <w:snapToGrid w:val="0"/>
        </w:rPr>
        <w:tab/>
        <w:t>Pollution areas, production wells etc., protection of</w:t>
      </w:r>
      <w:r>
        <w:tab/>
      </w:r>
      <w:r>
        <w:fldChar w:fldCharType="begin"/>
      </w:r>
      <w:r>
        <w:instrText xml:space="preserve"> PAGEREF _Toc471997900 \h </w:instrText>
      </w:r>
      <w:r>
        <w:fldChar w:fldCharType="separate"/>
      </w:r>
      <w:r>
        <w:t>17</w:t>
      </w:r>
      <w:r>
        <w:fldChar w:fldCharType="end"/>
      </w:r>
    </w:p>
    <w:p>
      <w:pPr>
        <w:pStyle w:val="TOC8"/>
        <w:rPr>
          <w:rFonts w:asciiTheme="minorHAnsi" w:eastAsiaTheme="minorEastAsia" w:hAnsiTheme="minorHAnsi" w:cstheme="minorBidi"/>
          <w:szCs w:val="22"/>
        </w:rPr>
      </w:pPr>
      <w:r>
        <w:t>5.5</w:t>
      </w:r>
      <w:r>
        <w:rPr>
          <w:snapToGrid w:val="0"/>
        </w:rPr>
        <w:tab/>
        <w:t>Pollution areas, development and storing petrol etc. in</w:t>
      </w:r>
      <w:r>
        <w:tab/>
      </w:r>
      <w:r>
        <w:fldChar w:fldCharType="begin"/>
      </w:r>
      <w:r>
        <w:instrText xml:space="preserve"> PAGEREF _Toc471997901 \h </w:instrText>
      </w:r>
      <w:r>
        <w:fldChar w:fldCharType="separate"/>
      </w:r>
      <w:r>
        <w:t>19</w:t>
      </w:r>
      <w:r>
        <w:fldChar w:fldCharType="end"/>
      </w:r>
    </w:p>
    <w:p>
      <w:pPr>
        <w:pStyle w:val="TOC8"/>
        <w:rPr>
          <w:rFonts w:asciiTheme="minorHAnsi" w:eastAsiaTheme="minorEastAsia" w:hAnsiTheme="minorHAnsi" w:cstheme="minorBidi"/>
          <w:szCs w:val="22"/>
        </w:rPr>
      </w:pPr>
      <w:r>
        <w:t>5.6</w:t>
      </w:r>
      <w:r>
        <w:rPr>
          <w:snapToGrid w:val="0"/>
        </w:rPr>
        <w:tab/>
        <w:t>Priority source protection areas, control of certain developments in</w:t>
      </w:r>
      <w:r>
        <w:tab/>
      </w:r>
      <w:r>
        <w:fldChar w:fldCharType="begin"/>
      </w:r>
      <w:r>
        <w:instrText xml:space="preserve"> PAGEREF _Toc471997902 \h </w:instrText>
      </w:r>
      <w:r>
        <w:fldChar w:fldCharType="separate"/>
      </w:r>
      <w:r>
        <w:t>23</w:t>
      </w:r>
      <w:r>
        <w:fldChar w:fldCharType="end"/>
      </w:r>
    </w:p>
    <w:p>
      <w:pPr>
        <w:pStyle w:val="TOC2"/>
        <w:tabs>
          <w:tab w:val="right" w:leader="dot" w:pos="7077"/>
        </w:tabs>
        <w:rPr>
          <w:rFonts w:asciiTheme="minorHAnsi" w:eastAsiaTheme="minorEastAsia" w:hAnsiTheme="minorHAnsi" w:cstheme="minorBidi"/>
          <w:b w:val="0"/>
          <w:sz w:val="22"/>
          <w:szCs w:val="22"/>
        </w:rPr>
      </w:pPr>
      <w:r>
        <w:t>31.0 Offences and penalties</w:t>
      </w:r>
    </w:p>
    <w:p>
      <w:pPr>
        <w:pStyle w:val="TOC8"/>
        <w:rPr>
          <w:rFonts w:asciiTheme="minorHAnsi" w:eastAsiaTheme="minorEastAsia" w:hAnsiTheme="minorHAnsi" w:cstheme="minorBidi"/>
          <w:szCs w:val="22"/>
        </w:rPr>
      </w:pPr>
      <w:r>
        <w:t>31.4</w:t>
      </w:r>
      <w:r>
        <w:rPr>
          <w:snapToGrid w:val="0"/>
        </w:rPr>
        <w:tab/>
        <w:t>Penalties</w:t>
      </w:r>
      <w:r>
        <w:tab/>
      </w:r>
      <w:r>
        <w:fldChar w:fldCharType="begin"/>
      </w:r>
      <w:r>
        <w:instrText xml:space="preserve"> PAGEREF _Toc471997904 \h </w:instrText>
      </w:r>
      <w:r>
        <w:fldChar w:fldCharType="separate"/>
      </w:r>
      <w:r>
        <w:t>33</w:t>
      </w:r>
      <w:r>
        <w:fldChar w:fldCharType="end"/>
      </w:r>
    </w:p>
    <w:p>
      <w:pPr>
        <w:pStyle w:val="TOC2"/>
        <w:tabs>
          <w:tab w:val="right" w:leader="dot" w:pos="7077"/>
        </w:tabs>
        <w:rPr>
          <w:rFonts w:asciiTheme="minorHAnsi" w:eastAsiaTheme="minorEastAsia" w:hAnsiTheme="minorHAnsi" w:cstheme="minorBidi"/>
          <w:b w:val="0"/>
          <w:sz w:val="22"/>
          <w:szCs w:val="22"/>
        </w:rPr>
      </w:pPr>
      <w:r>
        <w:t>Schedule 1 — Description of South West Settlement Area</w:t>
      </w:r>
    </w:p>
    <w:p>
      <w:pPr>
        <w:pStyle w:val="TOC2"/>
        <w:tabs>
          <w:tab w:val="right" w:leader="dot" w:pos="7077"/>
        </w:tabs>
        <w:rPr>
          <w:rFonts w:asciiTheme="minorHAnsi" w:eastAsiaTheme="minorEastAsia" w:hAnsiTheme="minorHAnsi" w:cstheme="minorBidi"/>
          <w:b w:val="0"/>
          <w:sz w:val="22"/>
          <w:szCs w:val="22"/>
        </w:rPr>
      </w:pPr>
      <w:r>
        <w:t>Schedule 2 — Map of South West Settlement Area</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_Toc471997908 \h </w:instrText>
      </w:r>
      <w:r>
        <w:fldChar w:fldCharType="separate"/>
      </w:r>
      <w:r>
        <w:t>37</w:t>
      </w:r>
      <w:r>
        <w:fldChar w:fldCharType="end"/>
      </w:r>
    </w:p>
    <w:p>
      <w:pPr>
        <w:pStyle w:val="TOC8"/>
        <w:rPr>
          <w:rFonts w:asciiTheme="minorHAnsi" w:eastAsiaTheme="minorEastAsia" w:hAnsiTheme="minorHAnsi" w:cstheme="minorBidi"/>
          <w:szCs w:val="22"/>
        </w:rPr>
      </w:pPr>
      <w:r>
        <w:tab/>
        <w:t>Provisions that have not come into operation</w:t>
      </w:r>
      <w:r>
        <w:tab/>
      </w:r>
      <w:r>
        <w:fldChar w:fldCharType="begin"/>
      </w:r>
      <w:r>
        <w:instrText xml:space="preserve"> PAGEREF _Toc471997909 \h </w:instrText>
      </w:r>
      <w:r>
        <w:fldChar w:fldCharType="separate"/>
      </w:r>
      <w:r>
        <w:t>43</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0"/>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3" w:name="_Toc471997879"/>
      <w:r>
        <w:rPr>
          <w:rStyle w:val="CharPartText"/>
        </w:rPr>
        <w:t>Preliminary and definitions</w:t>
      </w:r>
      <w:bookmarkEnd w:id="3"/>
    </w:p>
    <w:p>
      <w:pPr>
        <w:pStyle w:val="Heading5"/>
        <w:spacing w:before="120"/>
        <w:rPr>
          <w:snapToGrid w:val="0"/>
        </w:rPr>
      </w:pPr>
      <w:bookmarkStart w:id="4" w:name="_Toc471997880"/>
      <w:r>
        <w:rPr>
          <w:rStyle w:val="CharSectno"/>
        </w:rPr>
        <w:t>1.0</w:t>
      </w:r>
      <w:r>
        <w:rPr>
          <w:snapToGrid w:val="0"/>
        </w:rPr>
        <w:tab/>
        <w:t>Citation</w:t>
      </w:r>
      <w:bookmarkEnd w:id="4"/>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5" w:name="_Toc471997881"/>
      <w:r>
        <w:rPr>
          <w:rStyle w:val="CharSectno"/>
        </w:rPr>
        <w:t>1.1</w:t>
      </w:r>
      <w:r>
        <w:rPr>
          <w:snapToGrid w:val="0"/>
        </w:rPr>
        <w:tab/>
        <w:t>Terms used</w:t>
      </w:r>
      <w:bookmarkEnd w:id="5"/>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tab/>
      </w:r>
      <w:r>
        <w:rPr>
          <w:rStyle w:val="CharDefText"/>
        </w:rPr>
        <w:t>Aboriginal customary purpose</w:t>
      </w:r>
      <w:r>
        <w:t xml:space="preserve"> means — </w:t>
      </w:r>
    </w:p>
    <w:p>
      <w:pPr>
        <w:pStyle w:val="Defpara"/>
      </w:pPr>
      <w:r>
        <w:tab/>
        <w:t>(a)</w:t>
      </w:r>
      <w:r>
        <w:tab/>
        <w:t>preparing or consuming food customarily eaten by Aboriginal persons; or</w:t>
      </w:r>
    </w:p>
    <w:p>
      <w:pPr>
        <w:pStyle w:val="Defpara"/>
      </w:pPr>
      <w:r>
        <w:tab/>
        <w:t>(b)</w:t>
      </w:r>
      <w:r>
        <w:tab/>
        <w:t>preparing or using medicine customarily used by Aboriginal persons; or</w:t>
      </w:r>
    </w:p>
    <w:p>
      <w:pPr>
        <w:pStyle w:val="Indenta"/>
      </w:pPr>
      <w:r>
        <w:tab/>
        <w:t>(c)</w:t>
      </w:r>
      <w:r>
        <w:tab/>
        <w:t>engaging in artistic, ceremonial or other cultural activities customarily engaged in by Aboriginal persons; or</w:t>
      </w:r>
    </w:p>
    <w:p>
      <w:pPr>
        <w:pStyle w:val="Defpara"/>
      </w:pPr>
      <w:r>
        <w:tab/>
        <w:t>(d)</w:t>
      </w:r>
      <w:r>
        <w:tab/>
        <w:t>engaging in activities incidental to a purpose stated in paragraph (a), (b) or (c);</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pPr>
      <w:r>
        <w:tab/>
      </w:r>
      <w:r>
        <w:rPr>
          <w:rStyle w:val="CharDefText"/>
        </w:rPr>
        <w:t>Corporation</w:t>
      </w:r>
      <w:r>
        <w:t xml:space="preserve"> means the Water Corporation established by the </w:t>
      </w:r>
      <w:r>
        <w:rPr>
          <w:i/>
        </w:rPr>
        <w:t>Water Corporations Act 1995</w:t>
      </w:r>
      <w:r>
        <w:t xml:space="preserve"> section 4(1);</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pPr>
      <w:r>
        <w:tab/>
      </w:r>
      <w:r>
        <w:rPr>
          <w:rStyle w:val="CharDefText"/>
        </w:rPr>
        <w:t>designated camping site</w:t>
      </w:r>
      <w:r>
        <w:t xml:space="preserve"> means an area designated under by</w:t>
      </w:r>
      <w:r>
        <w:noBreakHyphen/>
        <w:t>law 4.11.2 to be a camping site for the Noongar people;</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pPr>
      <w:r>
        <w:tab/>
      </w:r>
      <w:r>
        <w:rPr>
          <w:rStyle w:val="CharDefText"/>
        </w:rPr>
        <w:t>Noongar</w:t>
      </w:r>
      <w:r>
        <w:t xml:space="preserve"> </w:t>
      </w:r>
      <w:r>
        <w:rPr>
          <w:rStyle w:val="CharDefText"/>
        </w:rPr>
        <w:t>people</w:t>
      </w:r>
      <w:r>
        <w:t xml:space="preserve"> means the traditional owners of the lands in the South West Settlement Area;</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tab/>
      </w:r>
      <w:r>
        <w:rPr>
          <w:rStyle w:val="CharDefText"/>
        </w:rPr>
        <w:t>registered Aboriginal site</w:t>
      </w:r>
      <w:r>
        <w:t xml:space="preserve"> means a place in the register maintained under the </w:t>
      </w:r>
      <w:r>
        <w:rPr>
          <w:i/>
        </w:rPr>
        <w:t>Aboriginal Heritage Act 1972</w:t>
      </w:r>
      <w:r>
        <w:t xml:space="preserve"> section 38;</w:t>
      </w:r>
    </w:p>
    <w:p>
      <w:pPr>
        <w:pStyle w:val="Defstart"/>
      </w:pPr>
      <w:r>
        <w:tab/>
      </w:r>
      <w:r>
        <w:rPr>
          <w:rStyle w:val="CharDefText"/>
        </w:rPr>
        <w:t>South West Settlement Area</w:t>
      </w:r>
      <w:r>
        <w:t xml:space="preserve"> means the area of lands described in Schedule 1 and shown, for information purposes, on the map in Schedule 2;</w:t>
      </w:r>
    </w:p>
    <w:p>
      <w:pPr>
        <w:pStyle w:val="Defstart"/>
      </w:pPr>
      <w:r>
        <w:tab/>
      </w:r>
      <w:r>
        <w:rPr>
          <w:rStyle w:val="CharDefText"/>
        </w:rPr>
        <w:t>special provision catchment area</w:t>
      </w:r>
      <w:r>
        <w:t xml:space="preserve"> means a catchment area, or water reserve from which water can flow into an existing reservoir, within the South West Settlement Area;</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tab/>
      </w:r>
      <w:r>
        <w:rPr>
          <w:rStyle w:val="CharDefText"/>
        </w:rPr>
        <w:t>underground water</w:t>
      </w:r>
      <w:r>
        <w:t xml:space="preserve"> means all water that is below the surface of the ground, whether or not flowing or in defined channels;</w:t>
      </w:r>
    </w:p>
    <w:p>
      <w:pPr>
        <w:pStyle w:val="Defstart"/>
      </w:pPr>
      <w:r>
        <w:tab/>
      </w:r>
      <w:r>
        <w:rPr>
          <w:rStyle w:val="CharDefText"/>
        </w:rPr>
        <w:t>works</w:t>
      </w:r>
      <w:r>
        <w:t xml:space="preserve"> has the meaning given in the </w:t>
      </w:r>
      <w:r>
        <w:rPr>
          <w:i/>
        </w:rPr>
        <w:t>Water Agencies (Powers) Act 1984</w:t>
      </w:r>
      <w:r>
        <w:t xml:space="preserve"> section 3(1).</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 14 Nov 2013 p. 5053</w:t>
      </w:r>
      <w:r>
        <w:noBreakHyphen/>
        <w:t>5; 7 Jun 2016 p. 1782</w:t>
      </w:r>
      <w:r>
        <w:noBreakHyphen/>
        <w:t>3.]</w:t>
      </w:r>
    </w:p>
    <w:p>
      <w:pPr>
        <w:pStyle w:val="Ednotesection"/>
        <w:rPr>
          <w:b/>
        </w:rPr>
      </w:pPr>
      <w:r>
        <w:t>[</w:t>
      </w:r>
      <w:r>
        <w:rPr>
          <w:b/>
        </w:rPr>
        <w:t>1.2</w:t>
      </w:r>
      <w:r>
        <w:rPr>
          <w:b/>
        </w:rPr>
        <w:noBreakHyphen/>
        <w:t>1.4</w:t>
      </w:r>
      <w:r>
        <w:rPr>
          <w:b/>
        </w:rPr>
        <w:tab/>
      </w:r>
      <w:r>
        <w:t>Deleted in Gazette 28 Jun 2004 p. 2374.]</w:t>
      </w:r>
    </w:p>
    <w:p>
      <w:pPr>
        <w:pStyle w:val="Ednotesection"/>
      </w:pPr>
      <w:r>
        <w:t>[</w:t>
      </w:r>
      <w:r>
        <w:rPr>
          <w:b/>
        </w:rPr>
        <w:t>2.0</w:t>
      </w:r>
      <w:r>
        <w:tab/>
        <w:t>Deleted in Gazette 14 Nov 2013 p. 5055]</w:t>
      </w:r>
    </w:p>
    <w:p>
      <w:pPr>
        <w:pStyle w:val="Ednotesection"/>
      </w:pPr>
      <w:r>
        <w:t>[</w:t>
      </w:r>
      <w:r>
        <w:rPr>
          <w:b/>
        </w:rPr>
        <w:t>3.0</w:t>
      </w:r>
      <w:r>
        <w:tab/>
        <w:t>Deleted in Gazette 14 Nov 2013 p. 5055.]</w:t>
      </w:r>
    </w:p>
    <w:p>
      <w:pPr>
        <w:pStyle w:val="Heading2"/>
      </w:pPr>
      <w:bookmarkStart w:id="6" w:name="_Toc471997882"/>
      <w:r>
        <w:rPr>
          <w:rStyle w:val="CharPartNo"/>
        </w:rPr>
        <w:t xml:space="preserve">4.0 </w:t>
      </w:r>
      <w:r>
        <w:rPr>
          <w:rStyle w:val="CharPartText"/>
        </w:rPr>
        <w:t>Protection of catchment areas and water reserves</w:t>
      </w:r>
      <w:bookmarkEnd w:id="6"/>
    </w:p>
    <w:p>
      <w:pPr>
        <w:pStyle w:val="Heading5"/>
        <w:rPr>
          <w:snapToGrid w:val="0"/>
        </w:rPr>
      </w:pPr>
      <w:bookmarkStart w:id="7" w:name="_Toc471997883"/>
      <w:r>
        <w:rPr>
          <w:rStyle w:val="CharSectno"/>
        </w:rPr>
        <w:t>4.1</w:t>
      </w:r>
      <w:r>
        <w:rPr>
          <w:snapToGrid w:val="0"/>
        </w:rPr>
        <w:tab/>
      </w:r>
      <w:smartTag w:uri="urn:schemas-microsoft-com:office:smarttags" w:element="place">
        <w:r>
          <w:rPr>
            <w:snapToGrid w:val="0"/>
          </w:rPr>
          <w:t>Ob</w:t>
        </w:r>
      </w:smartTag>
      <w:r>
        <w:rPr>
          <w:snapToGrid w:val="0"/>
        </w:rPr>
        <w:t>ject of this Part</w:t>
      </w:r>
      <w:bookmarkEnd w:id="7"/>
    </w:p>
    <w:p>
      <w:pPr>
        <w:pStyle w:val="Subsection"/>
        <w:tabs>
          <w:tab w:val="clear" w:pos="595"/>
          <w:tab w:val="left" w:pos="5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5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r>
        <w:tab/>
        <w:t>[By</w:t>
      </w:r>
      <w:r>
        <w:noBreakHyphen/>
        <w:t>law 4.1 amended in Gazette 29 Dec 1995 p. 6321 and 6326; 21 Apr 2011 p. 1475.]</w:t>
      </w:r>
    </w:p>
    <w:p>
      <w:pPr>
        <w:pStyle w:val="Heading5"/>
        <w:rPr>
          <w:snapToGrid w:val="0"/>
        </w:rPr>
      </w:pPr>
      <w:bookmarkStart w:id="8" w:name="_Toc471997884"/>
      <w:r>
        <w:rPr>
          <w:rStyle w:val="CharSectno"/>
        </w:rPr>
        <w:t>4.2</w:t>
      </w:r>
      <w:r>
        <w:rPr>
          <w:snapToGrid w:val="0"/>
        </w:rPr>
        <w:tab/>
        <w:t>Application of this Part</w:t>
      </w:r>
      <w:bookmarkEnd w:id="8"/>
    </w:p>
    <w:p>
      <w:pPr>
        <w:pStyle w:val="Subsection"/>
        <w:tabs>
          <w:tab w:val="clear" w:pos="595"/>
          <w:tab w:val="left" w:pos="5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56"/>
        </w:tabs>
        <w:rPr>
          <w:snapToGrid w:val="0"/>
        </w:rPr>
      </w:pPr>
      <w:r>
        <w:rPr>
          <w:snapToGrid w:val="0"/>
        </w:rPr>
        <w:tab/>
        <w:t>4.2.2</w:t>
      </w:r>
      <w:r>
        <w:rPr>
          <w:snapToGrid w:val="0"/>
        </w:rPr>
        <w:tab/>
        <w:t>In this Part —</w:t>
      </w:r>
    </w:p>
    <w:p>
      <w:pPr>
        <w:pStyle w:val="Subsection"/>
        <w:tabs>
          <w:tab w:val="clear" w:pos="595"/>
          <w:tab w:val="left" w:pos="5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tabs>
          <w:tab w:val="clear" w:pos="595"/>
          <w:tab w:val="left" w:pos="5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km of the top water level of any reservoir in which water is or can be stored.</w:t>
      </w:r>
    </w:p>
    <w:p>
      <w:pPr>
        <w:pStyle w:val="Subsection"/>
        <w:tabs>
          <w:tab w:val="clear" w:pos="595"/>
          <w:tab w:val="left" w:pos="5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r>
        <w:tab/>
        <w:t>[By</w:t>
      </w:r>
      <w:r>
        <w:noBreakHyphen/>
        <w:t>law 4.2 amended in Gazette 29 Dec 1995 p. 6321.]</w:t>
      </w:r>
    </w:p>
    <w:p>
      <w:pPr>
        <w:pStyle w:val="Heading5"/>
        <w:rPr>
          <w:snapToGrid w:val="0"/>
        </w:rPr>
      </w:pPr>
      <w:bookmarkStart w:id="9" w:name="_Toc471997885"/>
      <w:r>
        <w:rPr>
          <w:rStyle w:val="CharSectno"/>
        </w:rPr>
        <w:t>4.3</w:t>
      </w:r>
      <w:r>
        <w:rPr>
          <w:snapToGrid w:val="0"/>
        </w:rPr>
        <w:tab/>
        <w:t>Catchment areas etc., protection of</w:t>
      </w:r>
      <w:bookmarkEnd w:id="9"/>
    </w:p>
    <w:p>
      <w:pPr>
        <w:pStyle w:val="Subsection"/>
        <w:tabs>
          <w:tab w:val="clear" w:pos="595"/>
          <w:tab w:val="left" w:pos="5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5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5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56"/>
        </w:tabs>
        <w:rPr>
          <w:snapToGrid w:val="0"/>
        </w:rPr>
      </w:pPr>
      <w:r>
        <w:rPr>
          <w:snapToGrid w:val="0"/>
        </w:rPr>
        <w:tab/>
        <w:t>4.3.4</w:t>
      </w:r>
      <w:r>
        <w:rPr>
          <w:snapToGrid w:val="0"/>
        </w:rPr>
        <w:tab/>
      </w:r>
      <w:r>
        <w:t>Subject to by</w:t>
      </w:r>
      <w:r>
        <w:noBreakHyphen/>
        <w:t xml:space="preserve">laws 4.11.5, 4.12.2 and 4.12.3, no </w:t>
      </w:r>
      <w:r>
        <w:rPr>
          <w:snapToGrid w:val="0"/>
        </w:rPr>
        <w:t xml:space="preserve">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56"/>
        </w:tabs>
        <w:rPr>
          <w:snapToGrid w:val="0"/>
        </w:rPr>
      </w:pPr>
      <w:r>
        <w:rPr>
          <w:snapToGrid w:val="0"/>
        </w:rPr>
        <w:tab/>
        <w:t>4.3.5</w:t>
      </w:r>
      <w:r>
        <w:rPr>
          <w:snapToGrid w:val="0"/>
        </w:rPr>
        <w:tab/>
        <w:t>Subject to by</w:t>
      </w:r>
      <w:r>
        <w:rPr>
          <w:snapToGrid w:val="0"/>
        </w:rPr>
        <w:noBreakHyphen/>
        <w:t xml:space="preserve">law 4.13 — </w:t>
      </w:r>
    </w:p>
    <w:p>
      <w:pPr>
        <w:pStyle w:val="Indenta"/>
        <w:rPr>
          <w:snapToGrid w:val="0"/>
        </w:rPr>
      </w:pPr>
      <w:r>
        <w:rPr>
          <w:snapToGrid w:val="0"/>
        </w:rPr>
        <w:tab/>
        <w:t>(a)</w:t>
      </w:r>
      <w:r>
        <w:rPr>
          <w:snapToGrid w:val="0"/>
        </w:rPr>
        <w:tab/>
        <w:t xml:space="preserve">no person is to light a fire on Crown land in a prohibited zone on a catchment area except in the fire places provided at authorised picnic sites unless with the written approval of the </w:t>
      </w:r>
      <w:r>
        <w:t>CEO</w:t>
      </w:r>
      <w:r>
        <w:rPr>
          <w:snapToGrid w:val="0"/>
        </w:rPr>
        <w:t>; and</w:t>
      </w:r>
    </w:p>
    <w:p>
      <w:pPr>
        <w:pStyle w:val="Indenta"/>
        <w:rPr>
          <w:snapToGrid w:val="0"/>
        </w:rPr>
      </w:pPr>
      <w:r>
        <w:rPr>
          <w:snapToGrid w:val="0"/>
        </w:rPr>
        <w:tab/>
        <w:t>(b)</w:t>
      </w:r>
      <w:r>
        <w:rPr>
          <w:snapToGrid w:val="0"/>
        </w:rPr>
        <w:tab/>
        <w:t xml:space="preserve">any person lighting fires at other places on a catchment area must comply with all requirements of the </w:t>
      </w:r>
      <w:r>
        <w:rPr>
          <w:i/>
          <w:snapToGrid w:val="0"/>
        </w:rPr>
        <w:t>Bush Fires Act 1954</w:t>
      </w:r>
      <w:r>
        <w:rPr>
          <w:snapToGrid w:val="0"/>
        </w:rPr>
        <w:t xml:space="preserve"> or restrictions promulgated under that Act.</w:t>
      </w:r>
    </w:p>
    <w:p>
      <w:pPr>
        <w:pStyle w:val="Subsection"/>
        <w:tabs>
          <w:tab w:val="clear" w:pos="595"/>
          <w:tab w:val="left" w:pos="56"/>
        </w:tabs>
        <w:rPr>
          <w:snapToGrid w:val="0"/>
        </w:rPr>
      </w:pPr>
      <w:r>
        <w:rPr>
          <w:snapToGrid w:val="0"/>
        </w:rPr>
        <w:tab/>
        <w:t>4.3.6</w:t>
      </w:r>
      <w:r>
        <w:rPr>
          <w:snapToGrid w:val="0"/>
        </w:rPr>
        <w:tab/>
      </w:r>
      <w:r>
        <w:t>Subject to by</w:t>
      </w:r>
      <w:r>
        <w:noBreakHyphen/>
        <w:t xml:space="preserve">law 4.14, no </w:t>
      </w:r>
      <w:r>
        <w:rPr>
          <w:snapToGrid w:val="0"/>
        </w:rPr>
        <w:t>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5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in Gazette 29 Dec 1995 p. 6321 and 6325; 21 Apr 2011 p. 1475 and 1482; 7 Jun 2016 p. 1783.]</w:t>
      </w:r>
    </w:p>
    <w:p>
      <w:pPr>
        <w:pStyle w:val="Heading5"/>
        <w:spacing w:before="200"/>
        <w:rPr>
          <w:snapToGrid w:val="0"/>
        </w:rPr>
      </w:pPr>
      <w:bookmarkStart w:id="10" w:name="_Toc471997886"/>
      <w:r>
        <w:rPr>
          <w:rStyle w:val="CharSectno"/>
        </w:rPr>
        <w:t>4.4</w:t>
      </w:r>
      <w:r>
        <w:rPr>
          <w:snapToGrid w:val="0"/>
        </w:rPr>
        <w:tab/>
        <w:t>Sewage, liquid waste and solid refuse</w:t>
      </w:r>
      <w:bookmarkEnd w:id="10"/>
    </w:p>
    <w:p>
      <w:pPr>
        <w:pStyle w:val="Subsection"/>
        <w:tabs>
          <w:tab w:val="clear" w:pos="595"/>
          <w:tab w:val="left" w:pos="5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56"/>
        </w:tabs>
        <w:rPr>
          <w:snapToGrid w:val="0"/>
        </w:rPr>
      </w:pPr>
      <w:r>
        <w:rPr>
          <w:snapToGrid w:val="0"/>
        </w:rPr>
        <w:tab/>
        <w:t>4.4.2</w:t>
      </w:r>
      <w:r>
        <w:rPr>
          <w:snapToGrid w:val="0"/>
        </w:rPr>
        <w:tab/>
        <w:t>Disposal of domestic sewage on catchment areas and water reserves.</w:t>
      </w:r>
    </w:p>
    <w:p>
      <w:pPr>
        <w:pStyle w:val="Subsection"/>
        <w:tabs>
          <w:tab w:val="clear" w:pos="595"/>
          <w:tab w:val="left" w:pos="5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56"/>
        </w:tabs>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5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5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r>
        <w:tab/>
        <w:t>[By</w:t>
      </w:r>
      <w:r>
        <w:noBreakHyphen/>
        <w:t>law 4.4 amended in Gazette 24 Dec 1982 p. 4926; 29 Dec 1995 p. 6325; 26 Jun 1998 p. 3420; 21 Apr 2011 p. 1475 and 1482.]</w:t>
      </w:r>
    </w:p>
    <w:p>
      <w:pPr>
        <w:pStyle w:val="Heading5"/>
        <w:rPr>
          <w:snapToGrid w:val="0"/>
        </w:rPr>
      </w:pPr>
      <w:bookmarkStart w:id="11" w:name="_Toc471997887"/>
      <w:r>
        <w:rPr>
          <w:rStyle w:val="CharSectno"/>
        </w:rPr>
        <w:t>4.5</w:t>
      </w:r>
      <w:r>
        <w:rPr>
          <w:snapToGrid w:val="0"/>
        </w:rPr>
        <w:tab/>
        <w:t>Animals and birds</w:t>
      </w:r>
      <w:bookmarkEnd w:id="11"/>
    </w:p>
    <w:p>
      <w:pPr>
        <w:pStyle w:val="Subsection"/>
        <w:tabs>
          <w:tab w:val="clear" w:pos="595"/>
          <w:tab w:val="left" w:pos="5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56"/>
        </w:tabs>
        <w:rPr>
          <w:snapToGrid w:val="0"/>
        </w:rPr>
      </w:pPr>
      <w:r>
        <w:rPr>
          <w:snapToGrid w:val="0"/>
        </w:rPr>
        <w:tab/>
        <w:t>4.5.2</w:t>
      </w:r>
      <w:r>
        <w:rPr>
          <w:snapToGrid w:val="0"/>
        </w:rPr>
        <w:tab/>
        <w:t>The occupier or owner of any land within a catchment area shall not raise or graze livestock without approval of the CEO.</w:t>
      </w:r>
    </w:p>
    <w:p>
      <w:pPr>
        <w:pStyle w:val="Subsection"/>
        <w:tabs>
          <w:tab w:val="clear" w:pos="595"/>
          <w:tab w:val="left" w:pos="56"/>
        </w:tabs>
        <w:rPr>
          <w:snapToGrid w:val="0"/>
        </w:rPr>
      </w:pPr>
      <w:r>
        <w:rPr>
          <w:snapToGrid w:val="0"/>
        </w:rPr>
        <w:tab/>
        <w:t>4.5.3</w:t>
      </w:r>
      <w:r>
        <w:rPr>
          <w:snapToGrid w:val="0"/>
        </w:rPr>
        <w:tab/>
        <w:t>No person shall ride a horse or any other animal on any of the Minister’s catchment areas (except along public roads) without the written permission of the CEO.</w:t>
      </w:r>
    </w:p>
    <w:p>
      <w:pPr>
        <w:pStyle w:val="Subsection"/>
        <w:tabs>
          <w:tab w:val="clear" w:pos="595"/>
          <w:tab w:val="left" w:pos="5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tabs>
          <w:tab w:val="clear" w:pos="595"/>
          <w:tab w:val="left" w:pos="56"/>
        </w:tabs>
        <w:rPr>
          <w:snapToGrid w:val="0"/>
        </w:rPr>
      </w:pPr>
      <w:r>
        <w:rPr>
          <w:snapToGrid w:val="0"/>
        </w:rPr>
        <w:tab/>
      </w:r>
      <w:r>
        <w:rPr>
          <w:snapToGrid w:val="0"/>
        </w:rPr>
        <w:tab/>
        <w:t>by any officer or person authorised by the CEO without incurring any liability on the part of the State to recompense the owner for the loss.</w:t>
      </w:r>
    </w:p>
    <w:p>
      <w:pPr>
        <w:pStyle w:val="Subsection"/>
        <w:tabs>
          <w:tab w:val="clear" w:pos="595"/>
          <w:tab w:val="left" w:pos="56"/>
        </w:tabs>
        <w:rPr>
          <w:snapToGrid w:val="0"/>
        </w:rPr>
      </w:pPr>
      <w:r>
        <w:rPr>
          <w:snapToGrid w:val="0"/>
        </w:rPr>
        <w:tab/>
        <w:t>4.5.5</w:t>
      </w:r>
      <w:r>
        <w:rPr>
          <w:snapToGrid w:val="0"/>
        </w:rPr>
        <w:tab/>
      </w:r>
      <w:r>
        <w:t>Subject to by</w:t>
      </w:r>
      <w:r>
        <w:noBreakHyphen/>
        <w:t xml:space="preserve">laws 4.12.2 and 4.12.3, no </w:t>
      </w:r>
      <w:r>
        <w:rPr>
          <w:snapToGrid w:val="0"/>
        </w:rPr>
        <w:t xml:space="preserve">person shall slaughter any animal or bird in a catchment area without the permission of the </w:t>
      </w:r>
      <w:r>
        <w:t>CEO</w:t>
      </w:r>
      <w:r>
        <w:rPr>
          <w:snapToGrid w:val="0"/>
        </w:rPr>
        <w:t>.</w:t>
      </w:r>
    </w:p>
    <w:p>
      <w:pPr>
        <w:pStyle w:val="Subsection"/>
        <w:tabs>
          <w:tab w:val="clear" w:pos="595"/>
          <w:tab w:val="left" w:pos="5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r>
        <w:tab/>
        <w:t>[By</w:t>
      </w:r>
      <w:r>
        <w:noBreakHyphen/>
        <w:t>law 4.5 amended in Gazette 29 Dec 1995 p. 6325-6; 21 Apr 2011 p. 1476 and 1482; 7 Jun 2016 p. 1783.]</w:t>
      </w:r>
    </w:p>
    <w:p>
      <w:pPr>
        <w:pStyle w:val="Heading5"/>
        <w:rPr>
          <w:snapToGrid w:val="0"/>
        </w:rPr>
      </w:pPr>
      <w:bookmarkStart w:id="12" w:name="_Toc471997888"/>
      <w:r>
        <w:rPr>
          <w:rStyle w:val="CharSectno"/>
        </w:rPr>
        <w:t>4.6</w:t>
      </w:r>
      <w:r>
        <w:rPr>
          <w:snapToGrid w:val="0"/>
        </w:rPr>
        <w:tab/>
        <w:t>Manure, fertilizers, chemicals, petrol etc.</w:t>
      </w:r>
      <w:bookmarkEnd w:id="12"/>
    </w:p>
    <w:p>
      <w:pPr>
        <w:pStyle w:val="Subsection"/>
        <w:tabs>
          <w:tab w:val="clear" w:pos="595"/>
          <w:tab w:val="left" w:pos="5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5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5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5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56"/>
        </w:tabs>
        <w:rPr>
          <w:snapToGrid w:val="0"/>
        </w:rPr>
      </w:pPr>
      <w:r>
        <w:rPr>
          <w:snapToGrid w:val="0"/>
        </w:rPr>
        <w:tab/>
        <w:t>4.6.5</w:t>
      </w:r>
      <w:r>
        <w:rPr>
          <w:snapToGrid w:val="0"/>
        </w:rPr>
        <w:tab/>
        <w:t>Storage of Petroleum Products on Catchment Areas and Water Reserves</w:t>
      </w:r>
    </w:p>
    <w:p>
      <w:pPr>
        <w:pStyle w:val="Subsection"/>
        <w:keepNext/>
      </w:pPr>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4.6 amended in Gazette 29 Dec 1995 p. 6321 and 6325; 18 Mar 2011 p. 928; 21 Apr 2011 p. 1476-7.]</w:t>
      </w:r>
    </w:p>
    <w:p>
      <w:pPr>
        <w:pStyle w:val="Heading5"/>
        <w:rPr>
          <w:snapToGrid w:val="0"/>
        </w:rPr>
      </w:pPr>
      <w:bookmarkStart w:id="13" w:name="_Toc471997889"/>
      <w:r>
        <w:rPr>
          <w:rStyle w:val="CharSectno"/>
        </w:rPr>
        <w:t>4.7</w:t>
      </w:r>
      <w:r>
        <w:rPr>
          <w:snapToGrid w:val="0"/>
        </w:rPr>
        <w:tab/>
        <w:t>Clearing, road construction, vehicles etc.</w:t>
      </w:r>
      <w:bookmarkEnd w:id="13"/>
    </w:p>
    <w:p>
      <w:pPr>
        <w:pStyle w:val="Subsection"/>
        <w:tabs>
          <w:tab w:val="clear" w:pos="595"/>
          <w:tab w:val="left" w:pos="5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5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5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in Gazette 29 Dec 1995 p. 6325 and 6326; 21 Apr 2011 p. 1477-8.]</w:t>
      </w:r>
    </w:p>
    <w:p>
      <w:pPr>
        <w:pStyle w:val="Heading5"/>
        <w:rPr>
          <w:snapToGrid w:val="0"/>
        </w:rPr>
      </w:pPr>
      <w:bookmarkStart w:id="14" w:name="_Toc471997890"/>
      <w:r>
        <w:rPr>
          <w:rStyle w:val="CharSectno"/>
        </w:rPr>
        <w:t>4.8</w:t>
      </w:r>
      <w:r>
        <w:rPr>
          <w:snapToGrid w:val="0"/>
        </w:rPr>
        <w:tab/>
        <w:t>Development, mining, offensive trades etc.</w:t>
      </w:r>
      <w:bookmarkEnd w:id="14"/>
    </w:p>
    <w:p>
      <w:pPr>
        <w:pStyle w:val="Subsection"/>
        <w:tabs>
          <w:tab w:val="clear" w:pos="595"/>
          <w:tab w:val="left" w:pos="5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tabs>
          <w:tab w:val="clear" w:pos="595"/>
          <w:tab w:val="left" w:pos="5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iCs/>
        </w:rPr>
        <w:t>Health Act 1911</w:t>
      </w:r>
      <w:r>
        <w:rPr>
          <w:snapToGrid w:val="0"/>
          <w:spacing w:val="-4"/>
        </w:rPr>
        <w:t xml:space="preserve"> on a catchment area or water reserve </w:t>
      </w:r>
      <w:r>
        <w:t>without the written approval of the CEO.</w:t>
      </w:r>
    </w:p>
    <w:p>
      <w:pPr>
        <w:pStyle w:val="Subsection"/>
        <w:tabs>
          <w:tab w:val="clear" w:pos="595"/>
          <w:tab w:val="left" w:pos="5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5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iCs/>
        </w:rPr>
        <w:t>Health Act 1911</w:t>
      </w:r>
      <w:r>
        <w:rPr>
          <w:snapToGrid w:val="0"/>
        </w:rPr>
        <w:t xml:space="preserve"> or the relevant regulations made under that Act.</w:t>
      </w:r>
    </w:p>
    <w:p>
      <w:pPr>
        <w:pStyle w:val="Footnotesection"/>
      </w:pPr>
      <w:r>
        <w:tab/>
        <w:t>[By</w:t>
      </w:r>
      <w:r>
        <w:noBreakHyphen/>
        <w:t>law 4.8 amended in Gazette 29 Dec 1995 p. 6325</w:t>
      </w:r>
      <w:r>
        <w:noBreakHyphen/>
        <w:t>6; 21 Apr 2011 p. 1478.]</w:t>
      </w:r>
    </w:p>
    <w:p>
      <w:pPr>
        <w:pStyle w:val="Heading5"/>
        <w:rPr>
          <w:snapToGrid w:val="0"/>
        </w:rPr>
      </w:pPr>
      <w:bookmarkStart w:id="15" w:name="_Toc471997891"/>
      <w:r>
        <w:rPr>
          <w:rStyle w:val="CharSectno"/>
        </w:rPr>
        <w:t>4.9</w:t>
      </w:r>
      <w:r>
        <w:rPr>
          <w:snapToGrid w:val="0"/>
        </w:rPr>
        <w:tab/>
        <w:t>Remedying damage etc., CEO’s powers for</w:t>
      </w:r>
      <w:bookmarkEnd w:id="15"/>
    </w:p>
    <w:p>
      <w:pPr>
        <w:pStyle w:val="Subsection"/>
        <w:tabs>
          <w:tab w:val="clear" w:pos="595"/>
          <w:tab w:val="left" w:pos="56"/>
        </w:tabs>
        <w:rPr>
          <w:snapToGrid w:val="0"/>
        </w:rPr>
      </w:pPr>
      <w:r>
        <w:rPr>
          <w:snapToGrid w:val="0"/>
        </w:rPr>
        <w:tab/>
        <w:t>4.9.1</w:t>
      </w:r>
      <w:r>
        <w:rPr>
          <w:snapToGrid w:val="0"/>
        </w:rPr>
        <w:tab/>
        <w:t>If any person commits an offence under Part 4, the CEO,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56"/>
        </w:tabs>
        <w:rPr>
          <w:snapToGrid w:val="0"/>
        </w:rPr>
      </w:pPr>
      <w:r>
        <w:rPr>
          <w:snapToGrid w:val="0"/>
        </w:rPr>
        <w:tab/>
        <w:t>4.9.2</w:t>
      </w:r>
      <w:r>
        <w:rPr>
          <w:snapToGrid w:val="0"/>
        </w:rPr>
        <w:tab/>
        <w:t>A person who fails to comply with a notice served on that person under this by</w:t>
      </w:r>
      <w:r>
        <w:rPr>
          <w:snapToGrid w:val="0"/>
        </w:rPr>
        <w:noBreakHyphen/>
        <w:t>law commits an offence.</w:t>
      </w:r>
    </w:p>
    <w:p>
      <w:pPr>
        <w:pStyle w:val="Footnotesection"/>
      </w:pPr>
      <w:r>
        <w:tab/>
        <w:t>[By</w:t>
      </w:r>
      <w:r>
        <w:noBreakHyphen/>
        <w:t>law 4.9 amended in Gazette 29 Dec 1995 p. 6325</w:t>
      </w:r>
      <w:r>
        <w:noBreakHyphen/>
        <w:t>6; 21 Apr 2011 p. 1478-9.]</w:t>
      </w:r>
    </w:p>
    <w:p>
      <w:pPr>
        <w:pStyle w:val="Heading5"/>
        <w:rPr>
          <w:snapToGrid w:val="0"/>
        </w:rPr>
      </w:pPr>
      <w:bookmarkStart w:id="16" w:name="_Toc471997892"/>
      <w:r>
        <w:rPr>
          <w:rStyle w:val="CharSectno"/>
        </w:rPr>
        <w:t>4.10</w:t>
      </w:r>
      <w:r>
        <w:rPr>
          <w:snapToGrid w:val="0"/>
        </w:rPr>
        <w:tab/>
        <w:t>Signs; rangers’ powers</w:t>
      </w:r>
      <w:bookmarkEnd w:id="16"/>
    </w:p>
    <w:p>
      <w:pPr>
        <w:pStyle w:val="Subsection"/>
        <w:tabs>
          <w:tab w:val="clear" w:pos="595"/>
          <w:tab w:val="left" w:pos="5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5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tabs>
          <w:tab w:val="clear" w:pos="595"/>
          <w:tab w:val="left" w:pos="5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in Gazette 29 Dec 1995 p. 6321 and 6325-6; 21 Apr 2011 p. 1482.]</w:t>
      </w:r>
    </w:p>
    <w:p>
      <w:pPr>
        <w:pStyle w:val="Heading5"/>
      </w:pPr>
      <w:bookmarkStart w:id="17" w:name="_Toc471997893"/>
      <w:r>
        <w:rPr>
          <w:rStyle w:val="CharSectno"/>
        </w:rPr>
        <w:t>4.11</w:t>
      </w:r>
      <w:r>
        <w:tab/>
        <w:t>Designated camping sites for Noongar people</w:t>
      </w:r>
      <w:bookmarkEnd w:id="17"/>
      <w:r>
        <w:t xml:space="preserve"> </w:t>
      </w:r>
    </w:p>
    <w:p>
      <w:pPr>
        <w:pStyle w:val="Subsection"/>
      </w:pPr>
      <w:r>
        <w:tab/>
        <w:t>4.11.1</w:t>
      </w:r>
      <w:r>
        <w:tab/>
        <w:t>In this by</w:t>
      </w:r>
      <w:r>
        <w:noBreakHyphen/>
        <w:t xml:space="preserve">law — </w:t>
      </w:r>
    </w:p>
    <w:p>
      <w:pPr>
        <w:pStyle w:val="Defstart"/>
      </w:pPr>
      <w:r>
        <w:tab/>
      </w:r>
      <w:r>
        <w:rPr>
          <w:rStyle w:val="CharDefText"/>
        </w:rPr>
        <w:t>CALM Act land</w:t>
      </w:r>
      <w:r>
        <w:t xml:space="preserve"> means land to which the </w:t>
      </w:r>
      <w:r>
        <w:rPr>
          <w:i/>
        </w:rPr>
        <w:t>Conservation and Land Management Act 1984</w:t>
      </w:r>
      <w:r>
        <w:t xml:space="preserve"> applies under section 5 of that Act;</w:t>
      </w:r>
    </w:p>
    <w:p>
      <w:pPr>
        <w:pStyle w:val="Defstart"/>
      </w:pPr>
      <w:r>
        <w:tab/>
      </w:r>
      <w:r>
        <w:rPr>
          <w:rStyle w:val="CharDefText"/>
        </w:rPr>
        <w:t>CALM Act Minister</w:t>
      </w:r>
      <w:r>
        <w:t xml:space="preserve"> means the Minister to whom the administration of the </w:t>
      </w:r>
      <w:r>
        <w:rPr>
          <w:i/>
        </w:rPr>
        <w:t>Conservation and Land Management Act 1984</w:t>
      </w:r>
      <w:r>
        <w:t xml:space="preserve"> is for the time being committed by the Governor;</w:t>
      </w:r>
    </w:p>
    <w:p>
      <w:pPr>
        <w:pStyle w:val="Defstart"/>
        <w:rPr>
          <w:snapToGrid/>
        </w:rPr>
      </w:pPr>
      <w:r>
        <w:rPr>
          <w:snapToGrid/>
        </w:rPr>
        <w:tab/>
      </w:r>
      <w:r>
        <w:rPr>
          <w:rStyle w:val="CharDefText"/>
        </w:rPr>
        <w:t>wellhead protection zone</w:t>
      </w:r>
      <w:r>
        <w:rPr>
          <w:snapToGrid/>
        </w:rPr>
        <w:t xml:space="preserve"> — </w:t>
      </w:r>
    </w:p>
    <w:p>
      <w:pPr>
        <w:pStyle w:val="Defpara"/>
      </w:pPr>
      <w:r>
        <w:tab/>
        <w:t>(a)</w:t>
      </w:r>
      <w:r>
        <w:tab/>
        <w:t>within a pollution area — has the meaning given in by</w:t>
      </w:r>
      <w:r>
        <w:noBreakHyphen/>
        <w:t>law 5.6.1; and</w:t>
      </w:r>
    </w:p>
    <w:p>
      <w:pPr>
        <w:pStyle w:val="Defpara"/>
      </w:pPr>
      <w:r>
        <w:tab/>
        <w:t>(b)</w:t>
      </w:r>
      <w:r>
        <w:tab/>
        <w:t>within a water reserve — means an area identified as a wellhead protection zone in the drinking water source protection plan for the water reserve published on the Department’s website.</w:t>
      </w:r>
    </w:p>
    <w:p>
      <w:pPr>
        <w:pStyle w:val="Subsection"/>
      </w:pPr>
      <w:r>
        <w:t>4.11.2</w:t>
      </w:r>
      <w:r>
        <w:tab/>
        <w:t>Subject to by</w:t>
      </w:r>
      <w:r>
        <w:noBreakHyphen/>
        <w:t xml:space="preserve">law 4.11.3, the Minister may, by notice published in the </w:t>
      </w:r>
      <w:r>
        <w:rPr>
          <w:i/>
        </w:rPr>
        <w:t>Gazette</w:t>
      </w:r>
      <w:r>
        <w:t>, designate all or part of a special provision catchment area to be a camping site for the Noongar people.</w:t>
      </w:r>
    </w:p>
    <w:p>
      <w:pPr>
        <w:pStyle w:val="Subsection"/>
      </w:pPr>
      <w:r>
        <w:t>4.11.3</w:t>
      </w:r>
      <w:r>
        <w:tab/>
        <w:t xml:space="preserve">The Minister must not — </w:t>
      </w:r>
    </w:p>
    <w:p>
      <w:pPr>
        <w:pStyle w:val="Indenta"/>
      </w:pPr>
      <w:r>
        <w:tab/>
        <w:t>(a)</w:t>
      </w:r>
      <w:r>
        <w:tab/>
        <w:t>designate CALM Act land to be a camping site under this by</w:t>
      </w:r>
      <w:r>
        <w:noBreakHyphen/>
        <w:t>law without the written consent of the CALM Act Minister; or</w:t>
      </w:r>
    </w:p>
    <w:p>
      <w:pPr>
        <w:pStyle w:val="Indenta"/>
      </w:pPr>
      <w:r>
        <w:tab/>
        <w:t>(b)</w:t>
      </w:r>
      <w:r>
        <w:tab/>
        <w:t>designate a prohibited zone to be a camping site under this by</w:t>
      </w:r>
      <w:r>
        <w:noBreakHyphen/>
        <w:t>law; or</w:t>
      </w:r>
    </w:p>
    <w:p>
      <w:pPr>
        <w:pStyle w:val="Indenta"/>
      </w:pPr>
      <w:r>
        <w:tab/>
        <w:t>(c)</w:t>
      </w:r>
      <w:r>
        <w:tab/>
        <w:t>designate a wellhead protection zone within a pollution area or within a water reserve to be a camping site under this by</w:t>
      </w:r>
      <w:r>
        <w:noBreakHyphen/>
        <w:t>law.</w:t>
      </w:r>
    </w:p>
    <w:p>
      <w:pPr>
        <w:pStyle w:val="Subsection"/>
      </w:pPr>
      <w:r>
        <w:tab/>
        <w:t>4.11.4</w:t>
      </w:r>
      <w:r>
        <w:tab/>
        <w:t>The CEO must ensure that sufficient signs are erected and maintained in the vicinity of a designated camping site indicating that the area is a designated camping site for the Noongar people.</w:t>
      </w:r>
    </w:p>
    <w:p>
      <w:pPr>
        <w:pStyle w:val="Subsection"/>
      </w:pPr>
      <w:r>
        <w:t xml:space="preserve">4.11.5 </w:t>
      </w:r>
      <w:r>
        <w:tab/>
        <w:t>A person does not breach by</w:t>
      </w:r>
      <w:r>
        <w:noBreakHyphen/>
        <w:t xml:space="preserve">law 4.3.4 by camping in a special provision catchment area if the person — </w:t>
      </w:r>
    </w:p>
    <w:p>
      <w:pPr>
        <w:pStyle w:val="Indenta"/>
      </w:pPr>
      <w:r>
        <w:tab/>
        <w:t>(a)</w:t>
      </w:r>
      <w:r>
        <w:tab/>
        <w:t>is a member of the Noongar people; and</w:t>
      </w:r>
    </w:p>
    <w:p>
      <w:pPr>
        <w:pStyle w:val="Indenta"/>
      </w:pPr>
      <w:r>
        <w:tab/>
        <w:t>(b)</w:t>
      </w:r>
      <w:r>
        <w:tab/>
        <w:t>camps in a designated camping site.</w:t>
      </w:r>
    </w:p>
    <w:p>
      <w:pPr>
        <w:pStyle w:val="Footnotesection"/>
      </w:pPr>
      <w:r>
        <w:tab/>
        <w:t>[By</w:t>
      </w:r>
      <w:r>
        <w:noBreakHyphen/>
        <w:t>law 4.11 inserted in Gazette 7 Jun 2016 p. 1783</w:t>
      </w:r>
      <w:r>
        <w:noBreakHyphen/>
        <w:t>4.]</w:t>
      </w:r>
    </w:p>
    <w:p>
      <w:pPr>
        <w:pStyle w:val="Heading5"/>
      </w:pPr>
      <w:bookmarkStart w:id="18" w:name="_Toc471997894"/>
      <w:r>
        <w:rPr>
          <w:rStyle w:val="CharSectno"/>
        </w:rPr>
        <w:t>4.12</w:t>
      </w:r>
      <w:r>
        <w:tab/>
        <w:t>Customary hunting by Noongar people</w:t>
      </w:r>
      <w:bookmarkEnd w:id="18"/>
    </w:p>
    <w:p>
      <w:pPr>
        <w:pStyle w:val="Subsection"/>
      </w:pPr>
      <w:r>
        <w:tab/>
        <w:t>4.12.1</w:t>
      </w:r>
      <w:r>
        <w:tab/>
        <w:t>In this by</w:t>
      </w:r>
      <w:r>
        <w:noBreakHyphen/>
        <w:t xml:space="preserve">law — </w:t>
      </w:r>
    </w:p>
    <w:p>
      <w:pPr>
        <w:pStyle w:val="Defstart"/>
      </w:pPr>
      <w:r>
        <w:tab/>
      </w:r>
      <w:r>
        <w:rPr>
          <w:rStyle w:val="CharDefText"/>
        </w:rPr>
        <w:t>hand</w:t>
      </w:r>
      <w:r>
        <w:rPr>
          <w:rStyle w:val="CharDefText"/>
        </w:rPr>
        <w:noBreakHyphen/>
        <w:t>held tool</w:t>
      </w:r>
      <w:r>
        <w:t xml:space="preserve"> does not include — </w:t>
      </w:r>
    </w:p>
    <w:p>
      <w:pPr>
        <w:pStyle w:val="Defpara"/>
      </w:pPr>
      <w:r>
        <w:tab/>
        <w:t>(a)</w:t>
      </w:r>
      <w:r>
        <w:tab/>
        <w:t>a firearm or any other device from which an object is discharged; or</w:t>
      </w:r>
    </w:p>
    <w:p>
      <w:pPr>
        <w:pStyle w:val="Indenta"/>
      </w:pPr>
      <w:r>
        <w:tab/>
        <w:t>(b)</w:t>
      </w:r>
      <w:r>
        <w:tab/>
        <w:t>a spear, boomerang or any other thing that is propelled from the hand;</w:t>
      </w:r>
    </w:p>
    <w:p>
      <w:pPr>
        <w:pStyle w:val="Defstart"/>
      </w:pPr>
      <w:r>
        <w:tab/>
      </w:r>
      <w:r>
        <w:rPr>
          <w:rStyle w:val="CharDefText"/>
        </w:rPr>
        <w:t>take</w:t>
      </w:r>
      <w:r>
        <w:t xml:space="preserve"> means trap, hunt or slaughter.</w:t>
      </w:r>
    </w:p>
    <w:p>
      <w:pPr>
        <w:pStyle w:val="Subsection"/>
      </w:pPr>
      <w:r>
        <w:t>4.12.2</w:t>
      </w:r>
      <w:r>
        <w:tab/>
        <w:t>A person does not breach by</w:t>
      </w:r>
      <w:r>
        <w:noBreakHyphen/>
        <w:t xml:space="preserve">law 4.3.4 or 4.5.5 by taking an invertebrate or egg, as the case may be, in a prohibited zone in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does so only by hand or with a hand</w:t>
      </w:r>
      <w:r>
        <w:noBreakHyphen/>
        <w:t>held tool; and</w:t>
      </w:r>
    </w:p>
    <w:p>
      <w:pPr>
        <w:pStyle w:val="Indenta"/>
      </w:pPr>
      <w:r>
        <w:tab/>
        <w:t>(e)</w:t>
      </w:r>
      <w:r>
        <w:tab/>
        <w:t>in doing so does not enter into or upon a stream, reservoir or watercourse; and</w:t>
      </w:r>
    </w:p>
    <w:p>
      <w:pPr>
        <w:pStyle w:val="Indenta"/>
      </w:pPr>
      <w:r>
        <w:tab/>
        <w:t>(f)</w:t>
      </w:r>
      <w:r>
        <w:tab/>
        <w:t>in doing so does not allow a hand</w:t>
      </w:r>
      <w:r>
        <w:noBreakHyphen/>
        <w:t>held tool to enter into a stream, reservoir or watercourse; and</w:t>
      </w:r>
    </w:p>
    <w:p>
      <w:pPr>
        <w:pStyle w:val="Indenta"/>
      </w:pPr>
      <w:r>
        <w:tab/>
        <w:t xml:space="preserve">(g) </w:t>
      </w:r>
      <w:r>
        <w:tab/>
        <w:t>does not sell the invertebrate or egg.</w:t>
      </w:r>
    </w:p>
    <w:p>
      <w:pPr>
        <w:pStyle w:val="Subsection"/>
      </w:pPr>
      <w:r>
        <w:t>4.12.3</w:t>
      </w:r>
      <w:r>
        <w:tab/>
        <w:t>A person does not breach by</w:t>
      </w:r>
      <w:r>
        <w:noBreakHyphen/>
        <w:t>law 4.3.4 or 4.5.5 by taking an invertebrate or egg, as the case may be, in a special provision catchment area, other than in a prohibited zone in that area, if the person —</w:t>
      </w:r>
    </w:p>
    <w:p>
      <w:pPr>
        <w:pStyle w:val="Indenta"/>
      </w:pPr>
      <w:r>
        <w:tab/>
        <w:t>(a)</w:t>
      </w:r>
      <w:r>
        <w:tab/>
        <w:t>is a member of the Noongar people; and</w:t>
      </w:r>
    </w:p>
    <w:p>
      <w:pPr>
        <w:pStyle w:val="Indenta"/>
      </w:pPr>
      <w:r>
        <w:tab/>
        <w:t>(b)</w:t>
      </w:r>
      <w:r>
        <w:tab/>
        <w:t>does so for an Aboriginal customary purpose; and</w:t>
      </w:r>
    </w:p>
    <w:p>
      <w:pPr>
        <w:pStyle w:val="Indenta"/>
      </w:pPr>
      <w:r>
        <w:tab/>
        <w:t>(c)</w:t>
      </w:r>
      <w:r>
        <w:tab/>
        <w:t>does so only by hand or with a hand</w:t>
      </w:r>
      <w:r>
        <w:noBreakHyphen/>
        <w:t>held tool; and</w:t>
      </w:r>
    </w:p>
    <w:p>
      <w:pPr>
        <w:pStyle w:val="Indenta"/>
      </w:pPr>
      <w:r>
        <w:tab/>
        <w:t>(d)</w:t>
      </w:r>
      <w:r>
        <w:tab/>
        <w:t>in doing so does not enter into or upon a stream, reservoir or watercourse; and</w:t>
      </w:r>
    </w:p>
    <w:p>
      <w:pPr>
        <w:pStyle w:val="Indenta"/>
      </w:pPr>
      <w:r>
        <w:tab/>
        <w:t>(e)</w:t>
      </w:r>
      <w:r>
        <w:tab/>
        <w:t>in doing so does not allow a hand</w:t>
      </w:r>
      <w:r>
        <w:noBreakHyphen/>
        <w:t>held tool to enter into a stream, reservoir or watercourse; and</w:t>
      </w:r>
    </w:p>
    <w:p>
      <w:pPr>
        <w:pStyle w:val="Indenta"/>
      </w:pPr>
      <w:r>
        <w:tab/>
        <w:t xml:space="preserve">(f) </w:t>
      </w:r>
      <w:r>
        <w:tab/>
        <w:t>does not sell the invertebrate or egg.</w:t>
      </w:r>
    </w:p>
    <w:p>
      <w:pPr>
        <w:pStyle w:val="Footnotesection"/>
      </w:pPr>
      <w:r>
        <w:tab/>
        <w:t>[By</w:t>
      </w:r>
      <w:r>
        <w:noBreakHyphen/>
        <w:t>law 4.12 inserted in Gazette 7 Jun 2016 p. 1784</w:t>
      </w:r>
      <w:r>
        <w:noBreakHyphen/>
        <w:t>5.]</w:t>
      </w:r>
    </w:p>
    <w:p>
      <w:pPr>
        <w:pStyle w:val="Heading5"/>
      </w:pPr>
      <w:bookmarkStart w:id="19" w:name="_Toc471997895"/>
      <w:r>
        <w:rPr>
          <w:rStyle w:val="CharSectno"/>
        </w:rPr>
        <w:t>4.13</w:t>
      </w:r>
      <w:r>
        <w:tab/>
        <w:t>Noongar people lighting fires for customary purposes</w:t>
      </w:r>
      <w:bookmarkEnd w:id="19"/>
      <w:r>
        <w:t xml:space="preserve"> </w:t>
      </w:r>
    </w:p>
    <w:p>
      <w:pPr>
        <w:pStyle w:val="Subsection"/>
      </w:pPr>
      <w:r>
        <w:tab/>
      </w:r>
      <w:r>
        <w:tab/>
        <w:t>A person does not need approval under by</w:t>
      </w:r>
      <w:r>
        <w:noBreakHyphen/>
        <w:t xml:space="preserve">law 4.3.5(a) to light a fire on Crown land in a prohibited zone on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in doing so does not enter into or upon a stream, reservoir or watercourse.</w:t>
      </w:r>
    </w:p>
    <w:p>
      <w:pPr>
        <w:pStyle w:val="Footnotesection"/>
      </w:pPr>
      <w:r>
        <w:tab/>
        <w:t>[By</w:t>
      </w:r>
      <w:r>
        <w:noBreakHyphen/>
        <w:t>law 4.13 inserted in Gazette 7 Jun 2016 p. 1785.]</w:t>
      </w:r>
    </w:p>
    <w:p>
      <w:pPr>
        <w:pStyle w:val="Heading5"/>
      </w:pPr>
      <w:bookmarkStart w:id="20" w:name="_Toc471997896"/>
      <w:r>
        <w:rPr>
          <w:rStyle w:val="CharSectno"/>
        </w:rPr>
        <w:t>4.14</w:t>
      </w:r>
      <w:r>
        <w:tab/>
        <w:t>Entry to Aboriginal sites by Noongar people</w:t>
      </w:r>
      <w:bookmarkEnd w:id="20"/>
    </w:p>
    <w:p>
      <w:pPr>
        <w:pStyle w:val="Subsection"/>
      </w:pPr>
      <w:r>
        <w:tab/>
      </w:r>
      <w:r>
        <w:tab/>
        <w:t>A person who enters Crown land within a prohibited zone on a special provision catchment area does not breach by</w:t>
      </w:r>
      <w:r>
        <w:noBreakHyphen/>
        <w:t xml:space="preserve">law 4.3.6 if — </w:t>
      </w:r>
    </w:p>
    <w:p>
      <w:pPr>
        <w:pStyle w:val="Indenta"/>
      </w:pPr>
      <w:r>
        <w:tab/>
        <w:t>(a)</w:t>
      </w:r>
      <w:r>
        <w:tab/>
        <w:t>the person is a member of the Noongar people; and</w:t>
      </w:r>
    </w:p>
    <w:p>
      <w:pPr>
        <w:pStyle w:val="Indenta"/>
      </w:pPr>
      <w:r>
        <w:tab/>
        <w:t>(b)</w:t>
      </w:r>
      <w:r>
        <w:tab/>
        <w:t>the person is travelling directly to or from, or is on, a registered Aboriginal site within the prohibited zone; and</w:t>
      </w:r>
    </w:p>
    <w:p>
      <w:pPr>
        <w:pStyle w:val="Indenta"/>
      </w:pPr>
      <w:r>
        <w:tab/>
        <w:t>(c)</w:t>
      </w:r>
      <w:r>
        <w:tab/>
        <w:t>while on the land, the person does not enter into or upon a stream, watercourse or reservoir.</w:t>
      </w:r>
    </w:p>
    <w:p>
      <w:pPr>
        <w:pStyle w:val="Footnotesection"/>
      </w:pPr>
      <w:r>
        <w:tab/>
        <w:t>[By</w:t>
      </w:r>
      <w:r>
        <w:noBreakHyphen/>
        <w:t>law 4.14 inserted in Gazette 7 Jun 2016 p. 1785</w:t>
      </w:r>
      <w:r>
        <w:noBreakHyphen/>
        <w:t>6.]</w:t>
      </w:r>
    </w:p>
    <w:p>
      <w:pPr>
        <w:pStyle w:val="Heading2"/>
      </w:pPr>
      <w:bookmarkStart w:id="21" w:name="_Toc471997897"/>
      <w:r>
        <w:rPr>
          <w:rStyle w:val="CharPartNo"/>
        </w:rPr>
        <w:t>5.0</w:t>
      </w:r>
      <w:r>
        <w:t xml:space="preserve"> </w:t>
      </w:r>
      <w:r>
        <w:rPr>
          <w:rStyle w:val="CharPartText"/>
        </w:rPr>
        <w:t>Protection of public water supply areas and underground water pollution control areas</w:t>
      </w:r>
      <w:bookmarkEnd w:id="21"/>
    </w:p>
    <w:p>
      <w:pPr>
        <w:pStyle w:val="Heading5"/>
        <w:rPr>
          <w:snapToGrid w:val="0"/>
        </w:rPr>
      </w:pPr>
      <w:bookmarkStart w:id="22" w:name="_Toc471997898"/>
      <w:r>
        <w:rPr>
          <w:rStyle w:val="CharSectno"/>
        </w:rPr>
        <w:t>5.1</w:t>
      </w:r>
      <w:r>
        <w:rPr>
          <w:snapToGrid w:val="0"/>
        </w:rPr>
        <w:tab/>
      </w:r>
      <w:smartTag w:uri="urn:schemas-microsoft-com:office:smarttags" w:element="place">
        <w:r>
          <w:rPr>
            <w:snapToGrid w:val="0"/>
          </w:rPr>
          <w:t>Ob</w:t>
        </w:r>
      </w:smartTag>
      <w:r>
        <w:rPr>
          <w:snapToGrid w:val="0"/>
        </w:rPr>
        <w:t>ject of this Part; CEO may erect signs</w:t>
      </w:r>
      <w:bookmarkEnd w:id="22"/>
    </w:p>
    <w:p>
      <w:pPr>
        <w:pStyle w:val="Subsection"/>
        <w:tabs>
          <w:tab w:val="clear" w:pos="595"/>
          <w:tab w:val="left" w:pos="56"/>
        </w:tabs>
        <w:rPr>
          <w:snapToGrid w:val="0"/>
        </w:rPr>
      </w:pPr>
      <w:r>
        <w:rPr>
          <w:snapToGrid w:val="0"/>
        </w:rPr>
        <w:tab/>
        <w:t>5.1.1</w:t>
      </w:r>
      <w:r>
        <w:rPr>
          <w:snapToGrid w:val="0"/>
        </w:rPr>
        <w:tab/>
        <w:t>The objectives of the by</w:t>
      </w:r>
      <w:r>
        <w:rPr>
          <w:snapToGrid w:val="0"/>
        </w:rPr>
        <w:noBreakHyphen/>
        <w:t>laws in Part 5 are —</w:t>
      </w:r>
    </w:p>
    <w:p>
      <w:pPr>
        <w:pStyle w:val="Ednotepara"/>
      </w:pPr>
      <w:r>
        <w:tab/>
        <w:t>[(a)</w:t>
      </w:r>
      <w:r>
        <w:tab/>
        <w:t>deleted]</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5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56"/>
        </w:tabs>
        <w:rPr>
          <w:snapToGrid w:val="0"/>
        </w:rPr>
      </w:pPr>
      <w:r>
        <w:rPr>
          <w:snapToGrid w:val="0"/>
        </w:rPr>
        <w:tab/>
        <w:t>5.1.3</w:t>
      </w:r>
      <w:r>
        <w:rPr>
          <w:snapToGrid w:val="0"/>
        </w:rPr>
        <w:tab/>
        <w:t xml:space="preserve">The </w:t>
      </w:r>
      <w:r>
        <w:t>CEO</w:t>
      </w:r>
      <w:r>
        <w:rPr>
          <w:snapToGrid w:val="0"/>
        </w:rPr>
        <w:t xml:space="preserve"> may erect signs and notice boards in any pollution area for the exhibition of any by</w:t>
      </w:r>
      <w:r>
        <w:rPr>
          <w:snapToGrid w:val="0"/>
        </w:rPr>
        <w:noBreakHyphen/>
        <w:t>law, rule, regulation or notice.</w:t>
      </w:r>
    </w:p>
    <w:p>
      <w:pPr>
        <w:pStyle w:val="Footnotesection"/>
      </w:pPr>
      <w:r>
        <w:tab/>
        <w:t>[By</w:t>
      </w:r>
      <w:r>
        <w:noBreakHyphen/>
        <w:t>law 5.1 amended in Gazette 29 Dec 1995 p. 6325</w:t>
      </w:r>
      <w:r>
        <w:noBreakHyphen/>
        <w:t>6; 21 Apr 2011 p. 1479 and 1482; 14 Nov 2013 p. 5055.]</w:t>
      </w:r>
    </w:p>
    <w:p>
      <w:pPr>
        <w:pStyle w:val="Ednotesection"/>
        <w:rPr>
          <w:b/>
        </w:rPr>
      </w:pPr>
      <w:r>
        <w:t>[</w:t>
      </w:r>
      <w:r>
        <w:rPr>
          <w:b/>
        </w:rPr>
        <w:t>5.2</w:t>
      </w:r>
      <w:r>
        <w:rPr>
          <w:i w:val="0"/>
        </w:rPr>
        <w:tab/>
      </w:r>
      <w:r>
        <w:t>Deleted in Gazette 14 Nov 2013 p.</w:t>
      </w:r>
      <w:r>
        <w:rPr>
          <w:sz w:val="19"/>
        </w:rPr>
        <w:t> </w:t>
      </w:r>
      <w:r>
        <w:t>5055.]</w:t>
      </w:r>
    </w:p>
    <w:p>
      <w:pPr>
        <w:pStyle w:val="Heading5"/>
        <w:rPr>
          <w:snapToGrid w:val="0"/>
        </w:rPr>
      </w:pPr>
      <w:bookmarkStart w:id="23" w:name="_Toc471997899"/>
      <w:r>
        <w:rPr>
          <w:rStyle w:val="CharSectno"/>
        </w:rPr>
        <w:t>5.3</w:t>
      </w:r>
      <w:r>
        <w:rPr>
          <w:snapToGrid w:val="0"/>
        </w:rPr>
        <w:tab/>
        <w:t>Causing flooding of wells etc.</w:t>
      </w:r>
      <w:bookmarkEnd w:id="23"/>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r>
        <w:t>assets</w:t>
      </w:r>
      <w:r>
        <w:rPr>
          <w:snapToGrid w:val="0"/>
        </w:rPr>
        <w:t xml:space="preserve"> in a manner that causes the flooding of any well or observation well.</w:t>
      </w:r>
    </w:p>
    <w:p>
      <w:pPr>
        <w:pStyle w:val="Footnotesection"/>
      </w:pPr>
      <w:r>
        <w:tab/>
        <w:t>[By</w:t>
      </w:r>
      <w:r>
        <w:noBreakHyphen/>
        <w:t>law 5.3 amended in Gazette 14 Nov 2013 p. 5056.]</w:t>
      </w:r>
    </w:p>
    <w:p>
      <w:pPr>
        <w:pStyle w:val="Heading5"/>
        <w:rPr>
          <w:snapToGrid w:val="0"/>
        </w:rPr>
      </w:pPr>
      <w:bookmarkStart w:id="24" w:name="_Toc471997900"/>
      <w:r>
        <w:rPr>
          <w:rStyle w:val="CharSectno"/>
        </w:rPr>
        <w:t>5.4</w:t>
      </w:r>
      <w:r>
        <w:rPr>
          <w:snapToGrid w:val="0"/>
        </w:rPr>
        <w:tab/>
      </w:r>
      <w:smartTag w:uri="urn:schemas-microsoft-com:office:smarttags" w:element="place">
        <w:r>
          <w:rPr>
            <w:snapToGrid w:val="0"/>
          </w:rPr>
          <w:t>Po</w:t>
        </w:r>
      </w:smartTag>
      <w:r>
        <w:rPr>
          <w:snapToGrid w:val="0"/>
        </w:rPr>
        <w:t>llution areas, production wells etc., protection of</w:t>
      </w:r>
      <w:bookmarkEnd w:id="24"/>
    </w:p>
    <w:p>
      <w:pPr>
        <w:pStyle w:val="Subsection"/>
        <w:tabs>
          <w:tab w:val="clear" w:pos="595"/>
          <w:tab w:val="left" w:pos="56"/>
        </w:tabs>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56"/>
        </w:tabs>
        <w:rPr>
          <w:snapToGrid w:val="0"/>
        </w:rPr>
      </w:pPr>
      <w:r>
        <w:rPr>
          <w:snapToGrid w:val="0"/>
        </w:rPr>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56"/>
        </w:tabs>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5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56"/>
        </w:tabs>
        <w:rPr>
          <w:snapToGrid w:val="0"/>
        </w:rPr>
      </w:pPr>
      <w:r>
        <w:rPr>
          <w:snapToGrid w:val="0"/>
        </w:rPr>
        <w:tab/>
        <w:t>5.4.5</w:t>
      </w:r>
      <w:r>
        <w:rPr>
          <w:snapToGrid w:val="0"/>
        </w:rPr>
        <w:tab/>
        <w:t xml:space="preserve">In a pollution area installation or operation of septic tanks, leach drains, soakwells and other apparatus for the disposal of </w:t>
      </w:r>
      <w:r>
        <w:t>liquid waste</w:t>
      </w:r>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5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CEO to do so.</w:t>
      </w:r>
    </w:p>
    <w:p>
      <w:pPr>
        <w:pStyle w:val="Subsection"/>
        <w:tabs>
          <w:tab w:val="clear" w:pos="595"/>
          <w:tab w:val="left" w:pos="5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CEO may pollute the underground water.</w:t>
      </w:r>
    </w:p>
    <w:p>
      <w:pPr>
        <w:pStyle w:val="Subsection"/>
        <w:tabs>
          <w:tab w:val="clear" w:pos="595"/>
          <w:tab w:val="left" w:pos="56"/>
        </w:tabs>
        <w:rPr>
          <w:snapToGrid w:val="0"/>
        </w:rPr>
      </w:pPr>
      <w:r>
        <w:rPr>
          <w:snapToGrid w:val="0"/>
        </w:rPr>
        <w:tab/>
        <w:t>5.4.8A</w:t>
      </w:r>
      <w:r>
        <w:rPr>
          <w:snapToGrid w:val="0"/>
        </w:rPr>
        <w:tab/>
        <w:t>A person shall not place any chemical or other substance that is capable of polluting underground water, down a well during the course of its construction, redevelopment, maintenance or operation without prior approval of the CEO.</w:t>
      </w:r>
    </w:p>
    <w:p>
      <w:pPr>
        <w:pStyle w:val="Subsection"/>
        <w:tabs>
          <w:tab w:val="clear" w:pos="595"/>
          <w:tab w:val="left" w:pos="56"/>
        </w:tabs>
        <w:rPr>
          <w:snapToGrid w:val="0"/>
        </w:rPr>
      </w:pPr>
      <w:r>
        <w:rPr>
          <w:snapToGrid w:val="0"/>
        </w:rPr>
        <w:tab/>
        <w:t>5.4.8</w:t>
      </w:r>
      <w:r>
        <w:rPr>
          <w:snapToGrid w:val="0"/>
        </w:rPr>
        <w:tab/>
        <w:t>The holder of a permit referred to in by</w:t>
      </w:r>
      <w:r>
        <w:rPr>
          <w:snapToGrid w:val="0"/>
        </w:rPr>
        <w:noBreakHyphen/>
        <w:t>law 5.5.2, shall notify the CEO and the Corporation immediately any spillage occurs that might pollute the groundwater, either directly or indirectly, and where that spillage occurs.</w:t>
      </w:r>
    </w:p>
    <w:p>
      <w:pPr>
        <w:pStyle w:val="Subsection"/>
        <w:tabs>
          <w:tab w:val="clear" w:pos="595"/>
          <w:tab w:val="left" w:pos="56"/>
        </w:tabs>
        <w:rPr>
          <w:snapToGrid w:val="0"/>
        </w:rPr>
      </w:pPr>
      <w:r>
        <w:rPr>
          <w:snapToGrid w:val="0"/>
        </w:rPr>
        <w:tab/>
        <w:t>5.4.9</w:t>
      </w:r>
      <w:r>
        <w:rPr>
          <w:snapToGrid w:val="0"/>
        </w:rPr>
        <w:tab/>
        <w:t>Any person spilling, or being aware of any leakage of, any petroleum product in a pollution area shall notify the CEO and the Corporation immediately of that occurrence.</w:t>
      </w:r>
    </w:p>
    <w:p>
      <w:pPr>
        <w:pStyle w:val="Footnotesection"/>
      </w:pPr>
      <w:r>
        <w:tab/>
        <w:t>[By</w:t>
      </w:r>
      <w:r>
        <w:noBreakHyphen/>
        <w:t>law 5.4 amended in Gazette 24 Dec 1982 p. 4926; 29 Dec 1995 p. 6322 and 6325</w:t>
      </w:r>
      <w:r>
        <w:noBreakHyphen/>
        <w:t>6; 26 Jun 1998 p. 3420; 18 Mar 2011 p. 928; 21 Apr 2011 p. 1479-80 and 1482; 14 Nov 2013 p. 5056.]</w:t>
      </w:r>
    </w:p>
    <w:p>
      <w:pPr>
        <w:pStyle w:val="Heading5"/>
        <w:rPr>
          <w:snapToGrid w:val="0"/>
        </w:rPr>
      </w:pPr>
      <w:bookmarkStart w:id="25" w:name="_Toc471997901"/>
      <w:r>
        <w:rPr>
          <w:rStyle w:val="CharSectno"/>
        </w:rPr>
        <w:t>5.5</w:t>
      </w:r>
      <w:r>
        <w:rPr>
          <w:snapToGrid w:val="0"/>
        </w:rPr>
        <w:tab/>
      </w:r>
      <w:smartTag w:uri="urn:schemas-microsoft-com:office:smarttags" w:element="place">
        <w:r>
          <w:rPr>
            <w:snapToGrid w:val="0"/>
          </w:rPr>
          <w:t>Po</w:t>
        </w:r>
      </w:smartTag>
      <w:r>
        <w:rPr>
          <w:snapToGrid w:val="0"/>
        </w:rPr>
        <w:t>llution areas, development and storing petrol etc. in</w:t>
      </w:r>
      <w:bookmarkEnd w:id="25"/>
    </w:p>
    <w:p>
      <w:pPr>
        <w:pStyle w:val="Subsection"/>
        <w:tabs>
          <w:tab w:val="clear" w:pos="595"/>
          <w:tab w:val="left" w:pos="56"/>
        </w:tabs>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xml:space="preserve">, 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56"/>
        </w:tabs>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5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5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5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5.5 amended in Gazette 24 Dec 1982 p. 4926; 29 Dec 1995 p. 6322 and 6325</w:t>
      </w:r>
      <w:r>
        <w:noBreakHyphen/>
        <w:t>6; 21 Apr 2011 p. 1480-1.]</w:t>
      </w:r>
    </w:p>
    <w:p>
      <w:pPr>
        <w:pStyle w:val="Heading5"/>
        <w:rPr>
          <w:snapToGrid w:val="0"/>
        </w:rPr>
      </w:pPr>
      <w:bookmarkStart w:id="26" w:name="_Toc471997902"/>
      <w:r>
        <w:rPr>
          <w:rStyle w:val="CharSectno"/>
        </w:rPr>
        <w:t>5.6</w:t>
      </w:r>
      <w:r>
        <w:rPr>
          <w:snapToGrid w:val="0"/>
        </w:rPr>
        <w:tab/>
        <w:t>Priority source protection areas, control of certain developments in</w:t>
      </w:r>
      <w:bookmarkEnd w:id="26"/>
    </w:p>
    <w:p>
      <w:pPr>
        <w:pStyle w:val="Subsection"/>
        <w:tabs>
          <w:tab w:val="clear" w:pos="595"/>
          <w:tab w:val="left" w:pos="5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5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5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5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5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5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56"/>
        </w:tabs>
        <w:rPr>
          <w:snapToGrid w:val="0"/>
        </w:rPr>
      </w:pPr>
      <w:r>
        <w:rPr>
          <w:snapToGrid w:val="0"/>
        </w:rPr>
        <w:tab/>
        <w:t>5.6.7</w:t>
      </w:r>
      <w:r>
        <w:rPr>
          <w:snapToGrid w:val="0"/>
        </w:rPr>
        <w:tab/>
        <w:t>The CEO,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tabs>
          <w:tab w:val="clear" w:pos="595"/>
          <w:tab w:val="left" w:pos="56"/>
        </w:tabs>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5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in Gazette 31 Dec 1992 p. 6418-21; amended in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r>
        <w:rPr>
          <w:b/>
          <w:bCs/>
        </w:rPr>
        <w:t>Plan 2 — </w:t>
      </w:r>
      <w:r>
        <w:rPr>
          <w:b/>
          <w:bCs/>
          <w:snapToGrid w:val="0"/>
        </w:rPr>
        <w:t>Gnangara Underground Water Pollution Control Area</w:t>
      </w:r>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in Gazette 28 Mar 2008 p. 921.]</w:t>
      </w:r>
    </w:p>
    <w:p>
      <w:pPr>
        <w:pStyle w:val="Ednotesection"/>
      </w:pPr>
      <w:r>
        <w:t>[</w:t>
      </w:r>
      <w:r>
        <w:rPr>
          <w:b/>
        </w:rPr>
        <w:t>6.0.</w:t>
      </w:r>
      <w:r>
        <w:tab/>
        <w:t>Deleted in Gazette 14 Nov 2013 p. 5056.]</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Ednotesection"/>
      </w:pPr>
      <w:r>
        <w:t>[</w:t>
      </w:r>
      <w:r>
        <w:rPr>
          <w:b/>
        </w:rPr>
        <w:t>11.0:</w:t>
      </w:r>
      <w:r>
        <w:rPr>
          <w:b/>
        </w:rPr>
        <w:tab/>
      </w:r>
      <w:r>
        <w:t>bl. 11.1, 11.2 deleted in Gazette 14 Nov 2013 p. 5056;</w:t>
      </w:r>
      <w:r>
        <w:br/>
        <w:t>bl. 11.3</w:t>
      </w:r>
      <w:r>
        <w:noBreakHyphen/>
        <w:t>11.5 deleted in Gazette 25 Aug 1998 p. 4730.]</w:t>
      </w:r>
    </w:p>
    <w:p>
      <w:pPr>
        <w:pStyle w:val="Ednotesection"/>
      </w:pPr>
      <w:r>
        <w:t>[</w:t>
      </w:r>
      <w:r>
        <w:rPr>
          <w:b/>
        </w:rPr>
        <w:t>12.0:</w:t>
      </w:r>
      <w:r>
        <w:rPr>
          <w:b/>
        </w:rPr>
        <w:tab/>
      </w:r>
      <w:r>
        <w:t>bl. 12.1 and 12.5 and Figure 12.1 deleted in Gazette 14 Nov 2013 p. 5056;</w:t>
      </w:r>
      <w:r>
        <w:br/>
        <w:t>bl. 12.2</w:t>
      </w:r>
      <w:r>
        <w:noBreakHyphen/>
        <w:t>12.4 deleted in Gazette 28 Jun 2004 p. 2375.]</w:t>
      </w:r>
    </w:p>
    <w:p>
      <w:pPr>
        <w:pStyle w:val="Ednotesection"/>
      </w:pPr>
      <w:r>
        <w:rPr>
          <w:b/>
        </w:rPr>
        <w:t>[13.0:</w:t>
      </w:r>
      <w:r>
        <w:tab/>
        <w:t>bl. 13.1.1</w:t>
      </w:r>
      <w:r>
        <w:noBreakHyphen/>
        <w:t>13.1.3 and 13.2 deleted in Gazette 25 Aug 1998 p. 4731:</w:t>
      </w:r>
      <w:r>
        <w:br/>
        <w:t>bl. 13.1.4. deleted in Gazette 14 Nov 2013 p. 5056.]</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Ednotesection"/>
      </w:pPr>
      <w:r>
        <w:t>[</w:t>
      </w:r>
      <w:r>
        <w:rPr>
          <w:b/>
        </w:rPr>
        <w:t>15.0:</w:t>
      </w:r>
      <w:r>
        <w:tab/>
        <w:t>bl. 15.5 deleted in Gazette 25 Aug 1998 p. 4731:</w:t>
      </w:r>
      <w:r>
        <w:br/>
        <w:t>bl. 15.6 and 15.7 deleted in Gazette 28 Jun 1985 p. 2349;</w:t>
      </w:r>
      <w:r>
        <w:br/>
        <w:t>balance deleted in Gazette 14 Nov 2013 p. 5056.]</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rPr>
          <w:bCs/>
        </w:rPr>
        <w:t>bl. 17.1, 17.2, 17.4</w:t>
      </w:r>
      <w:r>
        <w:t xml:space="preserve"> deleted in Gazette 25 Aug 1998 p. 4734;</w:t>
      </w:r>
      <w:r>
        <w:br/>
        <w:t>bl. 17.3 deleted in Gazette 22 Dec 1989 p. 4631.]</w:t>
      </w:r>
    </w:p>
    <w:p>
      <w:pPr>
        <w:pStyle w:val="Ednotesection"/>
      </w:pPr>
      <w:r>
        <w:t>[</w:t>
      </w:r>
      <w:r>
        <w:rPr>
          <w:b/>
        </w:rPr>
        <w:t>18.0:</w:t>
      </w:r>
      <w:r>
        <w:tab/>
        <w:t>bl. 18.1 deleted in Gazette 25 Aug 1998 p. 4734;</w:t>
      </w:r>
      <w:r>
        <w:br/>
        <w:t>bl. 18.2, 18.3 deleted in Gazette 28 Jun 2004 p. 2375;</w:t>
      </w:r>
      <w:r>
        <w:br/>
        <w:t>bl. 18.4</w:t>
      </w:r>
      <w:r>
        <w:noBreakHyphen/>
        <w:t>18.19, 18.21, 18.22, 18.24 and 18.25 deleted in Gazette 25 Aug 1998 p. 4734;</w:t>
      </w:r>
      <w:r>
        <w:br/>
        <w:t>bl. 18.20 deleted in Gazette 28 Jun 2004 p. 2375;</w:t>
      </w:r>
      <w:r>
        <w:br/>
        <w:t>bl. 18.23 deleted in Gazette 14 Nov 2013 p. 5056.]</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Ednotesection"/>
        <w:ind w:left="900" w:hanging="900"/>
      </w:pPr>
      <w:r>
        <w:t>[</w:t>
      </w:r>
      <w:r>
        <w:rPr>
          <w:b/>
        </w:rPr>
        <w:t xml:space="preserve">27.0, 28.0 </w:t>
      </w:r>
      <w:r>
        <w:t>deleted in Gazette 14 Nov 2013 p. 5056.]</w:t>
      </w:r>
    </w:p>
    <w:p>
      <w:pPr>
        <w:pStyle w:val="Ednotesection"/>
        <w:ind w:left="900" w:hanging="900"/>
      </w:pPr>
      <w:r>
        <w:t>[</w:t>
      </w:r>
      <w:r>
        <w:rPr>
          <w:b/>
        </w:rPr>
        <w:t>29.0.</w:t>
      </w:r>
      <w:r>
        <w:tab/>
        <w:t>Deleted in Gazette 18 Jun 1982 p. 2023.]</w:t>
      </w:r>
    </w:p>
    <w:p>
      <w:pPr>
        <w:pStyle w:val="Ednotesection"/>
        <w:ind w:left="900" w:hanging="900"/>
      </w:pPr>
      <w:r>
        <w:t>[</w:t>
      </w:r>
      <w:r>
        <w:rPr>
          <w:b/>
        </w:rPr>
        <w:t>30.0.</w:t>
      </w:r>
      <w:r>
        <w:tab/>
        <w:t>bl. 30.1</w:t>
      </w:r>
      <w:r>
        <w:noBreakHyphen/>
        <w:t>30.8, 30.10</w:t>
      </w:r>
      <w:r>
        <w:noBreakHyphen/>
        <w:t>30.14, 30.17 and 30.18 deleted in Gazette 16 Jun 2000 p. 2960;</w:t>
      </w:r>
      <w:r>
        <w:br/>
        <w:t>bl. 30.15 Deleted in Gazette 22 Dec 1989 p. 4638;</w:t>
      </w:r>
      <w:r>
        <w:br/>
        <w:t>balance deleted in Gazette 14 Nov 2013 p. 5056.]</w:t>
      </w:r>
    </w:p>
    <w:p>
      <w:pPr>
        <w:pStyle w:val="Heading2"/>
      </w:pPr>
      <w:bookmarkStart w:id="27" w:name="_Toc471997903"/>
      <w:r>
        <w:rPr>
          <w:rStyle w:val="CharPartNo"/>
        </w:rPr>
        <w:t>31.0</w:t>
      </w:r>
      <w:r>
        <w:t xml:space="preserve"> </w:t>
      </w:r>
      <w:r>
        <w:rPr>
          <w:rStyle w:val="CharPartText"/>
        </w:rPr>
        <w:t>Offences and penalties</w:t>
      </w:r>
      <w:bookmarkEnd w:id="27"/>
    </w:p>
    <w:p>
      <w:pPr>
        <w:pStyle w:val="Ednotesection"/>
        <w:rPr>
          <w:b/>
        </w:rPr>
      </w:pPr>
      <w:r>
        <w:t>[</w:t>
      </w:r>
      <w:r>
        <w:rPr>
          <w:b/>
        </w:rPr>
        <w:t>31.1</w:t>
      </w:r>
      <w:r>
        <w:rPr>
          <w:b/>
        </w:rPr>
        <w:noBreakHyphen/>
        <w:t xml:space="preserve">31.3  </w:t>
      </w:r>
      <w:r>
        <w:t>Deleted in Gazette 14 Nov 2013 p. 5056.]</w:t>
      </w:r>
    </w:p>
    <w:p>
      <w:pPr>
        <w:pStyle w:val="Heading5"/>
        <w:rPr>
          <w:snapToGrid w:val="0"/>
        </w:rPr>
      </w:pPr>
      <w:bookmarkStart w:id="28" w:name="_Toc471997904"/>
      <w:r>
        <w:rPr>
          <w:rStyle w:val="CharSectno"/>
        </w:rPr>
        <w:t>31.4</w:t>
      </w:r>
      <w:r>
        <w:rPr>
          <w:snapToGrid w:val="0"/>
        </w:rPr>
        <w:tab/>
        <w:t>Penalties</w:t>
      </w:r>
      <w:bookmarkEnd w:id="28"/>
    </w:p>
    <w:p>
      <w:pPr>
        <w:pStyle w:val="Subsection"/>
        <w:tabs>
          <w:tab w:val="clear" w:pos="595"/>
          <w:tab w:val="left" w:pos="5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r>
        <w:t>State</w:t>
      </w:r>
      <w:r>
        <w:rPr>
          <w:snapToGrid w:val="0"/>
        </w:rPr>
        <w:t xml:space="preserve"> in consequence of such breach.</w:t>
      </w:r>
    </w:p>
    <w:p>
      <w:pPr>
        <w:pStyle w:val="Subsection"/>
        <w:tabs>
          <w:tab w:val="clear" w:pos="595"/>
          <w:tab w:val="left" w:pos="5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the Minister or the CEO</w:t>
      </w:r>
      <w:r>
        <w:rPr>
          <w:snapToGrid w:val="0"/>
        </w:rPr>
        <w:t xml:space="preserve"> to the offender.</w:t>
      </w:r>
    </w:p>
    <w:p>
      <w:pPr>
        <w:pStyle w:val="Footnotesection"/>
      </w:pPr>
      <w:r>
        <w:tab/>
        <w:t>[By</w:t>
      </w:r>
      <w:r>
        <w:noBreakHyphen/>
        <w:t>law 31.4 amended in Gazette 24 Dec 1982 p. 4930; 29 Dec 1995 p. 6326; 26 Apr 2005 p. 1397; 21 Apr 2011 p. 1481; 14 Nov 2013 p. 5057.]</w:t>
      </w:r>
    </w:p>
    <w:p>
      <w:pPr>
        <w:pStyle w:val="Ednotesection"/>
        <w:rPr>
          <w:b/>
        </w:rPr>
      </w:pPr>
      <w:r>
        <w:t>[</w:t>
      </w:r>
      <w:r>
        <w:rPr>
          <w:b/>
        </w:rPr>
        <w:t>31.5</w:t>
      </w:r>
      <w:r>
        <w:rPr>
          <w:b/>
        </w:rPr>
        <w:noBreakHyphen/>
        <w:t xml:space="preserve">31.6 </w:t>
      </w:r>
      <w:r>
        <w:t>Deleted in Gazette 14 Nov 2013 p. 5057.]</w:t>
      </w:r>
    </w:p>
    <w:p>
      <w:pPr>
        <w:pStyle w:val="Ednotesection"/>
        <w:spacing w:before="480"/>
        <w:ind w:left="890" w:hanging="890"/>
      </w:pPr>
      <w:r>
        <w:t>[</w:t>
      </w:r>
      <w:r>
        <w:rPr>
          <w:b/>
        </w:rPr>
        <w:t>32.0.</w:t>
      </w:r>
      <w:r>
        <w:tab/>
        <w:t>Deleted in Gazette 14 Nov 2013 p. 5057.]</w:t>
      </w:r>
    </w:p>
    <w:p>
      <w:pPr>
        <w:pStyle w:val="Ednotesection"/>
      </w:pPr>
      <w:r>
        <w:t>[</w:t>
      </w:r>
      <w:r>
        <w:rPr>
          <w:b/>
        </w:rPr>
        <w:t>33.0.</w:t>
      </w:r>
      <w:r>
        <w:tab/>
        <w:t>Omitted under the Reprints Act 1984 s. 7(4)(f).]</w:t>
      </w:r>
    </w:p>
    <w:p>
      <w:pPr>
        <w:pStyle w:val="yEdnoteschedule"/>
      </w:pPr>
      <w:r>
        <w:t>[Schedule A deleted in Gazette 18 Jun 1982 p. 2023.]</w:t>
      </w:r>
    </w:p>
    <w:p>
      <w:pPr>
        <w:pStyle w:val="yEdnoteschedule"/>
      </w:pPr>
      <w:r>
        <w:t>[Schedule B</w:t>
      </w:r>
      <w:r>
        <w:noBreakHyphen/>
        <w:t>D deleted in Gazette 14 Nov 2013 p. 5057.]</w:t>
      </w:r>
    </w:p>
    <w:p>
      <w:pPr>
        <w:sectPr>
          <w:headerReference w:type="even" r:id="rId24"/>
          <w:headerReference w:type="default" r:id="rId25"/>
          <w:footerReference w:type="default" r:id="rId26"/>
          <w:headerReference w:type="first" r:id="rId27"/>
          <w:pgSz w:w="11907" w:h="16840" w:code="9"/>
          <w:pgMar w:top="2381" w:right="2409" w:bottom="3543" w:left="2409" w:header="720" w:footer="3380" w:gutter="0"/>
          <w:pgNumType w:start="1"/>
          <w:cols w:space="720"/>
          <w:noEndnote/>
          <w:titlePg/>
          <w:docGrid w:linePitch="326"/>
        </w:sectPr>
      </w:pPr>
    </w:p>
    <w:p>
      <w:pPr>
        <w:pStyle w:val="yScheduleHeading"/>
      </w:pPr>
      <w:bookmarkStart w:id="29" w:name="_Toc471997905"/>
      <w:r>
        <w:rPr>
          <w:rStyle w:val="CharSchNo"/>
        </w:rPr>
        <w:t>Schedule 1</w:t>
      </w:r>
      <w:r>
        <w:rPr>
          <w:rStyle w:val="CharSDivNo"/>
        </w:rPr>
        <w:t> </w:t>
      </w:r>
      <w:r>
        <w:t>—</w:t>
      </w:r>
      <w:r>
        <w:rPr>
          <w:rStyle w:val="CharSDivText"/>
        </w:rPr>
        <w:t> </w:t>
      </w:r>
      <w:r>
        <w:rPr>
          <w:rStyle w:val="CharSchText"/>
        </w:rPr>
        <w:t>Description of South West Settlement Area</w:t>
      </w:r>
      <w:bookmarkEnd w:id="29"/>
    </w:p>
    <w:p>
      <w:pPr>
        <w:pStyle w:val="yShoulderClause"/>
      </w:pPr>
      <w:r>
        <w:t>[bl. 1.1]</w:t>
      </w:r>
    </w:p>
    <w:p>
      <w:pPr>
        <w:pStyle w:val="yFootnoteheading"/>
      </w:pPr>
      <w:r>
        <w:tab/>
        <w:t>[Heading inserted in Gazette 7 Jun 2016 p. 1787.]</w:t>
      </w:r>
    </w:p>
    <w:p>
      <w:pPr>
        <w:pStyle w:val="yMiscellaneousBody"/>
      </w:pPr>
      <w:r>
        <w:t xml:space="preserve">All the lands and waters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p>
    <w:p>
      <w:pPr>
        <w:pStyle w:val="yMiscellaneousBody"/>
        <w:tabs>
          <w:tab w:val="left" w:pos="567"/>
        </w:tabs>
        <w:ind w:left="567" w:hanging="425"/>
      </w:pPr>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p>
    <w:p>
      <w:pPr>
        <w:pStyle w:val="yMiscellaneousBody"/>
        <w:tabs>
          <w:tab w:val="left" w:pos="567"/>
        </w:tabs>
        <w:ind w:left="567" w:hanging="425"/>
      </w:pPr>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p>
    <w:p>
      <w:pPr>
        <w:pStyle w:val="yMiscellaneousBody"/>
        <w:tabs>
          <w:tab w:val="left" w:pos="567"/>
        </w:tabs>
        <w:ind w:left="567" w:hanging="425"/>
      </w:pPr>
      <w:r>
        <w:sym w:font="Symbol" w:char="F0B7"/>
      </w:r>
      <w:r>
        <w:tab/>
        <w:t>then continues generally southerly along the boundaries of that native title application to the intersection with the low water mark;</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low water mark back to the starting point,</w:t>
      </w:r>
    </w:p>
    <w:p>
      <w:pPr>
        <w:pStyle w:val="yMiscellaneousBody"/>
      </w:pPr>
      <w:r>
        <w:t>other than any land or waters the subject of native title determination application WAD6193/1998 (WC97/72</w:t>
      </w:r>
      <w:r>
        <w:noBreakHyphen/>
        <w:t>6) as accepted for registration on the Register of Native Title Claims on 12 December 2011.</w:t>
      </w:r>
    </w:p>
    <w:p>
      <w:pPr>
        <w:pStyle w:val="yMiscellaneousBody"/>
      </w:pPr>
      <w:r>
        <w:t xml:space="preserve">And all the islands landward of the low water mark that exist within the area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w:t>
      </w:r>
    </w:p>
    <w:p>
      <w:pPr>
        <w:pStyle w:val="yMiscellaneousBody"/>
        <w:tabs>
          <w:tab w:val="left" w:pos="567"/>
        </w:tabs>
        <w:ind w:left="567" w:hanging="425"/>
      </w:pPr>
      <w:r>
        <w:sym w:font="Symbol" w:char="F0B7"/>
      </w:r>
      <w:r>
        <w:tab/>
        <w:t>then continues generally southerly, generally south</w:t>
      </w:r>
      <w:r>
        <w:noBreakHyphen/>
        <w:t>easterly and generally north</w:t>
      </w:r>
      <w:r>
        <w:noBreakHyphen/>
        <w:t xml:space="preserve">easterly along the low water mark to the intersection with longitude 120.465236; </w:t>
      </w:r>
    </w:p>
    <w:p>
      <w:pPr>
        <w:pStyle w:val="yMiscellaneousBody"/>
        <w:tabs>
          <w:tab w:val="left" w:pos="567"/>
        </w:tabs>
        <w:ind w:left="567" w:hanging="425"/>
      </w:pPr>
      <w:r>
        <w:sym w:font="Symbol" w:char="F0B7"/>
      </w:r>
      <w:r>
        <w:tab/>
        <w:t xml:space="preserve">then continues southerly to the intersection of the 3 nautical mile limit with longitude 120.465236; </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p>
    <w:p>
      <w:pPr>
        <w:pStyle w:val="yMiscellaneousBody"/>
        <w:tabs>
          <w:tab w:val="left" w:pos="567"/>
        </w:tabs>
        <w:ind w:left="567" w:hanging="425"/>
      </w:pPr>
      <w:r>
        <w:sym w:font="Symbol" w:char="F0B7"/>
      </w:r>
      <w:r>
        <w:tab/>
        <w:t>then continues easterly along that prolongation back to the starting point.</w:t>
      </w:r>
    </w:p>
    <w:p>
      <w:pPr>
        <w:pStyle w:val="PermNoteHeading"/>
      </w:pPr>
      <w:r>
        <w:tab/>
        <w:t>Notes for this Schedule:</w:t>
      </w:r>
    </w:p>
    <w:p>
      <w:pPr>
        <w:pStyle w:val="PermNoteText"/>
      </w:pPr>
      <w:r>
        <w:tab/>
        <w:t>1.</w:t>
      </w:r>
      <w:r>
        <w:tab/>
        <w:t>The low water mark is sourced from the Spatial Cadastral Database maintained by the Western Australian Land Information Authority as at 29 October 2012.</w:t>
      </w:r>
    </w:p>
    <w:p>
      <w:pPr>
        <w:pStyle w:val="PermNoteText"/>
      </w:pPr>
      <w:r>
        <w:tab/>
        <w:t>2.</w:t>
      </w:r>
      <w:r>
        <w:tab/>
        <w:t>Coordinate references are to Geocentric Datum of Australia 1994 (GDA94) coordinates in decimal degrees.</w:t>
      </w:r>
    </w:p>
    <w:p>
      <w:pPr>
        <w:pStyle w:val="PermNoteText"/>
      </w:pPr>
      <w:r>
        <w:tab/>
        <w:t>3.</w:t>
      </w:r>
      <w:r>
        <w:tab/>
        <w:t>The 3 nautical mile limit is sourced from Australian Maritime Boundaries (AMB), 6th edition, released in February 2006.</w:t>
      </w:r>
    </w:p>
    <w:p>
      <w:pPr>
        <w:pStyle w:val="yFootnotesection"/>
      </w:pPr>
      <w:r>
        <w:tab/>
        <w:t>[Schedule 1 inserted in Gazette 7 Jun 2016 p. 1786</w:t>
      </w:r>
      <w:r>
        <w:noBreakHyphen/>
        <w:t>7.]</w:t>
      </w:r>
    </w:p>
    <w:p>
      <w:pPr>
        <w:pStyle w:val="yScheduleHeading"/>
      </w:pPr>
      <w:bookmarkStart w:id="30" w:name="_Toc471997906"/>
      <w:r>
        <w:rPr>
          <w:rStyle w:val="CharSchNo"/>
        </w:rPr>
        <w:t>Schedule 2</w:t>
      </w:r>
      <w:r>
        <w:rPr>
          <w:rStyle w:val="CharSDivNo"/>
        </w:rPr>
        <w:t> </w:t>
      </w:r>
      <w:r>
        <w:t>—</w:t>
      </w:r>
      <w:r>
        <w:rPr>
          <w:rStyle w:val="CharSDivText"/>
        </w:rPr>
        <w:t> </w:t>
      </w:r>
      <w:r>
        <w:rPr>
          <w:rStyle w:val="CharSchText"/>
        </w:rPr>
        <w:t>Map of South West Settlement Area</w:t>
      </w:r>
      <w:bookmarkEnd w:id="30"/>
    </w:p>
    <w:p>
      <w:pPr>
        <w:pStyle w:val="yShoulderClause"/>
      </w:pPr>
      <w:r>
        <w:t>[bl. 1.1]</w:t>
      </w:r>
    </w:p>
    <w:p>
      <w:pPr>
        <w:pStyle w:val="yFootnoteheading"/>
      </w:pPr>
      <w:r>
        <w:tab/>
        <w:t>[Heading inserted in Gazette 7 Jun 2016 p. 1787.]</w:t>
      </w:r>
    </w:p>
    <w:p>
      <w:pPr>
        <w:pStyle w:val="ySubsection"/>
        <w:jc w:val="center"/>
      </w:pPr>
      <w:r>
        <w:rPr>
          <w:noProof/>
        </w:rPr>
        <w:drawing>
          <wp:inline distT="0" distB="0" distL="0" distR="0">
            <wp:extent cx="3800723" cy="54290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96552" cy="5423048"/>
                    </a:xfrm>
                    <a:prstGeom prst="rect">
                      <a:avLst/>
                    </a:prstGeom>
                  </pic:spPr>
                </pic:pic>
              </a:graphicData>
            </a:graphic>
          </wp:inline>
        </w:drawing>
      </w:r>
    </w:p>
    <w:p>
      <w:pPr>
        <w:pStyle w:val="yFootnotesection"/>
      </w:pPr>
      <w:r>
        <w:tab/>
        <w:t>[Schedule 2 inserted in Gazette 7 Jun 2016 p. 1787.]</w:t>
      </w:r>
    </w:p>
    <w:p>
      <w:pPr>
        <w:outlineLvl w:val="0"/>
        <w:sectPr>
          <w:headerReference w:type="even" r:id="rId29"/>
          <w:headerReference w:type="default" r:id="rId30"/>
          <w:pgSz w:w="11907" w:h="16840" w:code="9"/>
          <w:pgMar w:top="2381" w:right="2410" w:bottom="3544" w:left="2410" w:header="720" w:footer="3544" w:gutter="0"/>
          <w:cols w:space="720"/>
        </w:sectPr>
      </w:pPr>
    </w:p>
    <w:p>
      <w:pPr>
        <w:pStyle w:val="nHeading2"/>
      </w:pPr>
      <w:bookmarkStart w:id="32" w:name="_Toc471997907"/>
      <w:r>
        <w:t>Notes</w:t>
      </w:r>
      <w:bookmarkEnd w:id="32"/>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33" w:name="_Toc471997908"/>
      <w:r>
        <w:t>Compilation table</w:t>
      </w:r>
      <w:bookmarkEnd w:id="33"/>
    </w:p>
    <w:tbl>
      <w:tblPr>
        <w:tblW w:w="7115" w:type="dxa"/>
        <w:tblInd w:w="28" w:type="dxa"/>
        <w:tblLayout w:type="fixed"/>
        <w:tblCellMar>
          <w:left w:w="56" w:type="dxa"/>
          <w:right w:w="56" w:type="dxa"/>
        </w:tblCellMar>
        <w:tblLook w:val="0000" w:firstRow="0" w:lastRow="0" w:firstColumn="0" w:lastColumn="0" w:noHBand="0" w:noVBand="0"/>
      </w:tblPr>
      <w:tblGrid>
        <w:gridCol w:w="28"/>
        <w:gridCol w:w="3090"/>
        <w:gridCol w:w="28"/>
        <w:gridCol w:w="1248"/>
        <w:gridCol w:w="28"/>
        <w:gridCol w:w="2665"/>
        <w:gridCol w:w="28"/>
      </w:tblGrid>
      <w:tr>
        <w:trPr>
          <w:gridBefore w:val="1"/>
          <w:wBefore w:w="28" w:type="dxa"/>
          <w:cantSplit/>
          <w:tblHeader/>
        </w:trPr>
        <w:tc>
          <w:tcPr>
            <w:tcW w:w="3118" w:type="dxa"/>
            <w:gridSpan w:val="2"/>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gridBefore w:val="1"/>
          <w:wBefore w:w="28" w:type="dxa"/>
          <w:cantSplit/>
        </w:trPr>
        <w:tc>
          <w:tcPr>
            <w:tcW w:w="3118"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93" w:type="dxa"/>
            <w:gridSpan w:val="2"/>
            <w:tcBorders>
              <w:top w:val="single" w:sz="8" w:space="0" w:color="auto"/>
            </w:tcBorders>
          </w:tcPr>
          <w:p>
            <w:pPr>
              <w:pStyle w:val="nTable"/>
              <w:spacing w:after="40"/>
            </w:pPr>
            <w:r>
              <w:t>1 Mar 1981 (see bl. 1.0)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93" w:type="dxa"/>
            <w:gridSpan w:val="2"/>
          </w:tcPr>
          <w:p>
            <w:pPr>
              <w:pStyle w:val="nTable"/>
              <w:spacing w:after="40"/>
            </w:pPr>
            <w:r>
              <w:t>1 Mar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93" w:type="dxa"/>
            <w:gridSpan w:val="2"/>
          </w:tcPr>
          <w:p>
            <w:pPr>
              <w:pStyle w:val="nTable"/>
              <w:spacing w:after="40"/>
            </w:pPr>
            <w:r>
              <w:t>1 Jul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93" w:type="dxa"/>
            <w:gridSpan w:val="2"/>
          </w:tcPr>
          <w:p>
            <w:pPr>
              <w:pStyle w:val="nTable"/>
              <w:spacing w:after="40"/>
            </w:pPr>
            <w:r>
              <w:t>31 Jul 1981</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93" w:type="dxa"/>
            <w:gridSpan w:val="2"/>
          </w:tcPr>
          <w:p>
            <w:pPr>
              <w:pStyle w:val="nTable"/>
              <w:spacing w:after="40"/>
            </w:pPr>
            <w:r>
              <w:t xml:space="preserve">31 Dec 1982 (see bl. 2 and </w:t>
            </w:r>
            <w:r>
              <w:rPr>
                <w:i/>
              </w:rPr>
              <w:t>Gazette</w:t>
            </w:r>
            <w:r>
              <w:t xml:space="preserve"> 31 Dec 1982 p. 4969)</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93" w:type="dxa"/>
            <w:gridSpan w:val="2"/>
          </w:tcPr>
          <w:p>
            <w:pPr>
              <w:pStyle w:val="nTable"/>
              <w:spacing w:after="40"/>
            </w:pPr>
            <w:r>
              <w:t>1 Jul 1983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93" w:type="dxa"/>
            <w:gridSpan w:val="2"/>
          </w:tcPr>
          <w:p>
            <w:pPr>
              <w:pStyle w:val="nTable"/>
              <w:spacing w:after="40"/>
            </w:pPr>
            <w:r>
              <w:t>1 Jul 1984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93" w:type="dxa"/>
            <w:gridSpan w:val="2"/>
          </w:tcPr>
          <w:p>
            <w:pPr>
              <w:pStyle w:val="nTable"/>
              <w:spacing w:after="40"/>
            </w:pPr>
            <w:r>
              <w:t>1 Jul 1984 (see bl. 3)</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93" w:type="dxa"/>
            <w:gridSpan w:val="2"/>
          </w:tcPr>
          <w:p>
            <w:pPr>
              <w:pStyle w:val="nTable"/>
              <w:spacing w:after="40"/>
            </w:pPr>
            <w:r>
              <w:t>By-laws other than bl. 5: 8 Mar 1985 (see bl. 2(1));</w:t>
            </w:r>
            <w:r>
              <w:br/>
              <w:t>bl. 5: 1 Jul 1985 (see bl. 2(2))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93" w:type="dxa"/>
            <w:gridSpan w:val="2"/>
          </w:tcPr>
          <w:p>
            <w:pPr>
              <w:pStyle w:val="nTable"/>
              <w:spacing w:after="40"/>
            </w:pPr>
            <w:r>
              <w:t>1 Jul 1985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93" w:type="dxa"/>
            <w:gridSpan w:val="2"/>
          </w:tcPr>
          <w:p>
            <w:pPr>
              <w:pStyle w:val="nTable"/>
              <w:spacing w:after="40"/>
            </w:pPr>
            <w:r>
              <w:t>28 Jun 1985</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93" w:type="dxa"/>
            <w:gridSpan w:val="2"/>
          </w:tcPr>
          <w:p>
            <w:pPr>
              <w:pStyle w:val="nTable"/>
              <w:spacing w:after="40"/>
            </w:pPr>
            <w:r>
              <w:t>1 Jul 1986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1987</w:t>
            </w:r>
            <w:r>
              <w:t xml:space="preserve"> Pt. V</w:t>
            </w:r>
            <w:r>
              <w:rPr>
                <w:vertAlign w:val="superscript"/>
              </w:rPr>
              <w:t> 5</w:t>
            </w:r>
          </w:p>
        </w:tc>
        <w:tc>
          <w:tcPr>
            <w:tcW w:w="1276" w:type="dxa"/>
            <w:gridSpan w:val="2"/>
          </w:tcPr>
          <w:p>
            <w:pPr>
              <w:pStyle w:val="nTable"/>
              <w:spacing w:after="40"/>
              <w:ind w:right="113"/>
            </w:pPr>
            <w:r>
              <w:t>14 Jul 1987 p. 2649-58</w:t>
            </w:r>
          </w:p>
        </w:tc>
        <w:tc>
          <w:tcPr>
            <w:tcW w:w="2693" w:type="dxa"/>
            <w:gridSpan w:val="2"/>
          </w:tcPr>
          <w:p>
            <w:pPr>
              <w:pStyle w:val="nTable"/>
              <w:spacing w:after="40"/>
              <w:ind w:right="113"/>
            </w:pPr>
            <w:r>
              <w:t>14 Jul 1987</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93" w:type="dxa"/>
            <w:gridSpan w:val="2"/>
          </w:tcPr>
          <w:p>
            <w:pPr>
              <w:pStyle w:val="nTable"/>
              <w:spacing w:after="40"/>
              <w:ind w:right="113"/>
            </w:pPr>
            <w:r>
              <w:t>19 Feb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93" w:type="dxa"/>
            <w:gridSpan w:val="2"/>
          </w:tcPr>
          <w:p>
            <w:pPr>
              <w:pStyle w:val="nTable"/>
              <w:spacing w:after="40"/>
              <w:ind w:right="113"/>
            </w:pPr>
            <w:r>
              <w:t>1 Jul 1988 (see bl. 2)</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93" w:type="dxa"/>
            <w:gridSpan w:val="2"/>
          </w:tcPr>
          <w:p>
            <w:pPr>
              <w:pStyle w:val="nTable"/>
              <w:spacing w:after="40"/>
              <w:ind w:right="113"/>
            </w:pPr>
            <w:r>
              <w:t>14 Oct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93" w:type="dxa"/>
            <w:gridSpan w:val="2"/>
          </w:tcPr>
          <w:p>
            <w:pPr>
              <w:pStyle w:val="nTable"/>
              <w:spacing w:after="40"/>
              <w:ind w:right="113"/>
            </w:pPr>
            <w:r>
              <w:t>21 Apr 1989</w:t>
            </w:r>
          </w:p>
        </w:tc>
      </w:tr>
      <w:tr>
        <w:trPr>
          <w:gridBefore w:val="1"/>
          <w:wBefore w:w="28" w:type="dxa"/>
        </w:trPr>
        <w:tc>
          <w:tcPr>
            <w:tcW w:w="3118"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93" w:type="dxa"/>
            <w:gridSpan w:val="2"/>
          </w:tcPr>
          <w:p>
            <w:pPr>
              <w:pStyle w:val="nTable"/>
              <w:spacing w:after="40"/>
              <w:ind w:right="113"/>
            </w:pPr>
            <w:r>
              <w:t>12 May 1989</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1989</w:t>
            </w:r>
            <w:r>
              <w:t xml:space="preserve"> Pt. 5</w:t>
            </w:r>
            <w:r>
              <w:rPr>
                <w:i/>
              </w:rPr>
              <w:t xml:space="preserve"> </w:t>
            </w:r>
            <w:r>
              <w:rPr>
                <w:vertAlign w:val="superscript"/>
              </w:rPr>
              <w:t>5</w:t>
            </w:r>
          </w:p>
        </w:tc>
        <w:tc>
          <w:tcPr>
            <w:tcW w:w="1276" w:type="dxa"/>
            <w:gridSpan w:val="2"/>
          </w:tcPr>
          <w:p>
            <w:pPr>
              <w:pStyle w:val="nTable"/>
              <w:spacing w:after="40"/>
              <w:ind w:right="113"/>
            </w:pPr>
            <w:r>
              <w:t>29 Jun 1989 p. 1883-91</w:t>
            </w:r>
          </w:p>
        </w:tc>
        <w:tc>
          <w:tcPr>
            <w:tcW w:w="2693" w:type="dxa"/>
            <w:gridSpan w:val="2"/>
          </w:tcPr>
          <w:p>
            <w:pPr>
              <w:pStyle w:val="nTable"/>
              <w:spacing w:after="40"/>
              <w:ind w:right="113"/>
            </w:pPr>
            <w:r>
              <w:t>1 Jul 1989 (see bl. 3)</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93" w:type="dxa"/>
            <w:gridSpan w:val="2"/>
          </w:tcPr>
          <w:p>
            <w:pPr>
              <w:pStyle w:val="nTable"/>
              <w:keepNext/>
              <w:spacing w:after="40"/>
              <w:ind w:right="113"/>
            </w:pPr>
            <w:r>
              <w:t>1 Jan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r>
              <w:rPr>
                <w:vertAlign w:val="superscript"/>
              </w:rPr>
              <w:t>6</w:t>
            </w:r>
          </w:p>
        </w:tc>
        <w:tc>
          <w:tcPr>
            <w:tcW w:w="1276" w:type="dxa"/>
            <w:gridSpan w:val="2"/>
          </w:tcPr>
          <w:p>
            <w:pPr>
              <w:pStyle w:val="nTable"/>
              <w:spacing w:after="40"/>
              <w:ind w:right="113"/>
            </w:pPr>
            <w:r>
              <w:t>22 Dec 1989 p. 4635-9</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1990</w:t>
            </w:r>
            <w:r>
              <w:t xml:space="preserve"> Pt. 5</w:t>
            </w:r>
            <w:r>
              <w:rPr>
                <w:vertAlign w:val="superscript"/>
              </w:rPr>
              <w:t> 5</w:t>
            </w:r>
          </w:p>
        </w:tc>
        <w:tc>
          <w:tcPr>
            <w:tcW w:w="1276" w:type="dxa"/>
            <w:gridSpan w:val="2"/>
          </w:tcPr>
          <w:p>
            <w:pPr>
              <w:pStyle w:val="nTable"/>
              <w:spacing w:after="40"/>
              <w:ind w:right="113"/>
            </w:pPr>
            <w:r>
              <w:t>29 Jun 1990 p. 3240-8</w:t>
            </w:r>
            <w:r>
              <w:br/>
              <w:t>(errata 6 Jul 1990 p. 3318)</w:t>
            </w:r>
          </w:p>
        </w:tc>
        <w:tc>
          <w:tcPr>
            <w:tcW w:w="2693" w:type="dxa"/>
            <w:gridSpan w:val="2"/>
          </w:tcPr>
          <w:p>
            <w:pPr>
              <w:pStyle w:val="nTable"/>
              <w:spacing w:after="40"/>
              <w:ind w:right="113"/>
            </w:pPr>
            <w:r>
              <w:t>1 Jul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93" w:type="dxa"/>
            <w:gridSpan w:val="2"/>
          </w:tcPr>
          <w:p>
            <w:pPr>
              <w:pStyle w:val="nTable"/>
              <w:spacing w:after="40"/>
              <w:ind w:right="113"/>
            </w:pPr>
            <w:r>
              <w:t>21 Sep 1990</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1991</w:t>
            </w:r>
            <w:r>
              <w:t xml:space="preserve"> Pt. 5</w:t>
            </w:r>
            <w:r>
              <w:rPr>
                <w:vertAlign w:val="superscript"/>
              </w:rPr>
              <w:t> 5</w:t>
            </w:r>
          </w:p>
        </w:tc>
        <w:tc>
          <w:tcPr>
            <w:tcW w:w="1276" w:type="dxa"/>
            <w:gridSpan w:val="2"/>
          </w:tcPr>
          <w:p>
            <w:pPr>
              <w:pStyle w:val="nTable"/>
              <w:spacing w:after="40"/>
              <w:ind w:right="113"/>
            </w:pPr>
            <w:r>
              <w:t>28 Jun 1991 p. 3281-9</w:t>
            </w:r>
          </w:p>
        </w:tc>
        <w:tc>
          <w:tcPr>
            <w:tcW w:w="2693" w:type="dxa"/>
            <w:gridSpan w:val="2"/>
          </w:tcPr>
          <w:p>
            <w:pPr>
              <w:pStyle w:val="nTable"/>
              <w:spacing w:after="40"/>
              <w:ind w:right="113"/>
            </w:pPr>
            <w:r>
              <w:t>1 Jul 1991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93" w:type="dxa"/>
            <w:gridSpan w:val="2"/>
          </w:tcPr>
          <w:p>
            <w:pPr>
              <w:pStyle w:val="nTable"/>
              <w:spacing w:after="40"/>
              <w:ind w:right="113"/>
            </w:pPr>
            <w:r>
              <w:t>3 Jan 1992</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1992</w:t>
            </w:r>
            <w:r>
              <w:t xml:space="preserve"> Pt. 5</w:t>
            </w:r>
            <w:r>
              <w:rPr>
                <w:vertAlign w:val="superscript"/>
              </w:rPr>
              <w:t> 5</w:t>
            </w:r>
          </w:p>
        </w:tc>
        <w:tc>
          <w:tcPr>
            <w:tcW w:w="1276" w:type="dxa"/>
            <w:gridSpan w:val="2"/>
          </w:tcPr>
          <w:p>
            <w:pPr>
              <w:pStyle w:val="nTable"/>
              <w:spacing w:after="40"/>
              <w:ind w:right="113"/>
            </w:pPr>
            <w:r>
              <w:t>26 Jun 1992 p. 2832-44</w:t>
            </w:r>
          </w:p>
        </w:tc>
        <w:tc>
          <w:tcPr>
            <w:tcW w:w="2693" w:type="dxa"/>
            <w:gridSpan w:val="2"/>
          </w:tcPr>
          <w:p>
            <w:pPr>
              <w:pStyle w:val="nTable"/>
              <w:spacing w:after="40"/>
              <w:ind w:right="113"/>
            </w:pPr>
            <w:r>
              <w:t>1 Jul 1992 (see bl. 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93" w:type="dxa"/>
            <w:gridSpan w:val="2"/>
          </w:tcPr>
          <w:p>
            <w:pPr>
              <w:pStyle w:val="nTable"/>
              <w:spacing w:after="40"/>
              <w:ind w:right="113"/>
            </w:pPr>
            <w:r>
              <w:t>1 Jan 1993 (see bl. 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93" w:type="dxa"/>
            <w:gridSpan w:val="2"/>
          </w:tcPr>
          <w:p>
            <w:pPr>
              <w:pStyle w:val="nTable"/>
              <w:spacing w:after="40"/>
              <w:ind w:right="113"/>
            </w:pPr>
            <w:r>
              <w:t>31 Dec 1992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93" w:type="dxa"/>
            <w:gridSpan w:val="2"/>
          </w:tcPr>
          <w:p>
            <w:pPr>
              <w:pStyle w:val="nTable"/>
              <w:keepNext/>
              <w:keepLines/>
              <w:spacing w:after="40"/>
              <w:ind w:right="113"/>
            </w:pPr>
            <w:r>
              <w:t>4 May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1993</w:t>
            </w:r>
            <w:r>
              <w:t xml:space="preserve"> Pt. 5</w:t>
            </w:r>
            <w:r>
              <w:rPr>
                <w:vertAlign w:val="superscript"/>
              </w:rPr>
              <w:t> 5</w:t>
            </w:r>
          </w:p>
        </w:tc>
        <w:tc>
          <w:tcPr>
            <w:tcW w:w="1276" w:type="dxa"/>
            <w:gridSpan w:val="2"/>
          </w:tcPr>
          <w:p>
            <w:pPr>
              <w:pStyle w:val="nTable"/>
              <w:spacing w:after="40"/>
              <w:ind w:right="113"/>
            </w:pPr>
            <w:r>
              <w:t>1 Jul 1993 p. 3238-50</w:t>
            </w:r>
          </w:p>
        </w:tc>
        <w:tc>
          <w:tcPr>
            <w:tcW w:w="2693" w:type="dxa"/>
            <w:gridSpan w:val="2"/>
          </w:tcPr>
          <w:p>
            <w:pPr>
              <w:pStyle w:val="nTable"/>
              <w:spacing w:after="40"/>
              <w:ind w:right="113"/>
            </w:pPr>
            <w:r>
              <w:t>1 Jul 1993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93" w:type="dxa"/>
            <w:gridSpan w:val="2"/>
          </w:tcPr>
          <w:p>
            <w:pPr>
              <w:pStyle w:val="nTable"/>
              <w:spacing w:after="40"/>
              <w:ind w:right="113"/>
            </w:pPr>
            <w:r>
              <w:t>30 Jul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1994</w:t>
            </w:r>
            <w:r>
              <w:t xml:space="preserve"> Pt. 5</w:t>
            </w:r>
            <w:r>
              <w:rPr>
                <w:vertAlign w:val="superscript"/>
              </w:rPr>
              <w:t> 5</w:t>
            </w:r>
          </w:p>
        </w:tc>
        <w:tc>
          <w:tcPr>
            <w:tcW w:w="1276" w:type="dxa"/>
            <w:gridSpan w:val="2"/>
          </w:tcPr>
          <w:p>
            <w:pPr>
              <w:pStyle w:val="nTable"/>
              <w:keepLines/>
              <w:spacing w:after="40"/>
              <w:ind w:right="113"/>
            </w:pPr>
            <w:r>
              <w:t>29 Jun 1994 p. 3159-70</w:t>
            </w:r>
          </w:p>
        </w:tc>
        <w:tc>
          <w:tcPr>
            <w:tcW w:w="2693" w:type="dxa"/>
            <w:gridSpan w:val="2"/>
          </w:tcPr>
          <w:p>
            <w:pPr>
              <w:pStyle w:val="nTable"/>
              <w:keepLines/>
              <w:spacing w:after="40"/>
              <w:ind w:right="113"/>
            </w:pPr>
            <w:r>
              <w:t>1 Jul 1994 (see bl. 2)</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93" w:type="dxa"/>
            <w:gridSpan w:val="2"/>
          </w:tcPr>
          <w:p>
            <w:pPr>
              <w:pStyle w:val="nTable"/>
              <w:keepNext/>
              <w:spacing w:after="40"/>
              <w:ind w:right="113"/>
            </w:pPr>
            <w:r>
              <w:t>23 Jun 1995</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1995</w:t>
            </w:r>
            <w:r>
              <w:t xml:space="preserve"> Pt. 5</w:t>
            </w:r>
            <w:r>
              <w:rPr>
                <w:vertAlign w:val="superscript"/>
              </w:rPr>
              <w:t> 5</w:t>
            </w:r>
          </w:p>
        </w:tc>
        <w:tc>
          <w:tcPr>
            <w:tcW w:w="1276" w:type="dxa"/>
            <w:gridSpan w:val="2"/>
          </w:tcPr>
          <w:p>
            <w:pPr>
              <w:pStyle w:val="nTable"/>
              <w:spacing w:after="40"/>
              <w:ind w:right="113"/>
            </w:pPr>
            <w:r>
              <w:t>30 Jun 1995 p. 2767-76</w:t>
            </w:r>
          </w:p>
        </w:tc>
        <w:tc>
          <w:tcPr>
            <w:tcW w:w="2693" w:type="dxa"/>
            <w:gridSpan w:val="2"/>
          </w:tcPr>
          <w:p>
            <w:pPr>
              <w:pStyle w:val="nTable"/>
              <w:spacing w:after="40"/>
              <w:ind w:right="113"/>
            </w:pPr>
            <w:r>
              <w:t>1 Jul 1995 (see bl. 2)</w:t>
            </w:r>
          </w:p>
        </w:tc>
      </w:tr>
      <w:tr>
        <w:trPr>
          <w:gridBefore w:val="1"/>
          <w:wBefore w:w="28" w:type="dxa"/>
        </w:trPr>
        <w:tc>
          <w:tcPr>
            <w:tcW w:w="3118"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93" w:type="dxa"/>
            <w:gridSpan w:val="2"/>
          </w:tcPr>
          <w:p>
            <w:pPr>
              <w:pStyle w:val="nTable"/>
              <w:keepNext/>
              <w:keepLines/>
              <w:spacing w:after="40"/>
              <w:ind w:right="113"/>
            </w:pPr>
            <w:r>
              <w:t>30 Jun 1995</w:t>
            </w:r>
          </w:p>
        </w:tc>
      </w:tr>
      <w:tr>
        <w:trPr>
          <w:gridBefore w:val="1"/>
          <w:wBefore w:w="28" w:type="dxa"/>
        </w:trPr>
        <w:tc>
          <w:tcPr>
            <w:tcW w:w="3118"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93" w:type="dxa"/>
            <w:gridSpan w:val="2"/>
          </w:tcPr>
          <w:p>
            <w:pPr>
              <w:pStyle w:val="nTable"/>
              <w:spacing w:after="40"/>
              <w:ind w:right="113"/>
            </w:pPr>
            <w:r>
              <w:t xml:space="preserve">1 Jan 1996 (see bl. 2 and </w:t>
            </w:r>
            <w:r>
              <w:rPr>
                <w:i/>
              </w:rPr>
              <w:t>Gazette</w:t>
            </w:r>
            <w:r>
              <w:t xml:space="preserve"> 29 Dec 1995 p. 6291)</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93" w:type="dxa"/>
            <w:gridSpan w:val="2"/>
          </w:tcPr>
          <w:p>
            <w:pPr>
              <w:pStyle w:val="nTable"/>
              <w:spacing w:after="40"/>
              <w:ind w:right="113"/>
            </w:pPr>
            <w:r>
              <w:t>4 Feb 1997</w:t>
            </w:r>
          </w:p>
        </w:tc>
      </w:tr>
      <w:tr>
        <w:trPr>
          <w:gridBefore w:val="1"/>
          <w:wBefore w:w="28" w:type="dxa"/>
          <w:cantSplit/>
        </w:trPr>
        <w:tc>
          <w:tcPr>
            <w:tcW w:w="7087" w:type="dxa"/>
            <w:gridSpan w:val="6"/>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1997</w:t>
            </w:r>
            <w:r>
              <w:t xml:space="preserve"> Pt. 5</w:t>
            </w:r>
            <w:r>
              <w:rPr>
                <w:vertAlign w:val="superscript"/>
              </w:rPr>
              <w:t> 5</w:t>
            </w:r>
          </w:p>
        </w:tc>
        <w:tc>
          <w:tcPr>
            <w:tcW w:w="1276" w:type="dxa"/>
            <w:gridSpan w:val="2"/>
          </w:tcPr>
          <w:p>
            <w:pPr>
              <w:pStyle w:val="nTable"/>
              <w:spacing w:after="40"/>
            </w:pPr>
            <w:r>
              <w:t>27 Jun 1997 p. 3204</w:t>
            </w:r>
            <w:r>
              <w:noBreakHyphen/>
              <w:t>20</w:t>
            </w:r>
          </w:p>
        </w:tc>
        <w:tc>
          <w:tcPr>
            <w:tcW w:w="2693" w:type="dxa"/>
            <w:gridSpan w:val="2"/>
          </w:tcPr>
          <w:p>
            <w:pPr>
              <w:pStyle w:val="nTable"/>
              <w:spacing w:after="40"/>
            </w:pPr>
            <w:r>
              <w:t>1 Jul 1997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5</w:t>
            </w:r>
          </w:p>
        </w:tc>
        <w:tc>
          <w:tcPr>
            <w:tcW w:w="1276" w:type="dxa"/>
            <w:gridSpan w:val="2"/>
          </w:tcPr>
          <w:p>
            <w:pPr>
              <w:pStyle w:val="nTable"/>
              <w:spacing w:after="40"/>
            </w:pPr>
            <w:r>
              <w:t>26 Jun 1998 p. 3417</w:t>
            </w:r>
            <w:r>
              <w:noBreakHyphen/>
              <w:t>21</w:t>
            </w:r>
          </w:p>
        </w:tc>
        <w:tc>
          <w:tcPr>
            <w:tcW w:w="2693" w:type="dxa"/>
            <w:gridSpan w:val="2"/>
          </w:tcPr>
          <w:p>
            <w:pPr>
              <w:pStyle w:val="nTable"/>
              <w:spacing w:after="40"/>
            </w:pPr>
            <w:r>
              <w:t>1 Jul 1998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93" w:type="dxa"/>
            <w:gridSpan w:val="2"/>
          </w:tcPr>
          <w:p>
            <w:pPr>
              <w:pStyle w:val="nTable"/>
              <w:spacing w:after="40"/>
            </w:pPr>
            <w:r>
              <w:t>25 Aug 1998</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93" w:type="dxa"/>
            <w:gridSpan w:val="2"/>
          </w:tcPr>
          <w:p>
            <w:pPr>
              <w:pStyle w:val="nTable"/>
              <w:spacing w:after="40"/>
            </w:pPr>
            <w:r>
              <w:t>29 Sep 1998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1999</w:t>
            </w:r>
            <w:r>
              <w:t xml:space="preserve"> Pt. 6</w:t>
            </w:r>
            <w:r>
              <w:rPr>
                <w:vertAlign w:val="superscript"/>
              </w:rPr>
              <w:t> 5</w:t>
            </w:r>
          </w:p>
        </w:tc>
        <w:tc>
          <w:tcPr>
            <w:tcW w:w="1276" w:type="dxa"/>
            <w:gridSpan w:val="2"/>
          </w:tcPr>
          <w:p>
            <w:pPr>
              <w:pStyle w:val="nTable"/>
              <w:spacing w:after="40"/>
            </w:pPr>
            <w:r>
              <w:t>29 Jun 1999 p. 2775-87</w:t>
            </w:r>
          </w:p>
        </w:tc>
        <w:tc>
          <w:tcPr>
            <w:tcW w:w="2693" w:type="dxa"/>
            <w:gridSpan w:val="2"/>
          </w:tcPr>
          <w:p>
            <w:pPr>
              <w:pStyle w:val="nTable"/>
              <w:spacing w:after="40"/>
            </w:pPr>
            <w:r>
              <w:t>1 Jul 1999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93" w:type="dxa"/>
            <w:gridSpan w:val="2"/>
          </w:tcPr>
          <w:p>
            <w:pPr>
              <w:pStyle w:val="nTable"/>
              <w:spacing w:after="40"/>
            </w:pPr>
            <w:r>
              <w:t xml:space="preserve">19 Jun 2000 (see bl. 2 and </w:t>
            </w:r>
            <w:r>
              <w:rPr>
                <w:i/>
              </w:rPr>
              <w:t>Gazette</w:t>
            </w:r>
            <w:r>
              <w:t xml:space="preserve"> 16 Jun 2000 p. 2939)</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2000</w:t>
            </w:r>
            <w:r>
              <w:t xml:space="preserve"> Pt. 6</w:t>
            </w:r>
            <w:r>
              <w:rPr>
                <w:vertAlign w:val="superscript"/>
              </w:rPr>
              <w:t> 5</w:t>
            </w:r>
          </w:p>
        </w:tc>
        <w:tc>
          <w:tcPr>
            <w:tcW w:w="1276" w:type="dxa"/>
            <w:gridSpan w:val="2"/>
          </w:tcPr>
          <w:p>
            <w:pPr>
              <w:pStyle w:val="nTable"/>
              <w:spacing w:after="40"/>
            </w:pPr>
            <w:r>
              <w:t>29 Jun 2000 p. 3365-79</w:t>
            </w:r>
          </w:p>
        </w:tc>
        <w:tc>
          <w:tcPr>
            <w:tcW w:w="2693" w:type="dxa"/>
            <w:gridSpan w:val="2"/>
          </w:tcPr>
          <w:p>
            <w:pPr>
              <w:pStyle w:val="nTable"/>
              <w:spacing w:after="40"/>
            </w:pPr>
            <w:r>
              <w:t>1 Jul 2000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93" w:type="dxa"/>
            <w:gridSpan w:val="2"/>
          </w:tcPr>
          <w:p>
            <w:pPr>
              <w:pStyle w:val="nTable"/>
              <w:spacing w:after="40"/>
            </w:pPr>
            <w:r>
              <w:t>1 Sep 2000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93" w:type="dxa"/>
            <w:gridSpan w:val="2"/>
          </w:tcPr>
          <w:p>
            <w:pPr>
              <w:pStyle w:val="nTable"/>
              <w:spacing w:after="40"/>
            </w:pPr>
            <w:r>
              <w:t xml:space="preserve">29 Sep 2000 </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93" w:type="dxa"/>
            <w:gridSpan w:val="2"/>
          </w:tcPr>
          <w:p>
            <w:pPr>
              <w:pStyle w:val="nTable"/>
              <w:spacing w:after="40"/>
            </w:pPr>
            <w:r>
              <w:t>14 Nov 2000</w:t>
            </w:r>
          </w:p>
        </w:tc>
      </w:tr>
      <w:tr>
        <w:trPr>
          <w:gridBefore w:val="1"/>
          <w:wBefore w:w="28" w:type="dxa"/>
          <w:cantSplit/>
        </w:trPr>
        <w:tc>
          <w:tcPr>
            <w:tcW w:w="3118"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r>
              <w:rPr>
                <w:vertAlign w:val="superscript"/>
              </w:rPr>
              <w:t>5</w:t>
            </w:r>
          </w:p>
        </w:tc>
        <w:tc>
          <w:tcPr>
            <w:tcW w:w="1276" w:type="dxa"/>
            <w:gridSpan w:val="2"/>
          </w:tcPr>
          <w:p>
            <w:pPr>
              <w:pStyle w:val="nTable"/>
              <w:spacing w:after="40"/>
            </w:pPr>
            <w:r>
              <w:t>29 Jun 2001 p. 3230-42</w:t>
            </w:r>
          </w:p>
        </w:tc>
        <w:tc>
          <w:tcPr>
            <w:tcW w:w="2693" w:type="dxa"/>
            <w:gridSpan w:val="2"/>
          </w:tcPr>
          <w:p>
            <w:pPr>
              <w:pStyle w:val="nTable"/>
              <w:spacing w:after="40"/>
            </w:pPr>
            <w:r>
              <w:t>1 Jul 2001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93" w:type="dxa"/>
            <w:gridSpan w:val="2"/>
          </w:tcPr>
          <w:p>
            <w:pPr>
              <w:pStyle w:val="nTable"/>
              <w:spacing w:after="40"/>
              <w:ind w:right="113"/>
            </w:pPr>
            <w:r>
              <w:t>1 Jul 2002</w:t>
            </w:r>
          </w:p>
        </w:tc>
      </w:tr>
      <w:tr>
        <w:trPr>
          <w:gridBefore w:val="1"/>
          <w:wBefore w:w="28" w:type="dxa"/>
          <w:cantSplit/>
          <w:trHeight w:val="40"/>
        </w:trPr>
        <w:tc>
          <w:tcPr>
            <w:tcW w:w="3118" w:type="dxa"/>
            <w:gridSpan w:val="2"/>
          </w:tcPr>
          <w:p>
            <w:pPr>
              <w:pStyle w:val="nTable"/>
              <w:spacing w:after="40"/>
              <w:ind w:right="113"/>
              <w:rPr>
                <w:vertAlign w:val="superscript"/>
              </w:rPr>
            </w:pPr>
            <w:r>
              <w:rPr>
                <w:i/>
              </w:rPr>
              <w:t>Water Agencies Amendment By</w:t>
            </w:r>
            <w:r>
              <w:rPr>
                <w:i/>
              </w:rPr>
              <w:noBreakHyphen/>
              <w:t xml:space="preserve">laws 2003 </w:t>
            </w:r>
            <w:r>
              <w:t>Pt. 6 </w:t>
            </w:r>
            <w:r>
              <w:rPr>
                <w:vertAlign w:val="superscript"/>
              </w:rPr>
              <w:t>5</w:t>
            </w:r>
          </w:p>
        </w:tc>
        <w:tc>
          <w:tcPr>
            <w:tcW w:w="1276" w:type="dxa"/>
            <w:gridSpan w:val="2"/>
          </w:tcPr>
          <w:p>
            <w:pPr>
              <w:pStyle w:val="nTable"/>
              <w:spacing w:after="40"/>
              <w:ind w:right="113"/>
            </w:pPr>
            <w:r>
              <w:t>27 Jun 2003 p. 2422</w:t>
            </w:r>
            <w:r>
              <w:noBreakHyphen/>
              <w:t>32</w:t>
            </w:r>
          </w:p>
        </w:tc>
        <w:tc>
          <w:tcPr>
            <w:tcW w:w="2693" w:type="dxa"/>
            <w:gridSpan w:val="2"/>
          </w:tcPr>
          <w:p>
            <w:pPr>
              <w:pStyle w:val="nTable"/>
              <w:spacing w:after="40"/>
              <w:ind w:right="113"/>
            </w:pPr>
            <w:r>
              <w:t>1 Jul 2003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93" w:type="dxa"/>
            <w:gridSpan w:val="2"/>
          </w:tcPr>
          <w:p>
            <w:pPr>
              <w:pStyle w:val="nTable"/>
              <w:spacing w:after="40"/>
              <w:ind w:right="113"/>
            </w:pPr>
            <w:r>
              <w:t xml:space="preserve">1 Jul 2004 (see bl. 2 and </w:t>
            </w:r>
            <w:r>
              <w:rPr>
                <w:i/>
              </w:rPr>
              <w:t>Gazette</w:t>
            </w:r>
            <w:r>
              <w:t xml:space="preserve"> 28 Jun 2004 p. 2399)</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laws 2004</w:t>
            </w:r>
            <w:r>
              <w:t xml:space="preserve"> Pt. 5</w:t>
            </w:r>
            <w:r>
              <w:rPr>
                <w:i/>
              </w:rPr>
              <w:t> </w:t>
            </w:r>
            <w:r>
              <w:rPr>
                <w:vertAlign w:val="superscript"/>
              </w:rPr>
              <w:t>5</w:t>
            </w:r>
          </w:p>
        </w:tc>
        <w:tc>
          <w:tcPr>
            <w:tcW w:w="1276" w:type="dxa"/>
            <w:gridSpan w:val="2"/>
          </w:tcPr>
          <w:p>
            <w:pPr>
              <w:pStyle w:val="nTable"/>
              <w:spacing w:after="40"/>
              <w:ind w:right="113"/>
            </w:pPr>
            <w:r>
              <w:t>29 Jun 2004 p. 2497-503</w:t>
            </w:r>
          </w:p>
        </w:tc>
        <w:tc>
          <w:tcPr>
            <w:tcW w:w="2693" w:type="dxa"/>
            <w:gridSpan w:val="2"/>
          </w:tcPr>
          <w:p>
            <w:pPr>
              <w:pStyle w:val="nTable"/>
              <w:spacing w:after="40"/>
              <w:ind w:right="113"/>
            </w:pPr>
            <w:r>
              <w:t>1 Jul 2004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93" w:type="dxa"/>
            <w:gridSpan w:val="2"/>
          </w:tcPr>
          <w:p>
            <w:pPr>
              <w:pStyle w:val="nTable"/>
              <w:spacing w:after="40"/>
              <w:ind w:right="113"/>
            </w:pPr>
            <w:r>
              <w:t>26 Apr 2005</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r>
              <w:rPr>
                <w:vertAlign w:val="superscript"/>
              </w:rPr>
              <w:t>5</w:t>
            </w:r>
          </w:p>
        </w:tc>
        <w:tc>
          <w:tcPr>
            <w:tcW w:w="1276" w:type="dxa"/>
            <w:gridSpan w:val="2"/>
          </w:tcPr>
          <w:p>
            <w:pPr>
              <w:pStyle w:val="nTable"/>
              <w:spacing w:after="40"/>
              <w:ind w:right="113"/>
            </w:pPr>
            <w:r>
              <w:rPr>
                <w:bCs/>
              </w:rPr>
              <w:t>1 Jul 2005 p. 3009-17</w:t>
            </w:r>
          </w:p>
        </w:tc>
        <w:tc>
          <w:tcPr>
            <w:tcW w:w="2693" w:type="dxa"/>
            <w:gridSpan w:val="2"/>
          </w:tcPr>
          <w:p>
            <w:pPr>
              <w:pStyle w:val="nTable"/>
              <w:spacing w:after="40"/>
              <w:ind w:right="113"/>
            </w:pPr>
            <w:r>
              <w:rPr>
                <w:bCs/>
              </w:rPr>
              <w:t>1 Jul 2005 (see bl. 2)</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5</w:t>
            </w:r>
          </w:p>
        </w:tc>
        <w:tc>
          <w:tcPr>
            <w:tcW w:w="1276" w:type="dxa"/>
            <w:gridSpan w:val="2"/>
          </w:tcPr>
          <w:p>
            <w:pPr>
              <w:pStyle w:val="nTable"/>
              <w:spacing w:after="40"/>
              <w:ind w:right="113"/>
              <w:rPr>
                <w:bCs/>
              </w:rPr>
            </w:pPr>
            <w:r>
              <w:rPr>
                <w:bCs/>
              </w:rPr>
              <w:t>30 Jun 2006 p. 2399-412</w:t>
            </w:r>
          </w:p>
        </w:tc>
        <w:tc>
          <w:tcPr>
            <w:tcW w:w="2693" w:type="dxa"/>
            <w:gridSpan w:val="2"/>
          </w:tcPr>
          <w:p>
            <w:pPr>
              <w:pStyle w:val="nTable"/>
              <w:spacing w:after="40"/>
              <w:ind w:right="113"/>
              <w:rPr>
                <w:bCs/>
              </w:rPr>
            </w:pPr>
            <w:r>
              <w:rPr>
                <w:bCs/>
              </w:rPr>
              <w:t>1 Jul 2006 (see bl. 2)</w:t>
            </w:r>
          </w:p>
        </w:tc>
      </w:tr>
      <w:tr>
        <w:trPr>
          <w:gridBefore w:val="1"/>
          <w:wBefore w:w="28" w:type="dxa"/>
          <w:cantSplit/>
          <w:trHeight w:val="40"/>
        </w:trPr>
        <w:tc>
          <w:tcPr>
            <w:tcW w:w="7087" w:type="dxa"/>
            <w:gridSpan w:val="6"/>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r>
              <w:rPr>
                <w:iCs/>
                <w:vertAlign w:val="superscript"/>
              </w:rPr>
              <w:t>7</w:t>
            </w:r>
          </w:p>
        </w:tc>
        <w:tc>
          <w:tcPr>
            <w:tcW w:w="1276" w:type="dxa"/>
            <w:gridSpan w:val="2"/>
          </w:tcPr>
          <w:p>
            <w:pPr>
              <w:pStyle w:val="nTable"/>
              <w:spacing w:after="40"/>
              <w:ind w:right="113"/>
            </w:pPr>
            <w:r>
              <w:t>5 Apr 2007 p. 1529</w:t>
            </w:r>
            <w:r>
              <w:noBreakHyphen/>
              <w:t>31</w:t>
            </w:r>
          </w:p>
        </w:tc>
        <w:tc>
          <w:tcPr>
            <w:tcW w:w="2693" w:type="dxa"/>
            <w:gridSpan w:val="2"/>
          </w:tcPr>
          <w:p>
            <w:pPr>
              <w:pStyle w:val="nTable"/>
              <w:spacing w:after="40"/>
              <w:ind w:right="113"/>
            </w:pPr>
            <w:r>
              <w:t>5 Apr 2007</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93" w:type="dxa"/>
            <w:gridSpan w:val="2"/>
          </w:tcPr>
          <w:p>
            <w:pPr>
              <w:pStyle w:val="nTable"/>
              <w:spacing w:after="40"/>
              <w:ind w:right="113"/>
            </w:pPr>
            <w:r>
              <w:t>13 Apr 2007 (see bl. 2)</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5</w:t>
            </w:r>
          </w:p>
        </w:tc>
        <w:tc>
          <w:tcPr>
            <w:tcW w:w="1276" w:type="dxa"/>
            <w:gridSpan w:val="2"/>
          </w:tcPr>
          <w:p>
            <w:pPr>
              <w:pStyle w:val="nTable"/>
              <w:spacing w:after="40"/>
              <w:ind w:right="113"/>
            </w:pPr>
            <w:r>
              <w:rPr>
                <w:bCs/>
              </w:rPr>
              <w:t>29 Jun 2007 p. 3233-44</w:t>
            </w:r>
          </w:p>
        </w:tc>
        <w:tc>
          <w:tcPr>
            <w:tcW w:w="2693" w:type="dxa"/>
            <w:gridSpan w:val="2"/>
          </w:tcPr>
          <w:p>
            <w:pPr>
              <w:pStyle w:val="nTable"/>
              <w:spacing w:after="40"/>
              <w:ind w:right="113"/>
            </w:pPr>
            <w:r>
              <w:rPr>
                <w:bCs/>
              </w:rPr>
              <w:t>1 Jul 2007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93" w:type="dxa"/>
            <w:gridSpan w:val="2"/>
          </w:tcPr>
          <w:p>
            <w:pPr>
              <w:pStyle w:val="nTable"/>
              <w:spacing w:after="40"/>
              <w:ind w:right="113"/>
              <w:rPr>
                <w:bCs/>
              </w:rPr>
            </w:pPr>
            <w:r>
              <w:rPr>
                <w:bCs/>
              </w:rPr>
              <w:t>bl. 1 and 2: 28 Mar 2008 (see bl. 2(a));</w:t>
            </w:r>
            <w:r>
              <w:rPr>
                <w:bCs/>
              </w:rPr>
              <w:br/>
              <w:t>By-laws other than bl. 1 and 2: 29 Mar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93" w:type="dxa"/>
            <w:gridSpan w:val="2"/>
          </w:tcPr>
          <w:p>
            <w:pPr>
              <w:pStyle w:val="nTable"/>
              <w:spacing w:after="40"/>
              <w:ind w:right="113"/>
              <w:rPr>
                <w:bCs/>
              </w:rPr>
            </w:pPr>
            <w:r>
              <w:rPr>
                <w:bCs/>
              </w:rPr>
              <w:t>bl. 1 and 2: 23 May 2008 (see bl. 2(a));</w:t>
            </w:r>
            <w:r>
              <w:rPr>
                <w:bCs/>
              </w:rPr>
              <w:br/>
              <w:t>By-laws other than bl. 1 and 2: 24 May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8</w:t>
            </w:r>
          </w:p>
        </w:tc>
        <w:tc>
          <w:tcPr>
            <w:tcW w:w="1276" w:type="dxa"/>
            <w:gridSpan w:val="2"/>
          </w:tcPr>
          <w:p>
            <w:pPr>
              <w:pStyle w:val="nTable"/>
              <w:spacing w:after="40"/>
              <w:ind w:right="113"/>
              <w:rPr>
                <w:bCs/>
              </w:rPr>
            </w:pPr>
            <w:r>
              <w:rPr>
                <w:bCs/>
              </w:rPr>
              <w:t>27 Jun 2008 p. 3076</w:t>
            </w:r>
            <w:r>
              <w:rPr>
                <w:bCs/>
              </w:rPr>
              <w:noBreakHyphen/>
              <w:t>84</w:t>
            </w:r>
          </w:p>
        </w:tc>
        <w:tc>
          <w:tcPr>
            <w:tcW w:w="2693" w:type="dxa"/>
            <w:gridSpan w:val="2"/>
          </w:tcPr>
          <w:p>
            <w:pPr>
              <w:pStyle w:val="nTable"/>
              <w:spacing w:after="40"/>
              <w:ind w:right="113"/>
              <w:rPr>
                <w:bCs/>
              </w:rPr>
            </w:pPr>
            <w:r>
              <w:rPr>
                <w:bCs/>
                <w:snapToGrid w:val="0"/>
              </w:rPr>
              <w:t>1 Jul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93" w:type="dxa"/>
            <w:gridSpan w:val="2"/>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rPr>
          <w:gridBefore w:val="1"/>
          <w:wBefore w:w="28" w:type="dxa"/>
          <w:cantSplit/>
          <w:trHeight w:val="40"/>
        </w:trPr>
        <w:tc>
          <w:tcPr>
            <w:tcW w:w="7087" w:type="dxa"/>
            <w:gridSpan w:val="6"/>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93" w:type="dxa"/>
            <w:gridSpan w:val="2"/>
          </w:tcPr>
          <w:p>
            <w:pPr>
              <w:pStyle w:val="nTable"/>
              <w:spacing w:after="40"/>
              <w:ind w:right="113"/>
              <w:rPr>
                <w:bCs/>
                <w:snapToGrid w:val="0"/>
              </w:rPr>
            </w:pPr>
            <w:r>
              <w:rPr>
                <w:bCs/>
                <w:snapToGrid w:val="0"/>
              </w:rPr>
              <w:t>1 Jul 2009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93" w:type="dxa"/>
            <w:gridSpan w:val="2"/>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rPr>
          <w:gridAfter w:val="1"/>
          <w:wAfter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93" w:type="dxa"/>
            <w:gridSpan w:val="2"/>
          </w:tcPr>
          <w:p>
            <w:pPr>
              <w:pStyle w:val="nTable"/>
              <w:spacing w:after="40"/>
              <w:ind w:right="113"/>
              <w:rPr>
                <w:bCs/>
                <w:snapToGrid w:val="0"/>
              </w:rPr>
            </w:pPr>
            <w:r>
              <w:rPr>
                <w:bCs/>
                <w:snapToGrid w:val="0"/>
              </w:rPr>
              <w:t>1 Jul 2010 (see bl. 2(b))</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93"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93"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93" w:type="dxa"/>
            <w:gridSpan w:val="2"/>
            <w:shd w:val="clear" w:color="auto" w:fill="auto"/>
          </w:tcPr>
          <w:p>
            <w:pPr>
              <w:pStyle w:val="nTable"/>
              <w:spacing w:after="40"/>
              <w:ind w:right="113"/>
              <w:rPr>
                <w:bCs/>
                <w:snapToGrid w:val="0"/>
              </w:rPr>
            </w:pPr>
            <w:r>
              <w:rPr>
                <w:bCs/>
                <w:snapToGrid w:val="0"/>
              </w:rPr>
              <w:t>1 Jul 2011 (see bl. 2(b))</w:t>
            </w:r>
          </w:p>
        </w:tc>
      </w:tr>
      <w:tr>
        <w:trPr>
          <w:gridAfter w:val="1"/>
          <w:wAfter w:w="28" w:type="dxa"/>
          <w:cantSplit/>
          <w:trHeight w:val="40"/>
        </w:trPr>
        <w:tc>
          <w:tcPr>
            <w:tcW w:w="7087" w:type="dxa"/>
            <w:gridSpan w:val="6"/>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93" w:type="dxa"/>
            <w:gridSpan w:val="2"/>
            <w:shd w:val="clear" w:color="auto" w:fill="auto"/>
          </w:tcPr>
          <w:p>
            <w:pPr>
              <w:pStyle w:val="nTable"/>
              <w:spacing w:after="40"/>
              <w:ind w:right="113"/>
              <w:rPr>
                <w:bCs/>
                <w:snapToGrid w:val="0"/>
              </w:rPr>
            </w:pPr>
            <w:r>
              <w:rPr>
                <w:bCs/>
                <w:snapToGrid w:val="0"/>
              </w:rPr>
              <w:t>1 Jul 2012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rFonts w:ascii="Arial" w:hAnsi="Arial"/>
                <w:bCs/>
              </w:rPr>
            </w:pPr>
            <w:r>
              <w:rPr>
                <w:bCs/>
              </w:rPr>
              <w:t>19 Jun 2013 p. 2333</w:t>
            </w:r>
            <w:r>
              <w:rPr>
                <w:bCs/>
              </w:rPr>
              <w:noBreakHyphen/>
              <w:t>46</w:t>
            </w:r>
          </w:p>
        </w:tc>
        <w:tc>
          <w:tcPr>
            <w:tcW w:w="2693" w:type="dxa"/>
            <w:gridSpan w:val="2"/>
            <w:shd w:val="clear" w:color="auto" w:fill="auto"/>
          </w:tcPr>
          <w:p>
            <w:pPr>
              <w:pStyle w:val="nTable"/>
              <w:spacing w:after="40"/>
              <w:ind w:right="113"/>
              <w:rPr>
                <w:rFonts w:ascii="Arial" w:hAnsi="Arial"/>
                <w:bCs/>
                <w:snapToGrid w:val="0"/>
              </w:rPr>
            </w:pPr>
            <w:r>
              <w:rPr>
                <w:bCs/>
                <w:snapToGrid w:val="0"/>
              </w:rPr>
              <w:t>1 Jul 2013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Metropolitan Water Supply, Sewerage and Drainage Amendment By</w:t>
            </w:r>
            <w:r>
              <w:rPr>
                <w:bCs/>
                <w:i/>
                <w:iCs/>
              </w:rPr>
              <w:noBreakHyphen/>
              <w:t>laws 2013</w:t>
            </w:r>
          </w:p>
        </w:tc>
        <w:tc>
          <w:tcPr>
            <w:tcW w:w="1276" w:type="dxa"/>
            <w:gridSpan w:val="2"/>
            <w:shd w:val="clear" w:color="auto" w:fill="auto"/>
          </w:tcPr>
          <w:p>
            <w:pPr>
              <w:pStyle w:val="nTable"/>
              <w:spacing w:after="40"/>
              <w:ind w:right="113"/>
              <w:rPr>
                <w:bCs/>
              </w:rPr>
            </w:pPr>
            <w:r>
              <w:rPr>
                <w:bCs/>
              </w:rPr>
              <w:t>14 Nov 2013 p. 5053</w:t>
            </w:r>
            <w:r>
              <w:rPr>
                <w:bCs/>
              </w:rPr>
              <w:noBreakHyphen/>
              <w:t>7</w:t>
            </w:r>
          </w:p>
        </w:tc>
        <w:tc>
          <w:tcPr>
            <w:tcW w:w="2693" w:type="dxa"/>
            <w:gridSpan w:val="2"/>
            <w:shd w:val="clear" w:color="auto" w:fill="auto"/>
          </w:tcPr>
          <w:p>
            <w:pPr>
              <w:pStyle w:val="nTable"/>
              <w:spacing w:after="40"/>
              <w:ind w:right="113"/>
              <w:rPr>
                <w:rFonts w:ascii="Arial" w:hAnsi="Arial"/>
                <w:bCs/>
                <w:snapToGrid w:val="0"/>
              </w:rPr>
            </w:pPr>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p>
        </w:tc>
      </w:tr>
      <w:tr>
        <w:trPr>
          <w:gridAfter w:val="1"/>
          <w:wAfter w:w="28" w:type="dxa"/>
          <w:cantSplit/>
          <w:trHeight w:val="40"/>
        </w:trPr>
        <w:tc>
          <w:tcPr>
            <w:tcW w:w="3118" w:type="dxa"/>
            <w:gridSpan w:val="2"/>
            <w:tcBorders>
              <w:bottom w:val="single" w:sz="4" w:space="0" w:color="auto"/>
            </w:tcBorders>
            <w:shd w:val="clear" w:color="auto" w:fill="auto"/>
          </w:tcPr>
          <w:p>
            <w:pPr>
              <w:pStyle w:val="nTable"/>
              <w:spacing w:after="40"/>
              <w:ind w:right="113"/>
              <w:rPr>
                <w:bCs/>
                <w:i/>
                <w:iCs/>
              </w:rPr>
            </w:pPr>
            <w:r>
              <w:rPr>
                <w:i/>
              </w:rPr>
              <w:t>Metropolitan Water Supply, Sewerage and Drainage Amendment By</w:t>
            </w:r>
            <w:r>
              <w:rPr>
                <w:i/>
              </w:rPr>
              <w:noBreakHyphen/>
              <w:t>laws 2016</w:t>
            </w:r>
          </w:p>
        </w:tc>
        <w:tc>
          <w:tcPr>
            <w:tcW w:w="1276" w:type="dxa"/>
            <w:gridSpan w:val="2"/>
            <w:tcBorders>
              <w:bottom w:val="single" w:sz="4" w:space="0" w:color="auto"/>
            </w:tcBorders>
            <w:shd w:val="clear" w:color="auto" w:fill="auto"/>
          </w:tcPr>
          <w:p>
            <w:pPr>
              <w:pStyle w:val="nTable"/>
              <w:spacing w:after="40"/>
              <w:ind w:right="113"/>
              <w:rPr>
                <w:bCs/>
              </w:rPr>
            </w:pPr>
            <w:r>
              <w:rPr>
                <w:bCs/>
              </w:rPr>
              <w:t>7 Jun 2016 p. 1782</w:t>
            </w:r>
            <w:r>
              <w:rPr>
                <w:bCs/>
              </w:rPr>
              <w:noBreakHyphen/>
              <w:t>7</w:t>
            </w:r>
          </w:p>
        </w:tc>
        <w:tc>
          <w:tcPr>
            <w:tcW w:w="2693" w:type="dxa"/>
            <w:gridSpan w:val="2"/>
            <w:tcBorders>
              <w:bottom w:val="single" w:sz="4" w:space="0" w:color="auto"/>
            </w:tcBorders>
            <w:shd w:val="clear" w:color="auto" w:fill="auto"/>
          </w:tcPr>
          <w:p>
            <w:pPr>
              <w:pStyle w:val="nTable"/>
              <w:spacing w:after="40"/>
              <w:ind w:right="113"/>
              <w:rPr>
                <w:bCs/>
                <w:snapToGrid w:val="0"/>
              </w:rPr>
            </w:pPr>
            <w:r>
              <w:rPr>
                <w:bCs/>
                <w:snapToGrid w:val="0"/>
              </w:rPr>
              <w:t>bl. 1 and 2: 7 Jun 2016 (see bl. 2(a));</w:t>
            </w:r>
            <w:r>
              <w:rPr>
                <w:bCs/>
                <w:snapToGrid w:val="0"/>
              </w:rPr>
              <w:br/>
              <w:t>By-laws other than bl. 1 and 2: 8 Jun 2016 (see bl. 2(b))</w:t>
            </w:r>
          </w:p>
        </w:tc>
      </w:tr>
    </w:tbl>
    <w:p>
      <w:pPr>
        <w:pStyle w:val="nSubsection"/>
        <w:spacing w:before="360"/>
      </w:pPr>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34" w:name="_Toc471997909"/>
      <w:r>
        <w:t>Provisions that have not come into operation</w:t>
      </w:r>
      <w:bookmarkEnd w:id="34"/>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4A0" w:firstRow="1" w:lastRow="0" w:firstColumn="1" w:lastColumn="0" w:noHBand="0" w:noVBand="1"/>
      </w:tblPr>
      <w:tblGrid>
        <w:gridCol w:w="3118"/>
        <w:gridCol w:w="1276"/>
        <w:gridCol w:w="2693"/>
      </w:tblGrid>
      <w:tr>
        <w:trPr>
          <w:tblHeader/>
        </w:trPr>
        <w:tc>
          <w:tcPr>
            <w:tcW w:w="3118" w:type="dxa"/>
            <w:tcBorders>
              <w:top w:val="single" w:sz="8" w:space="0" w:color="auto"/>
              <w:left w:val="nil"/>
              <w:bottom w:val="single" w:sz="8" w:space="0" w:color="auto"/>
              <w:right w:val="nil"/>
            </w:tcBorders>
            <w:hideMark/>
          </w:tcPr>
          <w:p>
            <w:pPr>
              <w:pStyle w:val="nTable"/>
              <w:spacing w:after="40"/>
              <w:rPr>
                <w:b/>
              </w:rPr>
            </w:pPr>
            <w:r>
              <w:rPr>
                <w:b/>
              </w:rPr>
              <w:t>Citation</w:t>
            </w:r>
          </w:p>
        </w:tc>
        <w:tc>
          <w:tcPr>
            <w:tcW w:w="1276" w:type="dxa"/>
            <w:tcBorders>
              <w:top w:val="single" w:sz="8" w:space="0" w:color="auto"/>
              <w:left w:val="nil"/>
              <w:bottom w:val="single" w:sz="8" w:space="0" w:color="auto"/>
              <w:right w:val="nil"/>
            </w:tcBorders>
            <w:hideMark/>
          </w:tcPr>
          <w:p>
            <w:pPr>
              <w:pStyle w:val="nTable"/>
              <w:spacing w:after="40"/>
              <w:rPr>
                <w:b/>
              </w:rPr>
            </w:pPr>
            <w:r>
              <w:rPr>
                <w:b/>
              </w:rPr>
              <w:t>Gazettal</w:t>
            </w:r>
          </w:p>
        </w:tc>
        <w:tc>
          <w:tcPr>
            <w:tcW w:w="2693" w:type="dxa"/>
            <w:tcBorders>
              <w:top w:val="single" w:sz="8" w:space="0" w:color="auto"/>
              <w:left w:val="nil"/>
              <w:bottom w:val="single" w:sz="8" w:space="0" w:color="auto"/>
              <w:right w:val="nil"/>
            </w:tcBorders>
            <w:hideMark/>
          </w:tcPr>
          <w:p>
            <w:pPr>
              <w:pStyle w:val="nTable"/>
              <w:spacing w:after="40"/>
              <w:rPr>
                <w:b/>
              </w:rPr>
            </w:pPr>
            <w:r>
              <w:rPr>
                <w:b/>
              </w:rPr>
              <w:t>Commencement</w:t>
            </w:r>
          </w:p>
        </w:tc>
      </w:tr>
      <w:tr>
        <w:tc>
          <w:tcPr>
            <w:tcW w:w="3118" w:type="dxa"/>
            <w:tcBorders>
              <w:top w:val="single" w:sz="8" w:space="0" w:color="auto"/>
              <w:left w:val="nil"/>
              <w:bottom w:val="single" w:sz="4" w:space="0" w:color="auto"/>
              <w:right w:val="nil"/>
            </w:tcBorders>
            <w:hideMark/>
          </w:tcPr>
          <w:p>
            <w:pPr>
              <w:pStyle w:val="nTable"/>
              <w:spacing w:after="40"/>
            </w:pPr>
            <w:r>
              <w:rPr>
                <w:i/>
              </w:rPr>
              <w:t>Water By</w:t>
            </w:r>
            <w:r>
              <w:rPr>
                <w:i/>
              </w:rPr>
              <w:noBreakHyphen/>
              <w:t>laws Amendment (Public Health) By</w:t>
            </w:r>
            <w:r>
              <w:rPr>
                <w:i/>
              </w:rPr>
              <w:noBreakHyphen/>
              <w:t xml:space="preserve">laws 2016 </w:t>
            </w:r>
            <w:r>
              <w:t xml:space="preserve">Pt. 3 </w:t>
            </w:r>
            <w:r>
              <w:rPr>
                <w:vertAlign w:val="superscript"/>
              </w:rPr>
              <w:t>9</w:t>
            </w:r>
          </w:p>
        </w:tc>
        <w:tc>
          <w:tcPr>
            <w:tcW w:w="1276" w:type="dxa"/>
            <w:tcBorders>
              <w:top w:val="single" w:sz="8" w:space="0" w:color="auto"/>
              <w:left w:val="nil"/>
              <w:bottom w:val="single" w:sz="4" w:space="0" w:color="auto"/>
              <w:right w:val="nil"/>
            </w:tcBorders>
            <w:hideMark/>
          </w:tcPr>
          <w:p>
            <w:pPr>
              <w:pStyle w:val="nTable"/>
              <w:spacing w:after="40"/>
            </w:pPr>
            <w:r>
              <w:t>10 Jan 2017 p. 233-5</w:t>
            </w:r>
          </w:p>
        </w:tc>
        <w:tc>
          <w:tcPr>
            <w:tcW w:w="2693" w:type="dxa"/>
            <w:tcBorders>
              <w:top w:val="single" w:sz="8" w:space="0" w:color="auto"/>
              <w:left w:val="nil"/>
              <w:bottom w:val="single" w:sz="4" w:space="0" w:color="auto"/>
              <w:right w:val="nil"/>
            </w:tcBorders>
            <w:hideMark/>
          </w:tcPr>
          <w:p>
            <w:pPr>
              <w:pStyle w:val="nTable"/>
              <w:spacing w:after="40"/>
            </w:pPr>
            <w:r>
              <w:t xml:space="preserve">24 Jan 2017 (see bl. 2(b) and </w:t>
            </w:r>
            <w:r>
              <w:rPr>
                <w:i/>
              </w:rPr>
              <w:t>Gazette</w:t>
            </w:r>
            <w:r>
              <w:t xml:space="preserve"> 10 Jan 2017 p. 165)</w:t>
            </w:r>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spacing w:before="100"/>
        <w:rPr>
          <w:snapToGrid w:val="0"/>
        </w:rPr>
      </w:pPr>
      <w:r>
        <w:rPr>
          <w:snapToGrid w:val="0"/>
          <w:vertAlign w:val="superscript"/>
        </w:rPr>
        <w:t>3</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r>
        <w:rPr>
          <w:rStyle w:val="CharSectno"/>
        </w:rPr>
        <w:t>3</w:t>
      </w:r>
      <w:r>
        <w:rPr>
          <w:snapToGrid w:val="0"/>
        </w:rPr>
        <w:t>.</w:t>
      </w:r>
      <w:r>
        <w:rPr>
          <w:snapToGrid w:val="0"/>
        </w:rPr>
        <w:tab/>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Pr>
        <w:pStyle w:val="nSubsection"/>
        <w:spacing w:before="120"/>
        <w:rPr>
          <w:i/>
        </w:rPr>
      </w:pPr>
      <w:r>
        <w:rPr>
          <w:vertAlign w:val="superscript"/>
        </w:rPr>
        <w:t>9</w:t>
      </w:r>
      <w:r>
        <w:tab/>
        <w:t xml:space="preserve">On the date as at which this compilation was prepared, </w:t>
      </w:r>
      <w:r>
        <w:rPr>
          <w:snapToGrid w:val="0"/>
        </w:rPr>
        <w:t xml:space="preserve">the </w:t>
      </w:r>
      <w:r>
        <w:rPr>
          <w:i/>
        </w:rPr>
        <w:t>Water By</w:t>
      </w:r>
      <w:r>
        <w:rPr>
          <w:i/>
        </w:rPr>
        <w:noBreakHyphen/>
        <w:t>laws Amendment (Public Health) By</w:t>
      </w:r>
      <w:r>
        <w:rPr>
          <w:i/>
        </w:rPr>
        <w:noBreakHyphen/>
        <w:t>laws 2016</w:t>
      </w:r>
      <w:r>
        <w:t xml:space="preserve"> Pt. 3</w:t>
      </w:r>
      <w:r>
        <w:rPr>
          <w:snapToGrid w:val="0"/>
        </w:rPr>
        <w:t xml:space="preserve"> had not come into operation.  It reads as follows:</w:t>
      </w:r>
    </w:p>
    <w:p>
      <w:pPr>
        <w:pStyle w:val="BlankOpen"/>
      </w:pPr>
    </w:p>
    <w:p>
      <w:pPr>
        <w:pStyle w:val="nzHeading2"/>
      </w:pPr>
      <w:bookmarkStart w:id="35" w:name="_Toc466897533"/>
      <w:bookmarkStart w:id="36" w:name="_Toc466897544"/>
      <w:bookmarkStart w:id="37" w:name="_Toc466897593"/>
      <w:bookmarkStart w:id="38" w:name="_Toc466897796"/>
      <w:bookmarkStart w:id="39" w:name="_Toc466899238"/>
      <w:bookmarkStart w:id="40" w:name="_Toc466969350"/>
      <w:r>
        <w:rPr>
          <w:rStyle w:val="CharPartNo"/>
        </w:rPr>
        <w:t>Part 3</w:t>
      </w:r>
      <w:r>
        <w:rPr>
          <w:rStyle w:val="CharDivNo"/>
        </w:rPr>
        <w:t> </w:t>
      </w:r>
      <w:r>
        <w:t>—</w:t>
      </w:r>
      <w:r>
        <w:rPr>
          <w:rStyle w:val="CharDivText"/>
        </w:rPr>
        <w:t> </w:t>
      </w:r>
      <w:r>
        <w:rPr>
          <w:rStyle w:val="CharPartText"/>
          <w:i/>
        </w:rPr>
        <w:t>Metropolitan Water Supply, Sewerage and Drainage By-laws 1981</w:t>
      </w:r>
      <w:r>
        <w:rPr>
          <w:rStyle w:val="CharPartText"/>
        </w:rPr>
        <w:t xml:space="preserve"> amended</w:t>
      </w:r>
      <w:bookmarkEnd w:id="35"/>
      <w:bookmarkEnd w:id="36"/>
      <w:bookmarkEnd w:id="37"/>
      <w:bookmarkEnd w:id="38"/>
      <w:bookmarkEnd w:id="39"/>
      <w:bookmarkEnd w:id="40"/>
    </w:p>
    <w:p>
      <w:pPr>
        <w:pStyle w:val="nzHeading5"/>
        <w:rPr>
          <w:snapToGrid w:val="0"/>
        </w:rPr>
      </w:pPr>
      <w:bookmarkStart w:id="41" w:name="_Toc466897545"/>
      <w:bookmarkStart w:id="42" w:name="_Toc466969351"/>
      <w:r>
        <w:rPr>
          <w:rStyle w:val="CharSectno"/>
        </w:rPr>
        <w:t>6</w:t>
      </w:r>
      <w:r>
        <w:rPr>
          <w:snapToGrid w:val="0"/>
        </w:rPr>
        <w:t>.</w:t>
      </w:r>
      <w:r>
        <w:rPr>
          <w:snapToGrid w:val="0"/>
        </w:rPr>
        <w:tab/>
        <w:t>By-laws amended</w:t>
      </w:r>
      <w:bookmarkEnd w:id="41"/>
      <w:bookmarkEnd w:id="42"/>
    </w:p>
    <w:p>
      <w:pPr>
        <w:pStyle w:val="nzSubsection"/>
      </w:pPr>
      <w:r>
        <w:tab/>
      </w:r>
      <w:r>
        <w:tab/>
        <w:t>This Part</w:t>
      </w:r>
      <w:r>
        <w:rPr>
          <w:spacing w:val="-2"/>
        </w:rPr>
        <w:t xml:space="preserve"> amends the</w:t>
      </w:r>
      <w:r>
        <w:t xml:space="preserve"> </w:t>
      </w:r>
      <w:r>
        <w:rPr>
          <w:i/>
        </w:rPr>
        <w:t>Metropolitan Water Supply, Sewerage and Drainage By-laws 1981</w:t>
      </w:r>
      <w:r>
        <w:t>.</w:t>
      </w:r>
    </w:p>
    <w:p>
      <w:pPr>
        <w:pStyle w:val="nzHeading5"/>
      </w:pPr>
      <w:bookmarkStart w:id="43" w:name="_Toc466897546"/>
      <w:bookmarkStart w:id="44" w:name="_Toc466969352"/>
      <w:r>
        <w:rPr>
          <w:rStyle w:val="CharSectno"/>
        </w:rPr>
        <w:t>7</w:t>
      </w:r>
      <w:r>
        <w:t>.</w:t>
      </w:r>
      <w:r>
        <w:tab/>
        <w:t>By</w:t>
      </w:r>
      <w:r>
        <w:noBreakHyphen/>
        <w:t>law 4.8 amended</w:t>
      </w:r>
      <w:bookmarkEnd w:id="43"/>
      <w:bookmarkEnd w:id="44"/>
    </w:p>
    <w:p>
      <w:pPr>
        <w:pStyle w:val="nzSubsection"/>
      </w:pPr>
      <w:r>
        <w:tab/>
        <w:t>(1)</w:t>
      </w:r>
      <w:r>
        <w:tab/>
        <w:t>In by</w:t>
      </w:r>
      <w:r>
        <w:noBreakHyphen/>
        <w:t>law 4.8.2 delete “</w:t>
      </w:r>
      <w:r>
        <w:rPr>
          <w:i/>
        </w:rPr>
        <w:t>Health Act 1911</w:t>
      </w:r>
      <w:r>
        <w:t>” and insert:</w:t>
      </w:r>
    </w:p>
    <w:p>
      <w:pPr>
        <w:pStyle w:val="BlankOpen"/>
      </w:pPr>
    </w:p>
    <w:p>
      <w:pPr>
        <w:pStyle w:val="nzSubsection"/>
      </w:pPr>
      <w:r>
        <w:tab/>
      </w:r>
      <w:r>
        <w:tab/>
      </w:r>
      <w:r>
        <w:rPr>
          <w:i/>
        </w:rPr>
        <w:t>Health (Miscellaneous Provisions) Act 1911</w:t>
      </w:r>
    </w:p>
    <w:p>
      <w:pPr>
        <w:pStyle w:val="BlankClose"/>
      </w:pPr>
    </w:p>
    <w:p>
      <w:pPr>
        <w:pStyle w:val="nzSubsection"/>
      </w:pPr>
      <w:r>
        <w:tab/>
        <w:t>(2)</w:t>
      </w:r>
      <w:r>
        <w:tab/>
        <w:t>In by</w:t>
      </w:r>
      <w:r>
        <w:noBreakHyphen/>
        <w:t>law 4.8.4 delete “</w:t>
      </w:r>
      <w:r>
        <w:rPr>
          <w:i/>
        </w:rPr>
        <w:t>Health Act 1911</w:t>
      </w:r>
      <w:r>
        <w:t>” and insert:</w:t>
      </w:r>
    </w:p>
    <w:p>
      <w:pPr>
        <w:pStyle w:val="BlankOpen"/>
      </w:pPr>
    </w:p>
    <w:p>
      <w:pPr>
        <w:pStyle w:val="nzSubsection"/>
      </w:pPr>
      <w:r>
        <w:tab/>
      </w:r>
      <w:r>
        <w:tab/>
      </w:r>
      <w:r>
        <w:rPr>
          <w:i/>
        </w:rPr>
        <w:t>Health (Miscellaneous Provisions) Act 1911</w:t>
      </w:r>
    </w:p>
    <w:p>
      <w:pPr>
        <w:pStyle w:val="BlankClose"/>
      </w:pPr>
    </w:p>
    <w:p>
      <w:pPr>
        <w:pStyle w:val="nzHeading5"/>
      </w:pPr>
      <w:bookmarkStart w:id="45" w:name="_Toc466897547"/>
      <w:bookmarkStart w:id="46" w:name="_Toc466969353"/>
      <w:r>
        <w:rPr>
          <w:rStyle w:val="CharSectno"/>
        </w:rPr>
        <w:t>8</w:t>
      </w:r>
      <w:r>
        <w:t>.</w:t>
      </w:r>
      <w:r>
        <w:tab/>
        <w:t>By</w:t>
      </w:r>
      <w:r>
        <w:noBreakHyphen/>
        <w:t>law 5.5 amended</w:t>
      </w:r>
      <w:bookmarkEnd w:id="45"/>
      <w:bookmarkEnd w:id="46"/>
    </w:p>
    <w:p>
      <w:pPr>
        <w:pStyle w:val="nzSubsection"/>
      </w:pPr>
      <w:r>
        <w:tab/>
      </w:r>
      <w:r>
        <w:tab/>
        <w:t>In by</w:t>
      </w:r>
      <w:r>
        <w:noBreakHyphen/>
        <w:t>law 5.5.1 delete “</w:t>
      </w:r>
      <w:r>
        <w:rPr>
          <w:i/>
        </w:rPr>
        <w:t>Health Act 1911</w:t>
      </w:r>
      <w:r>
        <w:t>,” and insert:</w:t>
      </w:r>
    </w:p>
    <w:p>
      <w:pPr>
        <w:pStyle w:val="BlankOpen"/>
      </w:pPr>
    </w:p>
    <w:p>
      <w:pPr>
        <w:pStyle w:val="nzSubsection"/>
      </w:pPr>
      <w:r>
        <w:tab/>
      </w:r>
      <w:r>
        <w:tab/>
      </w:r>
      <w:r>
        <w:rPr>
          <w:i/>
        </w:rPr>
        <w:t>Health (Miscellaneous Provisions) Act 1911</w:t>
      </w:r>
      <w:r>
        <w:t>,</w:t>
      </w:r>
    </w:p>
    <w:p>
      <w:pPr>
        <w:pStyle w:val="BlankClose"/>
      </w:pPr>
    </w:p>
    <w:p>
      <w:pPr>
        <w:pStyle w:val="BlankClose"/>
      </w:pPr>
    </w:p>
    <w:p/>
    <w:p>
      <w:pPr>
        <w:sectPr>
          <w:headerReference w:type="even" r:id="rId31"/>
          <w:headerReference w:type="default" r:id="rId32"/>
          <w:pgSz w:w="11907" w:h="16840" w:code="9"/>
          <w:pgMar w:top="2381" w:right="2409" w:bottom="3543" w:left="2409" w:header="720" w:footer="3380" w:gutter="0"/>
          <w:cols w:space="720"/>
          <w:noEndnote/>
          <w:docGrid w:linePitch="326"/>
        </w:sectPr>
      </w:pPr>
    </w:p>
    <w:p>
      <w:pPr>
        <w:pStyle w:val="nHeading2"/>
        <w:rPr>
          <w:sz w:val="28"/>
        </w:rPr>
      </w:pPr>
      <w:bookmarkStart w:id="48" w:name="_Toc471997910"/>
      <w:r>
        <w:rPr>
          <w:sz w:val="28"/>
        </w:rPr>
        <w:t>Defined terms</w:t>
      </w:r>
      <w:bookmarkEnd w:id="4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Aboriginal customary purpose</w:t>
      </w:r>
      <w:r>
        <w:tab/>
        <w:t>1</w:t>
      </w:r>
    </w:p>
    <w:p>
      <w:pPr>
        <w:pStyle w:val="DefinedTerms"/>
      </w:pPr>
      <w:r>
        <w:t>Act</w:t>
      </w:r>
      <w:r>
        <w:tab/>
        <w:t>1</w:t>
      </w:r>
    </w:p>
    <w:p>
      <w:pPr>
        <w:pStyle w:val="DefinedTerms"/>
      </w:pPr>
      <w:r>
        <w:t>automotive business premises</w:t>
      </w:r>
      <w:r>
        <w:tab/>
        <w:t>5</w:t>
      </w:r>
    </w:p>
    <w:p>
      <w:pPr>
        <w:pStyle w:val="DefinedTerms"/>
      </w:pPr>
      <w:r>
        <w:t>bore</w:t>
      </w:r>
      <w:r>
        <w:tab/>
        <w:t>1</w:t>
      </w:r>
    </w:p>
    <w:p>
      <w:pPr>
        <w:pStyle w:val="DefinedTerms"/>
      </w:pPr>
      <w:r>
        <w:t>bulk liquid storage tank system</w:t>
      </w:r>
      <w:r>
        <w:tab/>
        <w:t>5</w:t>
      </w:r>
    </w:p>
    <w:p>
      <w:pPr>
        <w:pStyle w:val="DefinedTerms"/>
      </w:pPr>
      <w:r>
        <w:t>CALM Act land</w:t>
      </w:r>
      <w:r>
        <w:tab/>
        <w:t>4</w:t>
      </w:r>
    </w:p>
    <w:p>
      <w:pPr>
        <w:pStyle w:val="DefinedTerms"/>
      </w:pPr>
      <w:r>
        <w:t>CALM Act Minister</w:t>
      </w:r>
      <w:r>
        <w:tab/>
        <w:t>4</w:t>
      </w:r>
    </w:p>
    <w:p>
      <w:pPr>
        <w:pStyle w:val="DefinedTerms"/>
      </w:pPr>
      <w:r>
        <w:t>Corporation</w:t>
      </w:r>
      <w:r>
        <w:tab/>
        <w:t>1</w:t>
      </w:r>
    </w:p>
    <w:p>
      <w:pPr>
        <w:pStyle w:val="DefinedTerms"/>
      </w:pPr>
      <w:r>
        <w:t>Dangerous Goods Storage Regulations</w:t>
      </w:r>
      <w:r>
        <w:tab/>
        <w:t>1</w:t>
      </w:r>
    </w:p>
    <w:p>
      <w:pPr>
        <w:pStyle w:val="DefinedTerms"/>
      </w:pPr>
      <w:r>
        <w:t>designated camping site</w:t>
      </w:r>
      <w:r>
        <w:tab/>
        <w:t>1</w:t>
      </w:r>
    </w:p>
    <w:p>
      <w:pPr>
        <w:pStyle w:val="DefinedTerms"/>
      </w:pPr>
      <w:r>
        <w:t>diameter</w:t>
      </w:r>
      <w:r>
        <w:tab/>
        <w:t>1</w:t>
      </w:r>
    </w:p>
    <w:p>
      <w:pPr>
        <w:pStyle w:val="DefinedTerms"/>
      </w:pPr>
      <w:r>
        <w:t>domestic sewage</w:t>
      </w:r>
      <w:r>
        <w:tab/>
        <w:t>1</w:t>
      </w:r>
    </w:p>
    <w:p>
      <w:pPr>
        <w:pStyle w:val="DefinedTerms"/>
      </w:pPr>
      <w:r>
        <w:t>elevated storage tank system</w:t>
      </w:r>
      <w:r>
        <w:tab/>
        <w:t>5</w:t>
      </w:r>
    </w:p>
    <w:p>
      <w:pPr>
        <w:pStyle w:val="DefinedTerms"/>
      </w:pPr>
      <w:r>
        <w:t>establish</w:t>
      </w:r>
      <w:r>
        <w:tab/>
        <w:t>5</w:t>
      </w:r>
    </w:p>
    <w:p>
      <w:pPr>
        <w:pStyle w:val="DefinedTerms"/>
      </w:pPr>
      <w:r>
        <w:t>feeder</w:t>
      </w:r>
      <w:r>
        <w:tab/>
        <w:t>1</w:t>
      </w:r>
    </w:p>
    <w:p>
      <w:pPr>
        <w:pStyle w:val="DefinedTerms"/>
      </w:pPr>
      <w:r>
        <w:t>ground</w:t>
      </w:r>
      <w:r>
        <w:tab/>
        <w:t>1</w:t>
      </w:r>
    </w:p>
    <w:p>
      <w:pPr>
        <w:pStyle w:val="DefinedTerms"/>
      </w:pPr>
      <w:r>
        <w:t>ground storage tank system</w:t>
      </w:r>
      <w:r>
        <w:tab/>
        <w:t>5</w:t>
      </w:r>
    </w:p>
    <w:p>
      <w:pPr>
        <w:pStyle w:val="DefinedTerms"/>
      </w:pPr>
      <w:r>
        <w:t>hand</w:t>
      </w:r>
      <w:r>
        <w:noBreakHyphen/>
        <w:t>held tool</w:t>
      </w:r>
      <w:r>
        <w:tab/>
        <w:t>4</w:t>
      </w:r>
    </w:p>
    <w:p>
      <w:pPr>
        <w:pStyle w:val="DefinedTerms"/>
      </w:pPr>
      <w:r>
        <w:t>high</w:t>
      </w:r>
      <w:r>
        <w:noBreakHyphen/>
        <w:t>water mark</w:t>
      </w:r>
      <w:r>
        <w:tab/>
        <w:t>1</w:t>
      </w:r>
    </w:p>
    <w:p>
      <w:pPr>
        <w:pStyle w:val="DefinedTerms"/>
      </w:pPr>
      <w:r>
        <w:t>industrial waste</w:t>
      </w:r>
      <w:r>
        <w:tab/>
        <w:t>1</w:t>
      </w:r>
    </w:p>
    <w:p>
      <w:pPr>
        <w:pStyle w:val="DefinedTerms"/>
      </w:pPr>
      <w:r>
        <w:t>liquid waste</w:t>
      </w:r>
      <w:r>
        <w:tab/>
        <w:t>1</w:t>
      </w:r>
    </w:p>
    <w:p>
      <w:pPr>
        <w:pStyle w:val="DefinedTerms"/>
      </w:pPr>
      <w:r>
        <w:t>Noongar</w:t>
      </w:r>
      <w:r>
        <w:tab/>
        <w:t>1</w:t>
      </w:r>
    </w:p>
    <w:p>
      <w:pPr>
        <w:pStyle w:val="DefinedTerms"/>
      </w:pPr>
      <w:r>
        <w:t>observation well</w:t>
      </w:r>
      <w:r>
        <w:tab/>
        <w:t>1</w:t>
      </w:r>
    </w:p>
    <w:p>
      <w:pPr>
        <w:pStyle w:val="DefinedTerms"/>
      </w:pPr>
      <w:r>
        <w:t>owner</w:t>
      </w:r>
      <w:r>
        <w:tab/>
        <w:t>5</w:t>
      </w:r>
    </w:p>
    <w:p>
      <w:pPr>
        <w:pStyle w:val="DefinedTerms"/>
      </w:pPr>
      <w:r>
        <w:t>people</w:t>
      </w:r>
      <w:r>
        <w:tab/>
        <w:t>1</w:t>
      </w:r>
    </w:p>
    <w:p>
      <w:pPr>
        <w:pStyle w:val="DefinedTerms"/>
      </w:pPr>
      <w:r>
        <w:t>pesticides</w:t>
      </w:r>
      <w:r>
        <w:tab/>
        <w:t>1</w:t>
      </w:r>
    </w:p>
    <w:p>
      <w:pPr>
        <w:pStyle w:val="DefinedTerms"/>
      </w:pPr>
      <w:r>
        <w:t>petroleum product</w:t>
      </w:r>
      <w:r>
        <w:tab/>
        <w:t>1</w:t>
      </w:r>
    </w:p>
    <w:p>
      <w:pPr>
        <w:pStyle w:val="DefinedTerms"/>
      </w:pPr>
      <w:r>
        <w:t>plans</w:t>
      </w:r>
      <w:r>
        <w:tab/>
        <w:t>5</w:t>
      </w:r>
    </w:p>
    <w:p>
      <w:pPr>
        <w:pStyle w:val="DefinedTerms"/>
      </w:pPr>
      <w:r>
        <w:t>priority 1 source protection area</w:t>
      </w:r>
      <w:r>
        <w:tab/>
        <w:t>5</w:t>
      </w:r>
    </w:p>
    <w:p>
      <w:pPr>
        <w:pStyle w:val="DefinedTerms"/>
      </w:pPr>
      <w:r>
        <w:t>priority 2 source protection area</w:t>
      </w:r>
      <w:r>
        <w:tab/>
        <w:t>5</w:t>
      </w:r>
    </w:p>
    <w:p>
      <w:pPr>
        <w:pStyle w:val="DefinedTerms"/>
      </w:pPr>
      <w:r>
        <w:t>priority 3 source protection area</w:t>
      </w:r>
      <w:r>
        <w:tab/>
        <w:t>5</w:t>
      </w:r>
    </w:p>
    <w:p>
      <w:pPr>
        <w:pStyle w:val="DefinedTerms"/>
      </w:pPr>
      <w:r>
        <w:t>production well</w:t>
      </w:r>
      <w:r>
        <w:tab/>
        <w:t>1</w:t>
      </w:r>
    </w:p>
    <w:p>
      <w:pPr>
        <w:pStyle w:val="DefinedTerms"/>
      </w:pPr>
      <w:r>
        <w:t>registered Aboriginal site</w:t>
      </w:r>
      <w:r>
        <w:tab/>
        <w:t>1</w:t>
      </w:r>
    </w:p>
    <w:p>
      <w:pPr>
        <w:pStyle w:val="DefinedTerms"/>
      </w:pPr>
      <w:r>
        <w:t>size</w:t>
      </w:r>
      <w:r>
        <w:tab/>
        <w:t>1</w:t>
      </w:r>
    </w:p>
    <w:p>
      <w:pPr>
        <w:pStyle w:val="DefinedTerms"/>
      </w:pPr>
      <w:r>
        <w:t>South West Settlement Area</w:t>
      </w:r>
      <w:r>
        <w:tab/>
        <w:t>1</w:t>
      </w:r>
    </w:p>
    <w:p>
      <w:pPr>
        <w:pStyle w:val="DefinedTerms"/>
      </w:pPr>
      <w:r>
        <w:t>special provision catchment area</w:t>
      </w:r>
      <w:r>
        <w:tab/>
        <w:t>1</w:t>
      </w:r>
    </w:p>
    <w:p>
      <w:pPr>
        <w:pStyle w:val="DefinedTerms"/>
      </w:pPr>
      <w:r>
        <w:t>take</w:t>
      </w:r>
      <w:r>
        <w:tab/>
        <w:t>4</w:t>
      </w:r>
    </w:p>
    <w:p>
      <w:pPr>
        <w:pStyle w:val="DefinedTerms"/>
      </w:pPr>
      <w:r>
        <w:t>tank</w:t>
      </w:r>
      <w:r>
        <w:tab/>
        <w:t>5</w:t>
      </w:r>
    </w:p>
    <w:p>
      <w:pPr>
        <w:pStyle w:val="DefinedTerms"/>
      </w:pPr>
      <w:r>
        <w:t>underground storage or handling system</w:t>
      </w:r>
      <w:r>
        <w:tab/>
        <w:t>1</w:t>
      </w:r>
    </w:p>
    <w:p>
      <w:pPr>
        <w:pStyle w:val="DefinedTerms"/>
      </w:pPr>
      <w:r>
        <w:t>underground water</w:t>
      </w:r>
      <w:r>
        <w:tab/>
        <w:t>1</w:t>
      </w:r>
    </w:p>
    <w:p>
      <w:pPr>
        <w:pStyle w:val="DefinedTerms"/>
      </w:pPr>
      <w:r>
        <w:t>unpolluted water</w:t>
      </w:r>
      <w:r>
        <w:tab/>
        <w:t>5</w:t>
      </w:r>
    </w:p>
    <w:p>
      <w:pPr>
        <w:pStyle w:val="DefinedTerms"/>
      </w:pPr>
      <w:r>
        <w:t>wellhead</w:t>
      </w:r>
      <w:r>
        <w:tab/>
        <w:t>5</w:t>
      </w:r>
    </w:p>
    <w:p>
      <w:pPr>
        <w:pStyle w:val="DefinedTerms"/>
      </w:pPr>
      <w:r>
        <w:t>wellhead protection zone</w:t>
      </w:r>
      <w:r>
        <w:tab/>
        <w:t>4, 5</w:t>
      </w:r>
    </w:p>
    <w:p>
      <w:pPr>
        <w:pStyle w:val="DefinedTerms"/>
      </w:pPr>
      <w:r>
        <w:t>works</w:t>
      </w:r>
      <w:r>
        <w:tab/>
        <w:t>1</w:t>
      </w:r>
    </w:p>
    <w:p/>
    <w:p>
      <w:pPr>
        <w:sectPr>
          <w:headerReference w:type="even" r:id="rId33"/>
          <w:headerReference w:type="default" r:id="rId34"/>
          <w:pgSz w:w="11907" w:h="16840" w:code="9"/>
          <w:pgMar w:top="2381" w:right="2409" w:bottom="3543" w:left="2409" w:header="720" w:footer="3380" w:gutter="0"/>
          <w:cols w:space="720"/>
          <w:noEndnote/>
          <w:docGrid w:linePitch="326"/>
        </w:sectPr>
      </w:pPr>
    </w:p>
    <w:p/>
    <w:sectPr>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2381" w:right="2410" w:bottom="3544" w:left="2410" w:header="720" w:footer="3379"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07-f0-01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10 Jan 2017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10 Jan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07-f0-01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10 Jan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07-f0-01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46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07-f0-01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10 Jan 2017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10 Jan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07-f0-01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10 Jan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07-f0-01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10 Jan 2017</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07-f0-01</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45</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5715" w:type="dxa"/>
        </w:tcPr>
        <w:p>
          <w:pPr>
            <w:pStyle w:val="Header"/>
            <w:spacing w:before="40"/>
            <w:jc w:val="right"/>
          </w:pPr>
          <w:r>
            <w:fldChar w:fldCharType="begin"/>
          </w:r>
          <w:r>
            <w:instrText xml:space="preserve"> styleref CharSchText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7160" w:type="dxa"/>
          <w:gridSpan w:val="2"/>
        </w:tcPr>
        <w:p>
          <w:pPr>
            <w:pStyle w:val="Header"/>
            <w:spacing w:before="40"/>
            <w:ind w:right="17"/>
            <w:jc w:val="right"/>
          </w:pPr>
        </w:p>
      </w:tc>
    </w:tr>
  </w:tbl>
  <w:p>
    <w:pPr>
      <w:pStyle w:val="Header"/>
      <w:pBdr>
        <w:top w:val="single" w:sz="4" w:space="1" w:color="auto"/>
      </w:pBdr>
    </w:pPr>
    <w:bookmarkStart w:id="31" w:name="Schedule"/>
    <w:bookmarkEnd w:id="31"/>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490" w:type="dxa"/>
        </w:tcPr>
        <w:p>
          <w:pPr>
            <w:pStyle w:val="Header"/>
            <w:spacing w:before="40"/>
          </w:pPr>
        </w:p>
      </w:tc>
      <w:tc>
        <w:tcPr>
          <w:tcW w:w="5773" w:type="dxa"/>
        </w:tcPr>
        <w:p>
          <w:pPr>
            <w:pStyle w:val="Header"/>
            <w:spacing w:before="40"/>
          </w:pPr>
          <w:r>
            <w:fldChar w:fldCharType="begin"/>
          </w:r>
          <w:r>
            <w:instrText xml:space="preserve"> STYLEREF CharSchText </w:instrText>
          </w:r>
          <w:r>
            <w:fldChar w:fldCharType="separate"/>
          </w:r>
          <w:r>
            <w:t>Map of South West Settlement Area</w: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68"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Map of South West Settlement Area</w:t>
          </w:r>
          <w:r>
            <w:fldChar w:fldCharType="end"/>
          </w:r>
        </w:p>
      </w:tc>
      <w:tc>
        <w:tcPr>
          <w:tcW w:w="1437" w:type="dxa"/>
        </w:tcPr>
        <w:p>
          <w:pPr>
            <w:pStyle w:val="Header"/>
            <w:spacing w:before="40"/>
            <w:ind w:right="17"/>
            <w:jc w:val="right"/>
          </w:pPr>
        </w:p>
      </w:tc>
    </w:tr>
    <w:tr>
      <w:tc>
        <w:tcPr>
          <w:tcW w:w="5715" w:type="dxa"/>
          <w:vAlign w:val="bottom"/>
        </w:tcPr>
        <w:p>
          <w:pPr>
            <w:pStyle w:val="Header"/>
            <w:spacing w:before="40"/>
            <w:jc w:val="right"/>
          </w:pPr>
        </w:p>
      </w:tc>
      <w:tc>
        <w:tcPr>
          <w:tcW w:w="1437" w:type="dxa"/>
        </w:tcPr>
        <w:p>
          <w:pPr>
            <w:pStyle w:val="Header"/>
            <w:spacing w:before="40"/>
            <w:ind w:right="17"/>
            <w:jc w:val="right"/>
          </w:pPr>
        </w:p>
      </w:tc>
    </w:tr>
    <w:tr>
      <w:tc>
        <w:tcPr>
          <w:tcW w:w="5715" w:type="dxa"/>
        </w:tcPr>
        <w:p>
          <w:pPr>
            <w:pStyle w:val="Header"/>
            <w:spacing w:before="40"/>
            <w:jc w:val="right"/>
          </w:pPr>
        </w:p>
      </w:tc>
      <w:tc>
        <w:tcPr>
          <w:tcW w:w="1437" w:type="dxa"/>
        </w:tcPr>
        <w:p>
          <w:pPr>
            <w:pStyle w:val="Header"/>
            <w:spacing w:before="40"/>
            <w:ind w:right="17"/>
            <w:jc w:val="right"/>
          </w:pPr>
        </w:p>
      </w:tc>
    </w:tr>
  </w:tbl>
  <w:p>
    <w:pPr>
      <w:pStyle w:val="Header"/>
      <w:pBdr>
        <w:top w:val="single" w:sz="4" w:space="1" w:color="auto"/>
      </w:pBdr>
    </w:pPr>
    <w:bookmarkStart w:id="47" w:name="Compilation"/>
    <w:bookmarkEnd w:id="47"/>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49" w:name="DefinedTerms"/>
    <w:bookmarkEnd w:id="49"/>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50" w:name="Coversheet"/>
    <w:bookmarkEnd w:id="5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DAC1FE"/>
    <w:lvl w:ilvl="0">
      <w:start w:val="1"/>
      <w:numFmt w:val="decimal"/>
      <w:lvlText w:val="%1."/>
      <w:lvlJc w:val="left"/>
      <w:pPr>
        <w:tabs>
          <w:tab w:val="num" w:pos="1492"/>
        </w:tabs>
        <w:ind w:left="1492" w:hanging="360"/>
      </w:pPr>
    </w:lvl>
  </w:abstractNum>
  <w:abstractNum w:abstractNumId="1">
    <w:nsid w:val="FFFFFF7D"/>
    <w:multiLevelType w:val="singleLevel"/>
    <w:tmpl w:val="15B2D0A0"/>
    <w:lvl w:ilvl="0">
      <w:start w:val="1"/>
      <w:numFmt w:val="decimal"/>
      <w:lvlText w:val="%1."/>
      <w:lvlJc w:val="left"/>
      <w:pPr>
        <w:tabs>
          <w:tab w:val="num" w:pos="1209"/>
        </w:tabs>
        <w:ind w:left="1209" w:hanging="360"/>
      </w:pPr>
    </w:lvl>
  </w:abstractNum>
  <w:abstractNum w:abstractNumId="2">
    <w:nsid w:val="FFFFFF7E"/>
    <w:multiLevelType w:val="singleLevel"/>
    <w:tmpl w:val="04EE5610"/>
    <w:lvl w:ilvl="0">
      <w:start w:val="1"/>
      <w:numFmt w:val="decimal"/>
      <w:lvlText w:val="%1."/>
      <w:lvlJc w:val="left"/>
      <w:pPr>
        <w:tabs>
          <w:tab w:val="num" w:pos="926"/>
        </w:tabs>
        <w:ind w:left="926" w:hanging="360"/>
      </w:pPr>
    </w:lvl>
  </w:abstractNum>
  <w:abstractNum w:abstractNumId="3">
    <w:nsid w:val="FFFFFF7F"/>
    <w:multiLevelType w:val="singleLevel"/>
    <w:tmpl w:val="48CC4C50"/>
    <w:lvl w:ilvl="0">
      <w:start w:val="1"/>
      <w:numFmt w:val="decimal"/>
      <w:lvlText w:val="%1."/>
      <w:lvlJc w:val="left"/>
      <w:pPr>
        <w:tabs>
          <w:tab w:val="num" w:pos="643"/>
        </w:tabs>
        <w:ind w:left="643" w:hanging="360"/>
      </w:pPr>
    </w:lvl>
  </w:abstractNum>
  <w:abstractNum w:abstractNumId="4">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01407B0"/>
    <w:lvl w:ilvl="0">
      <w:start w:val="1"/>
      <w:numFmt w:val="decimal"/>
      <w:lvlText w:val="%1."/>
      <w:lvlJc w:val="left"/>
      <w:pPr>
        <w:tabs>
          <w:tab w:val="num" w:pos="360"/>
        </w:tabs>
        <w:ind w:left="360" w:hanging="360"/>
      </w:pPr>
    </w:lvl>
  </w:abstractNum>
  <w:abstractNum w:abstractNumId="9">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70112091729"/>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 w:name="WAFER_20170112091729" w:val="RemoveTocBookmarks,RemoveUnusedBookmarks,RemoveLanguageTags,UsedStyles,ResetPageSize"/>
    <w:docVar w:name="WAFER_20170112091729_GUID" w:val="80852e96-9bca-4250-9483-6b7d121d6c7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073058">
      <w:bodyDiv w:val="1"/>
      <w:marLeft w:val="0"/>
      <w:marRight w:val="0"/>
      <w:marTop w:val="0"/>
      <w:marBottom w:val="0"/>
      <w:divBdr>
        <w:top w:val="none" w:sz="0" w:space="0" w:color="auto"/>
        <w:left w:val="none" w:sz="0" w:space="0" w:color="auto"/>
        <w:bottom w:val="none" w:sz="0" w:space="0" w:color="auto"/>
        <w:right w:val="none" w:sz="0" w:space="0" w:color="auto"/>
      </w:divBdr>
    </w:div>
    <w:div w:id="125123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header" Target="header18.xml"/><Relationship Id="rId3" Type="http://schemas.microsoft.com/office/2007/relationships/stylesWithEffects" Target="stylesWithEffects.xml"/><Relationship Id="rId21" Type="http://schemas.openxmlformats.org/officeDocument/2006/relationships/image" Target="media/image2.jpeg"/><Relationship Id="rId34" Type="http://schemas.openxmlformats.org/officeDocument/2006/relationships/header" Target="header1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footer" Target="footer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5.png"/><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10472</Words>
  <Characters>50582</Characters>
  <Application>Microsoft Office Word</Application>
  <DocSecurity>0</DocSecurity>
  <Lines>1631</Lines>
  <Paragraphs>872</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60182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1981 - 07-f0-01</dc:title>
  <dc:subject/>
  <dc:creator/>
  <cp:keywords/>
  <dc:description/>
  <cp:lastModifiedBy>svcMRProcess</cp:lastModifiedBy>
  <cp:revision>4</cp:revision>
  <cp:lastPrinted>2013-11-13T04:24:00Z</cp:lastPrinted>
  <dcterms:created xsi:type="dcterms:W3CDTF">2017-01-19T08:25:00Z</dcterms:created>
  <dcterms:modified xsi:type="dcterms:W3CDTF">2017-01-19T08:25:00Z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DocumentType">
    <vt:lpwstr>Reg</vt:lpwstr>
  </property>
  <property fmtid="{D5CDD505-2E9C-101B-9397-08002B2CF9AE}" pid="4" name="OwlsUID">
    <vt:i4>4638</vt:i4>
  </property>
  <property fmtid="{D5CDD505-2E9C-101B-9397-08002B2CF9AE}" pid="5" name="ReprintNo">
    <vt:lpwstr>7</vt:lpwstr>
  </property>
  <property fmtid="{D5CDD505-2E9C-101B-9397-08002B2CF9AE}" pid="6" name="ReprintedAsAt">
    <vt:filetime>2012-02-02T16:00:00Z</vt:filetime>
  </property>
  <property fmtid="{D5CDD505-2E9C-101B-9397-08002B2CF9AE}" pid="7" name="AsAtDate">
    <vt:lpwstr>10 Jan 2017</vt:lpwstr>
  </property>
  <property fmtid="{D5CDD505-2E9C-101B-9397-08002B2CF9AE}" pid="8" name="Suffix">
    <vt:lpwstr>07-f0-01</vt:lpwstr>
  </property>
  <property fmtid="{D5CDD505-2E9C-101B-9397-08002B2CF9AE}" pid="9" name="CommencementDate">
    <vt:lpwstr>20170110</vt:lpwstr>
  </property>
</Properties>
</file>