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(Aquatic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(Aquatic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_Toc472002255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_Toc472002256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to operate as local laws</w:t>
      </w:r>
      <w:r>
        <w:tab/>
      </w:r>
      <w:r>
        <w:fldChar w:fldCharType="begin"/>
      </w:r>
      <w:r>
        <w:instrText xml:space="preserve"> PAGEREF _Toc472002257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these regulations</w:t>
      </w:r>
      <w:r>
        <w:tab/>
      </w:r>
      <w:r>
        <w:fldChar w:fldCharType="begin"/>
      </w:r>
      <w:r>
        <w:instrText xml:space="preserve"> PAGEREF _Toc472002258 \h </w:instrText>
      </w:r>
      <w:r>
        <w:fldChar w:fldCharType="separate"/>
      </w:r>
      <w:r>
        <w:t>1</w:t>
      </w:r>
      <w:r>
        <w:fldChar w:fldCharType="end"/>
      </w:r>
    </w:p>
    <w:p>
      <w:pPr>
        <w:pStyle w:val="TOC8"/>
        <w:rPr>
          <w:rFonts w:asciiTheme="minorHAnsi" w:eastAsiaTheme="minorEastAsia" w:hAnsiTheme="minorHAnsi" w:cstheme="minorBidi"/>
          <w:szCs w:val="22"/>
        </w:rPr>
      </w:pPr>
      <w:r>
        <w:t>5.</w:t>
      </w:r>
      <w:r>
        <w:tab/>
        <w:t>Aquatic facilities</w:t>
      </w:r>
      <w:r>
        <w:tab/>
      </w:r>
      <w:r>
        <w:fldChar w:fldCharType="begin"/>
      </w:r>
      <w:r>
        <w:instrText xml:space="preserve"> PAGEREF _Toc472002259 \h </w:instrText>
      </w:r>
      <w:r>
        <w:fldChar w:fldCharType="separate"/>
      </w:r>
      <w:r>
        <w:t>3</w:t>
      </w:r>
      <w:r>
        <w:fldChar w:fldCharType="end"/>
      </w:r>
    </w:p>
    <w:p>
      <w:pPr>
        <w:pStyle w:val="TOC8"/>
        <w:rPr>
          <w:rFonts w:asciiTheme="minorHAnsi" w:eastAsiaTheme="minorEastAsia" w:hAnsiTheme="minorHAnsi" w:cstheme="minorBidi"/>
          <w:szCs w:val="22"/>
        </w:rPr>
      </w:pPr>
      <w:r>
        <w:t>6.</w:t>
      </w:r>
      <w:r>
        <w:tab/>
        <w:t>Adoption of Code and relationship to these regulations</w:t>
      </w:r>
      <w:r>
        <w:tab/>
      </w:r>
      <w:r>
        <w:fldChar w:fldCharType="begin"/>
      </w:r>
      <w:r>
        <w:instrText xml:space="preserve"> PAGEREF _Toc472002260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alteration and extension of aquatic facilities</w:t>
      </w:r>
    </w:p>
    <w:p>
      <w:pPr>
        <w:pStyle w:val="TOC4"/>
        <w:tabs>
          <w:tab w:val="right" w:leader="dot" w:pos="7077"/>
        </w:tabs>
        <w:rPr>
          <w:rFonts w:asciiTheme="minorHAnsi" w:eastAsiaTheme="minorEastAsia" w:hAnsiTheme="minorHAnsi" w:cstheme="minorBidi"/>
          <w:b w:val="0"/>
          <w:szCs w:val="22"/>
        </w:rPr>
      </w:pPr>
      <w:r>
        <w:t>Division 1 — Approval of construction, alteration and extension of aquatic facilities</w:t>
      </w:r>
    </w:p>
    <w:p>
      <w:pPr>
        <w:pStyle w:val="TOC8"/>
        <w:rPr>
          <w:rFonts w:asciiTheme="minorHAnsi" w:eastAsiaTheme="minorEastAsia" w:hAnsiTheme="minorHAnsi" w:cstheme="minorBidi"/>
          <w:szCs w:val="22"/>
        </w:rPr>
      </w:pPr>
      <w:r>
        <w:t>7.</w:t>
      </w:r>
      <w:r>
        <w:tab/>
        <w:t>Approval required to construct, alter or extend an aquatic facility</w:t>
      </w:r>
      <w:r>
        <w:tab/>
      </w:r>
      <w:r>
        <w:fldChar w:fldCharType="begin"/>
      </w:r>
      <w:r>
        <w:instrText xml:space="preserve"> PAGEREF _Toc472002263 \h </w:instrText>
      </w:r>
      <w:r>
        <w:fldChar w:fldCharType="separate"/>
      </w:r>
      <w:r>
        <w:t>5</w:t>
      </w:r>
      <w:r>
        <w:fldChar w:fldCharType="end"/>
      </w:r>
    </w:p>
    <w:p>
      <w:pPr>
        <w:pStyle w:val="TOC8"/>
        <w:rPr>
          <w:rFonts w:asciiTheme="minorHAnsi" w:eastAsiaTheme="minorEastAsia" w:hAnsiTheme="minorHAnsi" w:cstheme="minorBidi"/>
          <w:szCs w:val="22"/>
        </w:rPr>
      </w:pPr>
      <w:r>
        <w:t>8.</w:t>
      </w:r>
      <w:r>
        <w:tab/>
        <w:t>Applying for approval to construct, alter or extend an aquatic facility</w:t>
      </w:r>
      <w:r>
        <w:tab/>
      </w:r>
      <w:r>
        <w:fldChar w:fldCharType="begin"/>
      </w:r>
      <w:r>
        <w:instrText xml:space="preserve"> PAGEREF _Toc472002264 \h </w:instrText>
      </w:r>
      <w:r>
        <w:fldChar w:fldCharType="separate"/>
      </w:r>
      <w:r>
        <w:t>5</w:t>
      </w:r>
      <w:r>
        <w:fldChar w:fldCharType="end"/>
      </w:r>
    </w:p>
    <w:p>
      <w:pPr>
        <w:pStyle w:val="TOC8"/>
        <w:rPr>
          <w:rFonts w:asciiTheme="minorHAnsi" w:eastAsiaTheme="minorEastAsia" w:hAnsiTheme="minorHAnsi" w:cstheme="minorBidi"/>
          <w:szCs w:val="22"/>
        </w:rPr>
      </w:pPr>
      <w:r>
        <w:t>9.</w:t>
      </w:r>
      <w:r>
        <w:tab/>
        <w:t>Approval of construction, alteration or extension of an aquatic facility</w:t>
      </w:r>
      <w:r>
        <w:tab/>
      </w:r>
      <w:r>
        <w:fldChar w:fldCharType="begin"/>
      </w:r>
      <w:r>
        <w:instrText xml:space="preserve"> PAGEREF _Toc472002265 \h </w:instrText>
      </w:r>
      <w:r>
        <w:fldChar w:fldCharType="separate"/>
      </w:r>
      <w:r>
        <w:t>6</w:t>
      </w:r>
      <w:r>
        <w:fldChar w:fldCharType="end"/>
      </w:r>
    </w:p>
    <w:p>
      <w:pPr>
        <w:pStyle w:val="TOC8"/>
        <w:rPr>
          <w:rFonts w:asciiTheme="minorHAnsi" w:eastAsiaTheme="minorEastAsia" w:hAnsiTheme="minorHAnsi" w:cstheme="minorBidi"/>
          <w:szCs w:val="22"/>
        </w:rPr>
      </w:pPr>
      <w:r>
        <w:t>10.</w:t>
      </w:r>
      <w:r>
        <w:tab/>
        <w:t>Approval of construction etc. — variations after approval granted</w:t>
      </w:r>
      <w:r>
        <w:tab/>
      </w:r>
      <w:r>
        <w:fldChar w:fldCharType="begin"/>
      </w:r>
      <w:r>
        <w:instrText xml:space="preserve"> PAGEREF _Toc472002266 \h </w:instrText>
      </w:r>
      <w:r>
        <w:fldChar w:fldCharType="separate"/>
      </w:r>
      <w:r>
        <w:t>6</w:t>
      </w:r>
      <w:r>
        <w:fldChar w:fldCharType="end"/>
      </w:r>
    </w:p>
    <w:p>
      <w:pPr>
        <w:pStyle w:val="TOC8"/>
        <w:rPr>
          <w:rFonts w:asciiTheme="minorHAnsi" w:eastAsiaTheme="minorEastAsia" w:hAnsiTheme="minorHAnsi" w:cstheme="minorBidi"/>
          <w:szCs w:val="22"/>
        </w:rPr>
      </w:pPr>
      <w:r>
        <w:t>11.</w:t>
      </w:r>
      <w:r>
        <w:tab/>
        <w:t>Approval of construction etc. — staged construction</w:t>
      </w:r>
      <w:r>
        <w:tab/>
      </w:r>
      <w:r>
        <w:fldChar w:fldCharType="begin"/>
      </w:r>
      <w:r>
        <w:instrText xml:space="preserve"> PAGEREF _Toc472002267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Certificate of compliance</w:t>
      </w:r>
    </w:p>
    <w:p>
      <w:pPr>
        <w:pStyle w:val="TOC8"/>
        <w:rPr>
          <w:rFonts w:asciiTheme="minorHAnsi" w:eastAsiaTheme="minorEastAsia" w:hAnsiTheme="minorHAnsi" w:cstheme="minorBidi"/>
          <w:szCs w:val="22"/>
        </w:rPr>
      </w:pPr>
      <w:r>
        <w:t>12.</w:t>
      </w:r>
      <w:r>
        <w:tab/>
        <w:t>Certificate of compliance required to operate an aquatic facility</w:t>
      </w:r>
      <w:r>
        <w:tab/>
      </w:r>
      <w:r>
        <w:fldChar w:fldCharType="begin"/>
      </w:r>
      <w:r>
        <w:instrText xml:space="preserve"> PAGEREF _Toc472002269 \h </w:instrText>
      </w:r>
      <w:r>
        <w:fldChar w:fldCharType="separate"/>
      </w:r>
      <w:r>
        <w:t>7</w:t>
      </w:r>
      <w:r>
        <w:fldChar w:fldCharType="end"/>
      </w:r>
    </w:p>
    <w:p>
      <w:pPr>
        <w:pStyle w:val="TOC8"/>
        <w:rPr>
          <w:rFonts w:asciiTheme="minorHAnsi" w:eastAsiaTheme="minorEastAsia" w:hAnsiTheme="minorHAnsi" w:cstheme="minorBidi"/>
          <w:szCs w:val="22"/>
        </w:rPr>
      </w:pPr>
      <w:r>
        <w:t>13.</w:t>
      </w:r>
      <w:r>
        <w:tab/>
        <w:t>Certificate of compliance</w:t>
      </w:r>
      <w:r>
        <w:tab/>
      </w:r>
      <w:r>
        <w:fldChar w:fldCharType="begin"/>
      </w:r>
      <w:r>
        <w:instrText xml:space="preserve"> PAGEREF _Toc472002270 \h </w:instrText>
      </w:r>
      <w:r>
        <w:fldChar w:fldCharType="separate"/>
      </w:r>
      <w:r>
        <w:t>7</w:t>
      </w:r>
      <w:r>
        <w:fldChar w:fldCharType="end"/>
      </w:r>
    </w:p>
    <w:p>
      <w:pPr>
        <w:pStyle w:val="TOC8"/>
        <w:rPr>
          <w:rFonts w:asciiTheme="minorHAnsi" w:eastAsiaTheme="minorEastAsia" w:hAnsiTheme="minorHAnsi" w:cstheme="minorBidi"/>
          <w:szCs w:val="22"/>
        </w:rPr>
      </w:pPr>
      <w:r>
        <w:t>14.</w:t>
      </w:r>
      <w:r>
        <w:tab/>
        <w:t>Applying for a certificate of compliance</w:t>
      </w:r>
      <w:r>
        <w:tab/>
      </w:r>
      <w:r>
        <w:fldChar w:fldCharType="begin"/>
      </w:r>
      <w:r>
        <w:instrText xml:space="preserve"> PAGEREF _Toc472002271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certificate of compliance</w:t>
      </w:r>
      <w:r>
        <w:tab/>
      </w:r>
      <w:r>
        <w:fldChar w:fldCharType="begin"/>
      </w:r>
      <w:r>
        <w:instrText xml:space="preserve"> PAGEREF _Toc472002272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aquatic facilities</w:t>
      </w:r>
    </w:p>
    <w:p>
      <w:pPr>
        <w:pStyle w:val="TOC4"/>
        <w:tabs>
          <w:tab w:val="right" w:leader="dot" w:pos="7077"/>
        </w:tabs>
        <w:rPr>
          <w:rFonts w:asciiTheme="minorHAnsi" w:eastAsiaTheme="minorEastAsia" w:hAnsiTheme="minorHAnsi" w:cstheme="minorBidi"/>
          <w:b w:val="0"/>
          <w:szCs w:val="22"/>
        </w:rPr>
      </w:pPr>
      <w:r>
        <w:t>Division 1 — Permit to operate an aquatic facility</w:t>
      </w:r>
    </w:p>
    <w:p>
      <w:pPr>
        <w:pStyle w:val="TOC8"/>
        <w:rPr>
          <w:rFonts w:asciiTheme="minorHAnsi" w:eastAsiaTheme="minorEastAsia" w:hAnsiTheme="minorHAnsi" w:cstheme="minorBidi"/>
          <w:szCs w:val="22"/>
        </w:rPr>
      </w:pPr>
      <w:r>
        <w:t>16.</w:t>
      </w:r>
      <w:r>
        <w:tab/>
        <w:t>Permit required to operate an aquatic facility</w:t>
      </w:r>
      <w:r>
        <w:tab/>
      </w:r>
      <w:r>
        <w:fldChar w:fldCharType="begin"/>
      </w:r>
      <w:r>
        <w:instrText xml:space="preserve"> PAGEREF _Toc472002275 \h </w:instrText>
      </w:r>
      <w:r>
        <w:fldChar w:fldCharType="separate"/>
      </w:r>
      <w:r>
        <w:t>10</w:t>
      </w:r>
      <w:r>
        <w:fldChar w:fldCharType="end"/>
      </w:r>
    </w:p>
    <w:p>
      <w:pPr>
        <w:pStyle w:val="TOC8"/>
        <w:rPr>
          <w:rFonts w:asciiTheme="minorHAnsi" w:eastAsiaTheme="minorEastAsia" w:hAnsiTheme="minorHAnsi" w:cstheme="minorBidi"/>
          <w:szCs w:val="22"/>
        </w:rPr>
      </w:pPr>
      <w:r>
        <w:t>17.</w:t>
      </w:r>
      <w:r>
        <w:tab/>
        <w:t>Applying for a permit to operate</w:t>
      </w:r>
      <w:r>
        <w:tab/>
      </w:r>
      <w:r>
        <w:fldChar w:fldCharType="begin"/>
      </w:r>
      <w:r>
        <w:instrText xml:space="preserve"> PAGEREF _Toc472002276 \h </w:instrText>
      </w:r>
      <w:r>
        <w:fldChar w:fldCharType="separate"/>
      </w:r>
      <w:r>
        <w:t>10</w:t>
      </w:r>
      <w:r>
        <w:fldChar w:fldCharType="end"/>
      </w:r>
    </w:p>
    <w:p>
      <w:pPr>
        <w:pStyle w:val="TOC8"/>
        <w:rPr>
          <w:rFonts w:asciiTheme="minorHAnsi" w:eastAsiaTheme="minorEastAsia" w:hAnsiTheme="minorHAnsi" w:cstheme="minorBidi"/>
          <w:szCs w:val="22"/>
        </w:rPr>
      </w:pPr>
      <w:r>
        <w:t>18.</w:t>
      </w:r>
      <w:r>
        <w:tab/>
        <w:t>Permit to operate an aquatic facility</w:t>
      </w:r>
      <w:r>
        <w:tab/>
      </w:r>
      <w:r>
        <w:fldChar w:fldCharType="begin"/>
      </w:r>
      <w:r>
        <w:instrText xml:space="preserve"> PAGEREF _Toc472002277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Operation of aquatic facilities</w:t>
      </w:r>
    </w:p>
    <w:p>
      <w:pPr>
        <w:pStyle w:val="TOC8"/>
        <w:rPr>
          <w:rFonts w:asciiTheme="minorHAnsi" w:eastAsiaTheme="minorEastAsia" w:hAnsiTheme="minorHAnsi" w:cstheme="minorBidi"/>
          <w:szCs w:val="22"/>
        </w:rPr>
      </w:pPr>
      <w:r>
        <w:t>19.</w:t>
      </w:r>
      <w:r>
        <w:tab/>
        <w:t>Operation of aquatic facilities</w:t>
      </w:r>
      <w:r>
        <w:tab/>
      </w:r>
      <w:r>
        <w:fldChar w:fldCharType="begin"/>
      </w:r>
      <w:r>
        <w:instrText xml:space="preserve"> PAGEREF _Toc472002279 \h </w:instrText>
      </w:r>
      <w:r>
        <w:fldChar w:fldCharType="separate"/>
      </w:r>
      <w:r>
        <w:t>11</w:t>
      </w:r>
      <w:r>
        <w:fldChar w:fldCharType="end"/>
      </w:r>
    </w:p>
    <w:p>
      <w:pPr>
        <w:pStyle w:val="TOC8"/>
        <w:rPr>
          <w:rFonts w:asciiTheme="minorHAnsi" w:eastAsiaTheme="minorEastAsia" w:hAnsiTheme="minorHAnsi" w:cstheme="minorBidi"/>
          <w:szCs w:val="22"/>
        </w:rPr>
      </w:pPr>
      <w:r>
        <w:t>20.</w:t>
      </w:r>
      <w:r>
        <w:tab/>
        <w:t>Variation in operational requirements</w:t>
      </w:r>
      <w:r>
        <w:tab/>
      </w:r>
      <w:r>
        <w:fldChar w:fldCharType="begin"/>
      </w:r>
      <w:r>
        <w:instrText xml:space="preserve"> PAGEREF _Toc472002280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Quality control</w:t>
      </w:r>
    </w:p>
    <w:p>
      <w:pPr>
        <w:pStyle w:val="TOC8"/>
        <w:rPr>
          <w:rFonts w:asciiTheme="minorHAnsi" w:eastAsiaTheme="minorEastAsia" w:hAnsiTheme="minorHAnsi" w:cstheme="minorBidi"/>
          <w:szCs w:val="22"/>
        </w:rPr>
      </w:pPr>
      <w:r>
        <w:t>21.</w:t>
      </w:r>
      <w:r>
        <w:tab/>
        <w:t>Water sampling</w:t>
      </w:r>
      <w:r>
        <w:tab/>
      </w:r>
      <w:r>
        <w:fldChar w:fldCharType="begin"/>
      </w:r>
      <w:r>
        <w:instrText xml:space="preserve"> PAGEREF _Toc472002282 \h </w:instrText>
      </w:r>
      <w:r>
        <w:fldChar w:fldCharType="separate"/>
      </w:r>
      <w:r>
        <w:t>12</w:t>
      </w:r>
      <w:r>
        <w:fldChar w:fldCharType="end"/>
      </w:r>
    </w:p>
    <w:p>
      <w:pPr>
        <w:pStyle w:val="TOC8"/>
        <w:rPr>
          <w:rFonts w:asciiTheme="minorHAnsi" w:eastAsiaTheme="minorEastAsia" w:hAnsiTheme="minorHAnsi" w:cstheme="minorBidi"/>
          <w:szCs w:val="22"/>
        </w:rPr>
      </w:pPr>
      <w:r>
        <w:t>22.</w:t>
      </w:r>
      <w:r>
        <w:tab/>
        <w:t>Improvement orders</w:t>
      </w:r>
      <w:r>
        <w:tab/>
      </w:r>
      <w:r>
        <w:fldChar w:fldCharType="begin"/>
      </w:r>
      <w:r>
        <w:instrText xml:space="preserve"> PAGEREF _Toc472002283 \h </w:instrText>
      </w:r>
      <w:r>
        <w:fldChar w:fldCharType="separate"/>
      </w:r>
      <w:r>
        <w:t>13</w:t>
      </w:r>
      <w:r>
        <w:fldChar w:fldCharType="end"/>
      </w:r>
    </w:p>
    <w:p>
      <w:pPr>
        <w:pStyle w:val="TOC8"/>
        <w:rPr>
          <w:rFonts w:asciiTheme="minorHAnsi" w:eastAsiaTheme="minorEastAsia" w:hAnsiTheme="minorHAnsi" w:cstheme="minorBidi"/>
          <w:szCs w:val="22"/>
        </w:rPr>
      </w:pPr>
      <w:r>
        <w:t>23.</w:t>
      </w:r>
      <w:r>
        <w:tab/>
        <w:t>Closing facilities</w:t>
      </w:r>
      <w:r>
        <w:tab/>
      </w:r>
      <w:r>
        <w:fldChar w:fldCharType="begin"/>
      </w:r>
      <w:r>
        <w:instrText xml:space="preserve"> PAGEREF _Toc472002284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w:t>
      </w:r>
    </w:p>
    <w:p>
      <w:pPr>
        <w:pStyle w:val="TOC4"/>
        <w:tabs>
          <w:tab w:val="right" w:leader="dot" w:pos="7077"/>
        </w:tabs>
        <w:rPr>
          <w:rFonts w:asciiTheme="minorHAnsi" w:eastAsiaTheme="minorEastAsia" w:hAnsiTheme="minorHAnsi" w:cstheme="minorBidi"/>
          <w:b w:val="0"/>
          <w:szCs w:val="22"/>
        </w:rPr>
      </w:pPr>
      <w:r>
        <w:t>Division 1 — Hygiene and use of facilities</w:t>
      </w:r>
    </w:p>
    <w:p>
      <w:pPr>
        <w:pStyle w:val="TOC8"/>
        <w:rPr>
          <w:rFonts w:asciiTheme="minorHAnsi" w:eastAsiaTheme="minorEastAsia" w:hAnsiTheme="minorHAnsi" w:cstheme="minorBidi"/>
          <w:szCs w:val="22"/>
        </w:rPr>
      </w:pPr>
      <w:r>
        <w:t>24.</w:t>
      </w:r>
      <w:r>
        <w:tab/>
        <w:t>Certain</w:t>
      </w:r>
      <w:r>
        <w:rPr>
          <w:snapToGrid w:val="0"/>
        </w:rPr>
        <w:t xml:space="preserve"> persons not to enter or use water body</w:t>
      </w:r>
      <w:r>
        <w:tab/>
      </w:r>
      <w:r>
        <w:fldChar w:fldCharType="begin"/>
      </w:r>
      <w:r>
        <w:instrText xml:space="preserve"> PAGEREF _Toc472002287 \h </w:instrText>
      </w:r>
      <w:r>
        <w:fldChar w:fldCharType="separate"/>
      </w:r>
      <w:r>
        <w:t>17</w:t>
      </w:r>
      <w:r>
        <w:fldChar w:fldCharType="end"/>
      </w:r>
    </w:p>
    <w:p>
      <w:pPr>
        <w:pStyle w:val="TOC8"/>
        <w:rPr>
          <w:rFonts w:asciiTheme="minorHAnsi" w:eastAsiaTheme="minorEastAsia" w:hAnsiTheme="minorHAnsi" w:cstheme="minorBidi"/>
          <w:szCs w:val="22"/>
        </w:rPr>
      </w:pPr>
      <w:r>
        <w:t>25.</w:t>
      </w:r>
      <w:r>
        <w:tab/>
        <w:t>Pollution</w:t>
      </w:r>
      <w:r>
        <w:rPr>
          <w:snapToGrid w:val="0"/>
        </w:rPr>
        <w:t xml:space="preserve"> of water bodies</w:t>
      </w:r>
      <w:r>
        <w:tab/>
      </w:r>
      <w:r>
        <w:fldChar w:fldCharType="begin"/>
      </w:r>
      <w:r>
        <w:instrText xml:space="preserve"> PAGEREF _Toc472002288 \h </w:instrText>
      </w:r>
      <w:r>
        <w:fldChar w:fldCharType="separate"/>
      </w:r>
      <w:r>
        <w:t>17</w:t>
      </w:r>
      <w:r>
        <w:fldChar w:fldCharType="end"/>
      </w:r>
    </w:p>
    <w:p>
      <w:pPr>
        <w:pStyle w:val="TOC8"/>
        <w:rPr>
          <w:rFonts w:asciiTheme="minorHAnsi" w:eastAsiaTheme="minorEastAsia" w:hAnsiTheme="minorHAnsi" w:cstheme="minorBidi"/>
          <w:szCs w:val="22"/>
        </w:rPr>
      </w:pPr>
      <w:r>
        <w:t>26.</w:t>
      </w:r>
      <w:r>
        <w:tab/>
        <w:t>Animals</w:t>
      </w:r>
      <w:r>
        <w:rPr>
          <w:snapToGrid w:val="0"/>
        </w:rPr>
        <w:t xml:space="preserve"> not to enter aquatic facilities etc.</w:t>
      </w:r>
      <w:r>
        <w:tab/>
      </w:r>
      <w:r>
        <w:fldChar w:fldCharType="begin"/>
      </w:r>
      <w:r>
        <w:instrText xml:space="preserve"> PAGEREF _Toc472002289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Miscellaneous provisions</w:t>
      </w:r>
    </w:p>
    <w:p>
      <w:pPr>
        <w:pStyle w:val="TOC8"/>
        <w:rPr>
          <w:rFonts w:asciiTheme="minorHAnsi" w:eastAsiaTheme="minorEastAsia" w:hAnsiTheme="minorHAnsi" w:cstheme="minorBidi"/>
          <w:szCs w:val="22"/>
        </w:rPr>
      </w:pPr>
      <w:r>
        <w:t>27.</w:t>
      </w:r>
      <w:r>
        <w:tab/>
        <w:t>Reasons for certain decisions</w:t>
      </w:r>
      <w:r>
        <w:tab/>
      </w:r>
      <w:r>
        <w:fldChar w:fldCharType="begin"/>
      </w:r>
      <w:r>
        <w:instrText xml:space="preserve"> PAGEREF _Toc472002291 \h </w:instrText>
      </w:r>
      <w:r>
        <w:fldChar w:fldCharType="separate"/>
      </w:r>
      <w:r>
        <w:t>18</w:t>
      </w:r>
      <w:r>
        <w:fldChar w:fldCharType="end"/>
      </w:r>
    </w:p>
    <w:p>
      <w:pPr>
        <w:pStyle w:val="TOC8"/>
        <w:rPr>
          <w:rFonts w:asciiTheme="minorHAnsi" w:eastAsiaTheme="minorEastAsia" w:hAnsiTheme="minorHAnsi" w:cstheme="minorBidi"/>
          <w:szCs w:val="22"/>
        </w:rPr>
      </w:pPr>
      <w:r>
        <w:t>28.</w:t>
      </w:r>
      <w:r>
        <w:tab/>
        <w:t>Review of certain decisions</w:t>
      </w:r>
      <w:r>
        <w:tab/>
      </w:r>
      <w:r>
        <w:fldChar w:fldCharType="begin"/>
      </w:r>
      <w:r>
        <w:instrText xml:space="preserve"> PAGEREF _Toc472002292 \h </w:instrText>
      </w:r>
      <w:r>
        <w:fldChar w:fldCharType="separate"/>
      </w:r>
      <w:r>
        <w:t>18</w:t>
      </w:r>
      <w:r>
        <w:fldChar w:fldCharType="end"/>
      </w:r>
    </w:p>
    <w:p>
      <w:pPr>
        <w:pStyle w:val="TOC8"/>
        <w:rPr>
          <w:rFonts w:asciiTheme="minorHAnsi" w:eastAsiaTheme="minorEastAsia" w:hAnsiTheme="minorHAnsi" w:cstheme="minorBidi"/>
          <w:szCs w:val="22"/>
        </w:rPr>
      </w:pPr>
      <w:r>
        <w:t>29.</w:t>
      </w:r>
      <w:r>
        <w:tab/>
        <w:t>Informing local governments</w:t>
      </w:r>
      <w:r>
        <w:tab/>
      </w:r>
      <w:r>
        <w:fldChar w:fldCharType="begin"/>
      </w:r>
      <w:r>
        <w:instrText xml:space="preserve"> PAGEREF _Toc472002293 \h </w:instrText>
      </w:r>
      <w:r>
        <w:fldChar w:fldCharType="separate"/>
      </w:r>
      <w:r>
        <w:t>20</w:t>
      </w:r>
      <w:r>
        <w:fldChar w:fldCharType="end"/>
      </w:r>
    </w:p>
    <w:p>
      <w:pPr>
        <w:pStyle w:val="TOC8"/>
        <w:rPr>
          <w:rFonts w:asciiTheme="minorHAnsi" w:eastAsiaTheme="minorEastAsia" w:hAnsiTheme="minorHAnsi" w:cstheme="minorBidi"/>
          <w:szCs w:val="22"/>
        </w:rPr>
      </w:pPr>
      <w:r>
        <w:t>30.</w:t>
      </w:r>
      <w:r>
        <w:tab/>
        <w:t>Approved forms</w:t>
      </w:r>
      <w:r>
        <w:tab/>
      </w:r>
      <w:r>
        <w:fldChar w:fldCharType="begin"/>
      </w:r>
      <w:r>
        <w:instrText xml:space="preserve"> PAGEREF _Toc472002294 \h </w:instrText>
      </w:r>
      <w:r>
        <w:fldChar w:fldCharType="separate"/>
      </w:r>
      <w:r>
        <w:t>21</w:t>
      </w:r>
      <w:r>
        <w:fldChar w:fldCharType="end"/>
      </w:r>
    </w:p>
    <w:p>
      <w:pPr>
        <w:pStyle w:val="TOC8"/>
        <w:rPr>
          <w:rFonts w:asciiTheme="minorHAnsi" w:eastAsiaTheme="minorEastAsia" w:hAnsiTheme="minorHAnsi" w:cstheme="minorBidi"/>
          <w:szCs w:val="22"/>
        </w:rPr>
      </w:pPr>
      <w:r>
        <w:t>31.</w:t>
      </w:r>
      <w:r>
        <w:tab/>
        <w:t>Offences and penalties</w:t>
      </w:r>
      <w:r>
        <w:tab/>
      </w:r>
      <w:r>
        <w:fldChar w:fldCharType="begin"/>
      </w:r>
      <w:r>
        <w:instrText xml:space="preserve"> PAGEREF _Toc472002295 \h </w:instrText>
      </w:r>
      <w:r>
        <w:fldChar w:fldCharType="separate"/>
      </w:r>
      <w:r>
        <w:t>22</w:t>
      </w:r>
      <w:r>
        <w:fldChar w:fldCharType="end"/>
      </w:r>
    </w:p>
    <w:p>
      <w:pPr>
        <w:pStyle w:val="TOC8"/>
        <w:rPr>
          <w:rFonts w:asciiTheme="minorHAnsi" w:eastAsiaTheme="minorEastAsia" w:hAnsiTheme="minorHAnsi" w:cstheme="minorBidi"/>
          <w:szCs w:val="22"/>
        </w:rPr>
      </w:pPr>
      <w:r>
        <w:t>32.</w:t>
      </w:r>
      <w:r>
        <w:tab/>
        <w:t>Availability of the Code</w:t>
      </w:r>
      <w:r>
        <w:tab/>
      </w:r>
      <w:r>
        <w:fldChar w:fldCharType="begin"/>
      </w:r>
      <w:r>
        <w:instrText xml:space="preserve"> PAGEREF _Toc472002296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w:t>
      </w:r>
      <w:r>
        <w:tab/>
        <w:t>Terms used in this Part</w:t>
      </w:r>
      <w:r>
        <w:tab/>
      </w:r>
      <w:r>
        <w:fldChar w:fldCharType="begin"/>
      </w:r>
      <w:r>
        <w:instrText xml:space="preserve"> PAGEREF _Toc472002299 \h </w:instrText>
      </w:r>
      <w:r>
        <w:fldChar w:fldCharType="separate"/>
      </w:r>
      <w:r>
        <w:t>23</w:t>
      </w:r>
      <w:r>
        <w:fldChar w:fldCharType="end"/>
      </w:r>
    </w:p>
    <w:p>
      <w:pPr>
        <w:pStyle w:val="TOC8"/>
        <w:rPr>
          <w:rFonts w:asciiTheme="minorHAnsi" w:eastAsiaTheme="minorEastAsia" w:hAnsiTheme="minorHAnsi" w:cstheme="minorBidi"/>
          <w:szCs w:val="22"/>
        </w:rPr>
      </w:pPr>
      <w:r>
        <w:t>34.</w:t>
      </w:r>
      <w:r>
        <w:tab/>
        <w:t>Repeal of old regulations</w:t>
      </w:r>
      <w:r>
        <w:tab/>
      </w:r>
      <w:r>
        <w:fldChar w:fldCharType="begin"/>
      </w:r>
      <w:r>
        <w:instrText xml:space="preserve"> PAGEREF _Toc472002300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Existing facilities that are in use</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_Toc472002302 \h </w:instrText>
      </w:r>
      <w:r>
        <w:fldChar w:fldCharType="separate"/>
      </w:r>
      <w:r>
        <w:t>23</w:t>
      </w:r>
      <w:r>
        <w:fldChar w:fldCharType="end"/>
      </w:r>
    </w:p>
    <w:p>
      <w:pPr>
        <w:pStyle w:val="TOC8"/>
        <w:rPr>
          <w:rFonts w:asciiTheme="minorHAnsi" w:eastAsiaTheme="minorEastAsia" w:hAnsiTheme="minorHAnsi" w:cstheme="minorBidi"/>
          <w:szCs w:val="22"/>
        </w:rPr>
      </w:pPr>
      <w:r>
        <w:t>36.</w:t>
      </w:r>
      <w:r>
        <w:tab/>
        <w:t>Certificates of compliance and permits to operate</w:t>
      </w:r>
      <w:r>
        <w:tab/>
      </w:r>
      <w:r>
        <w:fldChar w:fldCharType="begin"/>
      </w:r>
      <w:r>
        <w:instrText xml:space="preserve"> PAGEREF _Toc472002303 \h </w:instrText>
      </w:r>
      <w:r>
        <w:fldChar w:fldCharType="separate"/>
      </w:r>
      <w:r>
        <w:t>23</w:t>
      </w:r>
      <w:r>
        <w:fldChar w:fldCharType="end"/>
      </w:r>
    </w:p>
    <w:p>
      <w:pPr>
        <w:pStyle w:val="TOC8"/>
        <w:rPr>
          <w:rFonts w:asciiTheme="minorHAnsi" w:eastAsiaTheme="minorEastAsia" w:hAnsiTheme="minorHAnsi" w:cstheme="minorBidi"/>
          <w:szCs w:val="22"/>
        </w:rPr>
      </w:pPr>
      <w:r>
        <w:t>37.</w:t>
      </w:r>
      <w:r>
        <w:tab/>
        <w:t>Review of certain decisions made under this Division</w:t>
      </w:r>
      <w:r>
        <w:tab/>
      </w:r>
      <w:r>
        <w:fldChar w:fldCharType="begin"/>
      </w:r>
      <w:r>
        <w:instrText xml:space="preserve"> PAGEREF _Toc472002304 \h </w:instrText>
      </w:r>
      <w:r>
        <w:fldChar w:fldCharType="separate"/>
      </w:r>
      <w:r>
        <w:t>25</w:t>
      </w:r>
      <w:r>
        <w:fldChar w:fldCharType="end"/>
      </w:r>
    </w:p>
    <w:p>
      <w:pPr>
        <w:pStyle w:val="TOC8"/>
        <w:rPr>
          <w:rFonts w:asciiTheme="minorHAnsi" w:eastAsiaTheme="minorEastAsia" w:hAnsiTheme="minorHAnsi" w:cstheme="minorBidi"/>
          <w:szCs w:val="22"/>
        </w:rPr>
      </w:pPr>
      <w:r>
        <w:t>38.</w:t>
      </w:r>
      <w:r>
        <w:tab/>
        <w:t>Compliance with certain operational requirements of the Code</w:t>
      </w:r>
      <w:r>
        <w:tab/>
      </w:r>
      <w:r>
        <w:fldChar w:fldCharType="begin"/>
      </w:r>
      <w:r>
        <w:instrText xml:space="preserve"> PAGEREF _Toc472002305 \h </w:instrText>
      </w:r>
      <w:r>
        <w:fldChar w:fldCharType="separate"/>
      </w:r>
      <w:r>
        <w:t>26</w:t>
      </w:r>
      <w:r>
        <w:fldChar w:fldCharType="end"/>
      </w:r>
    </w:p>
    <w:p>
      <w:pPr>
        <w:pStyle w:val="TOC8"/>
        <w:rPr>
          <w:rFonts w:asciiTheme="minorHAnsi" w:eastAsiaTheme="minorEastAsia" w:hAnsiTheme="minorHAnsi" w:cstheme="minorBidi"/>
          <w:szCs w:val="22"/>
        </w:rPr>
      </w:pPr>
      <w:r>
        <w:t>39.</w:t>
      </w:r>
      <w:r>
        <w:tab/>
        <w:t>Exemptions under the old regulations</w:t>
      </w:r>
      <w:r>
        <w:tab/>
      </w:r>
      <w:r>
        <w:fldChar w:fldCharType="begin"/>
      </w:r>
      <w:r>
        <w:instrText xml:space="preserve"> PAGEREF _Toc472002306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Other matters under the old regulations</w:t>
      </w:r>
    </w:p>
    <w:p>
      <w:pPr>
        <w:pStyle w:val="TOC8"/>
        <w:rPr>
          <w:rFonts w:asciiTheme="minorHAnsi" w:eastAsiaTheme="minorEastAsia" w:hAnsiTheme="minorHAnsi" w:cstheme="minorBidi"/>
          <w:szCs w:val="22"/>
        </w:rPr>
      </w:pPr>
      <w:r>
        <w:t>40.</w:t>
      </w:r>
      <w:r>
        <w:tab/>
        <w:t>Notices under regulation 3 of the old regulations</w:t>
      </w:r>
      <w:r>
        <w:tab/>
      </w:r>
      <w:r>
        <w:fldChar w:fldCharType="begin"/>
      </w:r>
      <w:r>
        <w:instrText xml:space="preserve"> PAGEREF _Toc472002308 \h </w:instrText>
      </w:r>
      <w:r>
        <w:fldChar w:fldCharType="separate"/>
      </w:r>
      <w:r>
        <w:t>28</w:t>
      </w:r>
      <w:r>
        <w:fldChar w:fldCharType="end"/>
      </w:r>
    </w:p>
    <w:p>
      <w:pPr>
        <w:pStyle w:val="TOC8"/>
        <w:rPr>
          <w:rFonts w:asciiTheme="minorHAnsi" w:eastAsiaTheme="minorEastAsia" w:hAnsiTheme="minorHAnsi" w:cstheme="minorBidi"/>
          <w:szCs w:val="22"/>
        </w:rPr>
      </w:pPr>
      <w:r>
        <w:t>41.</w:t>
      </w:r>
      <w:r>
        <w:tab/>
        <w:t>Approvals under regulation 4 of the old regulations</w:t>
      </w:r>
      <w:r>
        <w:tab/>
      </w:r>
      <w:r>
        <w:fldChar w:fldCharType="begin"/>
      </w:r>
      <w:r>
        <w:instrText xml:space="preserve"> PAGEREF _Toc472002309 \h </w:instrText>
      </w:r>
      <w:r>
        <w:fldChar w:fldCharType="separate"/>
      </w:r>
      <w:r>
        <w:t>28</w:t>
      </w:r>
      <w:r>
        <w:fldChar w:fldCharType="end"/>
      </w:r>
    </w:p>
    <w:p>
      <w:pPr>
        <w:pStyle w:val="TOC8"/>
        <w:rPr>
          <w:rFonts w:asciiTheme="minorHAnsi" w:eastAsiaTheme="minorEastAsia" w:hAnsiTheme="minorHAnsi" w:cstheme="minorBidi"/>
          <w:szCs w:val="22"/>
        </w:rPr>
      </w:pPr>
      <w:r>
        <w:t>42.</w:t>
      </w:r>
      <w:r>
        <w:tab/>
        <w:t>Closure notices</w:t>
      </w:r>
      <w:r>
        <w:tab/>
      </w:r>
      <w:r>
        <w:fldChar w:fldCharType="begin"/>
      </w:r>
      <w:r>
        <w:instrText xml:space="preserve"> PAGEREF _Toc472002310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_Toc472002312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_Toc472002313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(Aquatic Facilities) Regulations 2007</w:t>
      </w:r>
    </w:p>
    <w:p>
      <w:pPr>
        <w:pStyle w:val="Heading2"/>
        <w:pageBreakBefore w:val="0"/>
        <w:spacing w:before="240"/>
      </w:pPr>
      <w:bookmarkStart w:id="3" w:name="_Toc471905249"/>
      <w:bookmarkStart w:id="4" w:name="_Toc472002254"/>
      <w:r>
        <w:rPr>
          <w:rStyle w:val="CharPartNo"/>
        </w:rPr>
        <w:t>Part 1</w:t>
      </w:r>
      <w:r>
        <w:rPr>
          <w:rStyle w:val="CharDivNo"/>
        </w:rPr>
        <w:t> </w:t>
      </w:r>
      <w:r>
        <w:t>—</w:t>
      </w:r>
      <w:r>
        <w:rPr>
          <w:rStyle w:val="CharDivText"/>
        </w:rPr>
        <w:t> </w:t>
      </w:r>
      <w:r>
        <w:rPr>
          <w:rStyle w:val="CharPartText"/>
        </w:rPr>
        <w:t>Introduction</w:t>
      </w:r>
      <w:bookmarkEnd w:id="3"/>
      <w:bookmarkEnd w:id="4"/>
    </w:p>
    <w:p>
      <w:pPr>
        <w:pStyle w:val="Heading5"/>
      </w:pPr>
      <w:bookmarkStart w:id="5" w:name="_Toc472002255"/>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7" w:name="_Toc472002256"/>
      <w:r>
        <w:rPr>
          <w:rStyle w:val="CharSectno"/>
        </w:rPr>
        <w:t>2</w:t>
      </w:r>
      <w:r>
        <w:rPr>
          <w:spacing w:val="-2"/>
        </w:rPr>
        <w:t>.</w:t>
      </w:r>
      <w:r>
        <w:rPr>
          <w:spacing w:val="-2"/>
        </w:rPr>
        <w:tab/>
        <w:t>Commencement</w:t>
      </w:r>
      <w:bookmarkEnd w:id="7"/>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8" w:name="_Toc472002257"/>
      <w:r>
        <w:rPr>
          <w:rStyle w:val="CharSectno"/>
        </w:rPr>
        <w:t>3</w:t>
      </w:r>
      <w:r>
        <w:t>.</w:t>
      </w:r>
      <w:r>
        <w:tab/>
        <w:t>Regulations to operate as local laws</w:t>
      </w:r>
      <w:bookmarkEnd w:id="8"/>
      <w:r>
        <w:t xml:space="preserve"> </w:t>
      </w:r>
    </w:p>
    <w:p>
      <w:pPr>
        <w:pStyle w:val="Subsection"/>
      </w:pPr>
      <w:r>
        <w:tab/>
      </w:r>
      <w:r>
        <w:tab/>
        <w:t>These regulations apply to all districts as if they were local laws made under the Act.</w:t>
      </w:r>
    </w:p>
    <w:p>
      <w:pPr>
        <w:pStyle w:val="Heading5"/>
      </w:pPr>
      <w:bookmarkStart w:id="9" w:name="_Toc472002258"/>
      <w:r>
        <w:rPr>
          <w:rStyle w:val="CharSectno"/>
        </w:rPr>
        <w:t>4</w:t>
      </w:r>
      <w:r>
        <w:t>.</w:t>
      </w:r>
      <w:r>
        <w:tab/>
        <w:t>Terms used in these regulations</w:t>
      </w:r>
      <w:bookmarkEnd w:id="9"/>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EDPH under the Act on 1 June 2007 as amended by the EDPH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EDPH</w:t>
      </w:r>
      <w:r>
        <w:t xml:space="preserve"> means the Executive Director, Public Health;</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in Gazette 8 Dec 2009 p. 4998-9.]</w:t>
      </w:r>
    </w:p>
    <w:p>
      <w:pPr>
        <w:pStyle w:val="Heading5"/>
      </w:pPr>
      <w:bookmarkStart w:id="10" w:name="_Toc472002259"/>
      <w:r>
        <w:rPr>
          <w:rStyle w:val="CharSectno"/>
        </w:rPr>
        <w:t>5</w:t>
      </w:r>
      <w:r>
        <w:t>.</w:t>
      </w:r>
      <w:r>
        <w:tab/>
        <w:t>Aquatic facilities</w:t>
      </w:r>
      <w:bookmarkEnd w:id="10"/>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r>
        <w:tab/>
        <w:t>(d)</w:t>
      </w:r>
      <w:r>
        <w:tab/>
        <w:t>an aquatic facility that is exempt under subregulation (3).</w:t>
      </w:r>
    </w:p>
    <w:p>
      <w:pPr>
        <w:pStyle w:val="Subsection"/>
      </w:pPr>
      <w:r>
        <w:tab/>
        <w:t>(3)</w:t>
      </w:r>
      <w:r>
        <w:tab/>
        <w:t xml:space="preserve">The EDPH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in Gazette 8 Dec 2009 p. 4999.]</w:t>
      </w:r>
    </w:p>
    <w:p>
      <w:pPr>
        <w:pStyle w:val="Heading5"/>
      </w:pPr>
      <w:bookmarkStart w:id="11" w:name="_Toc472002260"/>
      <w:r>
        <w:rPr>
          <w:rStyle w:val="CharSectno"/>
        </w:rPr>
        <w:t>6</w:t>
      </w:r>
      <w:r>
        <w:t>.</w:t>
      </w:r>
      <w:r>
        <w:tab/>
        <w:t>Adoption of Code and relationship to these regulations</w:t>
      </w:r>
      <w:bookmarkEnd w:id="11"/>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2" w:name="_Toc471905256"/>
      <w:bookmarkStart w:id="13" w:name="_Toc472002261"/>
      <w:r>
        <w:rPr>
          <w:rStyle w:val="CharPartNo"/>
        </w:rPr>
        <w:t>Part 2</w:t>
      </w:r>
      <w:r>
        <w:t> — </w:t>
      </w:r>
      <w:r>
        <w:rPr>
          <w:rStyle w:val="CharPartText"/>
        </w:rPr>
        <w:t>Construction, alteration and extension of aquatic facilities</w:t>
      </w:r>
      <w:bookmarkEnd w:id="12"/>
      <w:bookmarkEnd w:id="13"/>
    </w:p>
    <w:p>
      <w:pPr>
        <w:pStyle w:val="Heading3"/>
      </w:pPr>
      <w:bookmarkStart w:id="14" w:name="_Toc471905257"/>
      <w:bookmarkStart w:id="15" w:name="_Toc472002262"/>
      <w:r>
        <w:rPr>
          <w:rStyle w:val="CharDivNo"/>
        </w:rPr>
        <w:t>Division 1</w:t>
      </w:r>
      <w:r>
        <w:t> — </w:t>
      </w:r>
      <w:r>
        <w:rPr>
          <w:rStyle w:val="CharDivText"/>
        </w:rPr>
        <w:t>Approval of construction, alteration and extension of aquatic facilities</w:t>
      </w:r>
      <w:bookmarkEnd w:id="14"/>
      <w:bookmarkEnd w:id="15"/>
    </w:p>
    <w:p>
      <w:pPr>
        <w:pStyle w:val="Heading5"/>
      </w:pPr>
      <w:bookmarkStart w:id="16" w:name="_Toc472002263"/>
      <w:r>
        <w:rPr>
          <w:rStyle w:val="CharSectno"/>
        </w:rPr>
        <w:t>7</w:t>
      </w:r>
      <w:r>
        <w:t>.</w:t>
      </w:r>
      <w:r>
        <w:tab/>
        <w:t>Approval required to construct, alter or extend an aquatic facility</w:t>
      </w:r>
      <w:bookmarkEnd w:id="16"/>
    </w:p>
    <w:p>
      <w:pPr>
        <w:pStyle w:val="Subsection"/>
      </w:pPr>
      <w:r>
        <w:tab/>
      </w:r>
      <w:r>
        <w:tab/>
        <w:t>A person must not construct, alter or extend an aquatic facility other than in accordance with the approval of the EDPH under this Division.</w:t>
      </w:r>
    </w:p>
    <w:p>
      <w:pPr>
        <w:pStyle w:val="Heading5"/>
      </w:pPr>
      <w:bookmarkStart w:id="17" w:name="_Toc472002264"/>
      <w:r>
        <w:rPr>
          <w:rStyle w:val="CharSectno"/>
        </w:rPr>
        <w:t>8</w:t>
      </w:r>
      <w:r>
        <w:t>.</w:t>
      </w:r>
      <w:r>
        <w:tab/>
        <w:t>Applying for approval to construct, alter or extend an aquatic facility</w:t>
      </w:r>
      <w:bookmarkEnd w:id="17"/>
    </w:p>
    <w:p>
      <w:pPr>
        <w:pStyle w:val="Subsection"/>
      </w:pPr>
      <w:r>
        <w:tab/>
        <w:t>(1)</w:t>
      </w:r>
      <w:r>
        <w:tab/>
        <w:t>The occupier of land or premises on or in which it is proposed to construct an aquatic facility may apply to the EDPH for approval to construct the facility.</w:t>
      </w:r>
    </w:p>
    <w:p>
      <w:pPr>
        <w:pStyle w:val="Subsection"/>
      </w:pPr>
      <w:r>
        <w:tab/>
        <w:t>(2)</w:t>
      </w:r>
      <w:r>
        <w:tab/>
        <w:t>The occupier of land or premises on or in which an aquatic facility is located may apply to the EDPH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EDPH to assess the application.</w:t>
      </w:r>
    </w:p>
    <w:p>
      <w:pPr>
        <w:pStyle w:val="Heading5"/>
      </w:pPr>
      <w:bookmarkStart w:id="18" w:name="_Toc472002265"/>
      <w:r>
        <w:rPr>
          <w:rStyle w:val="CharSectno"/>
        </w:rPr>
        <w:t>9</w:t>
      </w:r>
      <w:r>
        <w:t>.</w:t>
      </w:r>
      <w:r>
        <w:tab/>
        <w:t>Approval of construction, alteration or extension of an aquatic facility</w:t>
      </w:r>
      <w:bookmarkEnd w:id="18"/>
    </w:p>
    <w:p>
      <w:pPr>
        <w:pStyle w:val="Subsection"/>
      </w:pPr>
      <w:r>
        <w:tab/>
        <w:t>(1)</w:t>
      </w:r>
      <w:r>
        <w:tab/>
        <w:t>The EDPH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EDPH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Heading5"/>
      </w:pPr>
      <w:bookmarkStart w:id="19" w:name="_Toc472002266"/>
      <w:r>
        <w:rPr>
          <w:rStyle w:val="CharSectno"/>
        </w:rPr>
        <w:t>10</w:t>
      </w:r>
      <w:r>
        <w:t>.</w:t>
      </w:r>
      <w:r>
        <w:tab/>
        <w:t>Approval of construction etc. — variations after approval granted</w:t>
      </w:r>
      <w:bookmarkEnd w:id="19"/>
    </w:p>
    <w:p>
      <w:pPr>
        <w:pStyle w:val="Subsection"/>
      </w:pPr>
      <w:r>
        <w:tab/>
        <w:t>(1)</w:t>
      </w:r>
      <w:r>
        <w:tab/>
        <w:t xml:space="preserve">The EDPH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Heading5"/>
      </w:pPr>
      <w:bookmarkStart w:id="20" w:name="_Toc472002267"/>
      <w:r>
        <w:rPr>
          <w:rStyle w:val="CharSectno"/>
        </w:rPr>
        <w:t>11</w:t>
      </w:r>
      <w:r>
        <w:t>.</w:t>
      </w:r>
      <w:r>
        <w:tab/>
        <w:t>Approval of construction etc. — staged construction</w:t>
      </w:r>
      <w:bookmarkEnd w:id="20"/>
    </w:p>
    <w:p>
      <w:pPr>
        <w:pStyle w:val="Subsection"/>
      </w:pPr>
      <w:r>
        <w:tab/>
        <w:t>(1)</w:t>
      </w:r>
      <w:r>
        <w:tab/>
        <w:t>The EDPH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Heading3"/>
      </w:pPr>
      <w:bookmarkStart w:id="21" w:name="_Toc471905263"/>
      <w:bookmarkStart w:id="22" w:name="_Toc472002268"/>
      <w:r>
        <w:rPr>
          <w:rStyle w:val="CharDivNo"/>
        </w:rPr>
        <w:t>Division 2</w:t>
      </w:r>
      <w:r>
        <w:t> — </w:t>
      </w:r>
      <w:r>
        <w:rPr>
          <w:rStyle w:val="CharDivText"/>
        </w:rPr>
        <w:t>Certificate of compliance</w:t>
      </w:r>
      <w:bookmarkEnd w:id="21"/>
      <w:bookmarkEnd w:id="22"/>
    </w:p>
    <w:p>
      <w:pPr>
        <w:pStyle w:val="Heading5"/>
      </w:pPr>
      <w:bookmarkStart w:id="23" w:name="_Toc472002269"/>
      <w:r>
        <w:rPr>
          <w:rStyle w:val="CharSectno"/>
        </w:rPr>
        <w:t>12</w:t>
      </w:r>
      <w:r>
        <w:t>.</w:t>
      </w:r>
      <w:r>
        <w:tab/>
        <w:t>Certificate of compliance required to operate an aquatic facility</w:t>
      </w:r>
      <w:bookmarkEnd w:id="23"/>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24" w:name="_Toc472002270"/>
      <w:r>
        <w:rPr>
          <w:rStyle w:val="CharSectno"/>
        </w:rPr>
        <w:t>13</w:t>
      </w:r>
      <w:r>
        <w:t>.</w:t>
      </w:r>
      <w:r>
        <w:tab/>
        <w:t>Certificate of compliance</w:t>
      </w:r>
      <w:bookmarkEnd w:id="24"/>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EDPH may issue a certificate of compliance that is a consolidation of a number of certificates.</w:t>
      </w:r>
    </w:p>
    <w:p>
      <w:pPr>
        <w:pStyle w:val="Heading5"/>
      </w:pPr>
      <w:bookmarkStart w:id="25" w:name="_Toc472002271"/>
      <w:r>
        <w:rPr>
          <w:rStyle w:val="CharSectno"/>
        </w:rPr>
        <w:t>14</w:t>
      </w:r>
      <w:r>
        <w:t>.</w:t>
      </w:r>
      <w:r>
        <w:tab/>
        <w:t>Applying for a certificate of compliance</w:t>
      </w:r>
      <w:bookmarkEnd w:id="25"/>
    </w:p>
    <w:p>
      <w:pPr>
        <w:pStyle w:val="Subsection"/>
      </w:pPr>
      <w:r>
        <w:tab/>
        <w:t>(1)</w:t>
      </w:r>
      <w:r>
        <w:tab/>
        <w:t>A person may apply to have a certificate of compliance issued by the EDPH for an aquatic facility, or a part of an aquatic facility.</w:t>
      </w:r>
    </w:p>
    <w:p>
      <w:pPr>
        <w:pStyle w:val="Subsection"/>
      </w:pPr>
      <w:r>
        <w:tab/>
        <w:t>(2)</w:t>
      </w:r>
      <w:r>
        <w:tab/>
        <w:t>The application must be in the approved form.</w:t>
      </w:r>
    </w:p>
    <w:p>
      <w:pPr>
        <w:pStyle w:val="Heading5"/>
      </w:pPr>
      <w:bookmarkStart w:id="26" w:name="_Toc472002272"/>
      <w:r>
        <w:rPr>
          <w:rStyle w:val="CharSectno"/>
        </w:rPr>
        <w:t>15</w:t>
      </w:r>
      <w:r>
        <w:t>.</w:t>
      </w:r>
      <w:r>
        <w:tab/>
        <w:t>Issue of certificate of compliance</w:t>
      </w:r>
      <w:bookmarkEnd w:id="26"/>
    </w:p>
    <w:p>
      <w:pPr>
        <w:pStyle w:val="Subsection"/>
      </w:pPr>
      <w:r>
        <w:tab/>
        <w:t>(1)</w:t>
      </w:r>
      <w:r>
        <w:tab/>
        <w:t>The EDPH may issue a certificate of compliance for an aquatic facility if satisfied that it has been constructed in accordance with the approval to construct the facility granted under Division 1.</w:t>
      </w:r>
    </w:p>
    <w:p>
      <w:pPr>
        <w:pStyle w:val="Subsection"/>
      </w:pPr>
      <w:r>
        <w:tab/>
        <w:t>(2)</w:t>
      </w:r>
      <w:r>
        <w:tab/>
        <w:t>The EDPH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EDPH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EDPH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in Gazette 8 Dec 2009 p. 5000.]</w:t>
      </w:r>
    </w:p>
    <w:p>
      <w:pPr>
        <w:pStyle w:val="Heading2"/>
      </w:pPr>
      <w:bookmarkStart w:id="27" w:name="_Toc471905268"/>
      <w:bookmarkStart w:id="28" w:name="_Toc472002273"/>
      <w:r>
        <w:rPr>
          <w:rStyle w:val="CharPartNo"/>
        </w:rPr>
        <w:t>Part 3</w:t>
      </w:r>
      <w:r>
        <w:t> — </w:t>
      </w:r>
      <w:r>
        <w:rPr>
          <w:rStyle w:val="CharPartText"/>
        </w:rPr>
        <w:t>Operation of aquatic facilities</w:t>
      </w:r>
      <w:bookmarkEnd w:id="27"/>
      <w:bookmarkEnd w:id="28"/>
    </w:p>
    <w:p>
      <w:pPr>
        <w:pStyle w:val="Heading3"/>
      </w:pPr>
      <w:bookmarkStart w:id="29" w:name="_Toc471905269"/>
      <w:bookmarkStart w:id="30" w:name="_Toc472002274"/>
      <w:r>
        <w:rPr>
          <w:rStyle w:val="CharDivNo"/>
        </w:rPr>
        <w:t>Division 1</w:t>
      </w:r>
      <w:r>
        <w:t> — </w:t>
      </w:r>
      <w:r>
        <w:rPr>
          <w:rStyle w:val="CharDivText"/>
        </w:rPr>
        <w:t>Permit to operate an aquatic facility</w:t>
      </w:r>
      <w:bookmarkEnd w:id="29"/>
      <w:bookmarkEnd w:id="30"/>
    </w:p>
    <w:p>
      <w:pPr>
        <w:pStyle w:val="Heading5"/>
      </w:pPr>
      <w:bookmarkStart w:id="31" w:name="_Toc472002275"/>
      <w:r>
        <w:rPr>
          <w:rStyle w:val="CharSectno"/>
        </w:rPr>
        <w:t>16</w:t>
      </w:r>
      <w:r>
        <w:t>.</w:t>
      </w:r>
      <w:r>
        <w:tab/>
        <w:t>Permit required to operate an aquatic facility</w:t>
      </w:r>
      <w:bookmarkEnd w:id="31"/>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32" w:name="_Toc472002276"/>
      <w:r>
        <w:rPr>
          <w:rStyle w:val="CharSectno"/>
        </w:rPr>
        <w:t>17</w:t>
      </w:r>
      <w:r>
        <w:t>.</w:t>
      </w:r>
      <w:r>
        <w:tab/>
        <w:t>Applying for a permit to operate</w:t>
      </w:r>
      <w:bookmarkEnd w:id="32"/>
    </w:p>
    <w:p>
      <w:pPr>
        <w:pStyle w:val="Subsection"/>
      </w:pPr>
      <w:r>
        <w:tab/>
        <w:t>(1)</w:t>
      </w:r>
      <w:r>
        <w:tab/>
        <w:t>An operator may apply to the EDPH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Heading5"/>
      </w:pPr>
      <w:bookmarkStart w:id="33" w:name="_Toc472002277"/>
      <w:r>
        <w:rPr>
          <w:rStyle w:val="CharSectno"/>
        </w:rPr>
        <w:t>18</w:t>
      </w:r>
      <w:r>
        <w:t>.</w:t>
      </w:r>
      <w:r>
        <w:tab/>
        <w:t>Permit to operate an aquatic facility</w:t>
      </w:r>
      <w:bookmarkEnd w:id="33"/>
    </w:p>
    <w:p>
      <w:pPr>
        <w:pStyle w:val="Subsection"/>
      </w:pPr>
      <w:r>
        <w:tab/>
        <w:t>(1)</w:t>
      </w:r>
      <w:r>
        <w:tab/>
        <w:t xml:space="preserve">The EDPH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Heading3"/>
      </w:pPr>
      <w:bookmarkStart w:id="34" w:name="_Toc471905273"/>
      <w:bookmarkStart w:id="35" w:name="_Toc472002278"/>
      <w:r>
        <w:rPr>
          <w:rStyle w:val="CharDivNo"/>
        </w:rPr>
        <w:t>Division 2</w:t>
      </w:r>
      <w:r>
        <w:t> — </w:t>
      </w:r>
      <w:r>
        <w:rPr>
          <w:rStyle w:val="CharDivText"/>
        </w:rPr>
        <w:t>Operation of aquatic facilities</w:t>
      </w:r>
      <w:bookmarkEnd w:id="34"/>
      <w:bookmarkEnd w:id="35"/>
    </w:p>
    <w:p>
      <w:pPr>
        <w:pStyle w:val="Heading5"/>
      </w:pPr>
      <w:bookmarkStart w:id="36" w:name="_Toc472002279"/>
      <w:r>
        <w:rPr>
          <w:rStyle w:val="CharSectno"/>
        </w:rPr>
        <w:t>19</w:t>
      </w:r>
      <w:r>
        <w:t>.</w:t>
      </w:r>
      <w:r>
        <w:tab/>
        <w:t>Operation of aquatic facilities</w:t>
      </w:r>
      <w:bookmarkEnd w:id="36"/>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EDPH under regulation 20 is inconsistent with those requirements of the Code; and</w:t>
      </w:r>
    </w:p>
    <w:p>
      <w:pPr>
        <w:pStyle w:val="Indenta"/>
      </w:pPr>
      <w:r>
        <w:tab/>
        <w:t>(b)</w:t>
      </w:r>
      <w:r>
        <w:tab/>
        <w:t>any variations in operational requirements approved by the EDPH under regulation 20.</w:t>
      </w:r>
    </w:p>
    <w:p>
      <w:pPr>
        <w:pStyle w:val="Subsection"/>
      </w:pPr>
      <w:r>
        <w:tab/>
        <w:t>(2)</w:t>
      </w:r>
      <w:r>
        <w:tab/>
        <w:t>The operator of an aquatic facility must ensure that clauses 2.12, 2.22, 2.23, 2.24 and 2.25 of the Code are complied with for that facility.</w:t>
      </w:r>
    </w:p>
    <w:p>
      <w:pPr>
        <w:pStyle w:val="Heading5"/>
      </w:pPr>
      <w:bookmarkStart w:id="37" w:name="_Toc472002280"/>
      <w:r>
        <w:rPr>
          <w:rStyle w:val="CharSectno"/>
        </w:rPr>
        <w:t>20</w:t>
      </w:r>
      <w:r>
        <w:t>.</w:t>
      </w:r>
      <w:r>
        <w:tab/>
        <w:t>Variation in operational requirements</w:t>
      </w:r>
      <w:bookmarkEnd w:id="37"/>
    </w:p>
    <w:p>
      <w:pPr>
        <w:pStyle w:val="Subsection"/>
      </w:pPr>
      <w:r>
        <w:tab/>
        <w:t>(1)</w:t>
      </w:r>
      <w:r>
        <w:tab/>
        <w:t xml:space="preserve">The EDPH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Heading3"/>
      </w:pPr>
      <w:bookmarkStart w:id="38" w:name="_Toc471905276"/>
      <w:bookmarkStart w:id="39" w:name="_Toc472002281"/>
      <w:r>
        <w:rPr>
          <w:rStyle w:val="CharDivNo"/>
        </w:rPr>
        <w:t>Division 3</w:t>
      </w:r>
      <w:r>
        <w:t> — </w:t>
      </w:r>
      <w:r>
        <w:rPr>
          <w:rStyle w:val="CharDivText"/>
        </w:rPr>
        <w:t>Quality control</w:t>
      </w:r>
      <w:bookmarkEnd w:id="38"/>
      <w:bookmarkEnd w:id="39"/>
    </w:p>
    <w:p>
      <w:pPr>
        <w:pStyle w:val="Heading5"/>
      </w:pPr>
      <w:bookmarkStart w:id="40" w:name="_Toc472002282"/>
      <w:r>
        <w:rPr>
          <w:rStyle w:val="CharSectno"/>
        </w:rPr>
        <w:t>21</w:t>
      </w:r>
      <w:r>
        <w:t>.</w:t>
      </w:r>
      <w:r>
        <w:tab/>
        <w:t>Water sampling</w:t>
      </w:r>
      <w:bookmarkEnd w:id="40"/>
    </w:p>
    <w:p>
      <w:pPr>
        <w:pStyle w:val="Subsection"/>
      </w:pPr>
      <w:r>
        <w:tab/>
        <w:t>(1)</w:t>
      </w:r>
      <w:r>
        <w:tab/>
        <w:t xml:space="preserve">The local government of each district must ensure that — </w:t>
      </w:r>
    </w:p>
    <w:p>
      <w:pPr>
        <w:pStyle w:val="Indenta"/>
      </w:pPr>
      <w:r>
        <w:tab/>
        <w:t>(a)</w:t>
      </w:r>
      <w:r>
        <w:tab/>
        <w:t>an environmental health officer, or a person under the direction of an environmental health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EDPH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environmental health officer if the person is under the regular and frequent, but not necessarily continuous and personal, supervision of the officer.</w:t>
      </w:r>
    </w:p>
    <w:p>
      <w:pPr>
        <w:pStyle w:val="Subsection"/>
      </w:pPr>
      <w:r>
        <w:tab/>
        <w:t>(2)</w:t>
      </w:r>
      <w:r>
        <w:tab/>
        <w:t>The EDPH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EDPH has granted the local government an exemption in relation to the facility.</w:t>
      </w:r>
    </w:p>
    <w:p>
      <w:pPr>
        <w:pStyle w:val="Subsection"/>
      </w:pPr>
      <w:r>
        <w:tab/>
        <w:t>(4)</w:t>
      </w:r>
      <w:r>
        <w:tab/>
        <w:t xml:space="preserve">The EDPH may grant an exemption if satisfied that — </w:t>
      </w:r>
    </w:p>
    <w:p>
      <w:pPr>
        <w:pStyle w:val="Indenta"/>
      </w:pPr>
      <w:r>
        <w:tab/>
        <w:t>(a)</w:t>
      </w:r>
      <w:r>
        <w:tab/>
        <w:t>it is impractical for an environmental health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EDPH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EDPH grants an exemption under subregulation (4), the operator must ensure that the water samples are taken at least once per month and that the other requirements of subregulation (1) are complied with.</w:t>
      </w:r>
    </w:p>
    <w:p>
      <w:pPr>
        <w:pStyle w:val="Footnotesection"/>
      </w:pPr>
      <w:r>
        <w:tab/>
        <w:t>[Regulation 21 amended in Gazette 8 Dec 2009 p. 5000.]</w:t>
      </w:r>
    </w:p>
    <w:p>
      <w:pPr>
        <w:pStyle w:val="Heading5"/>
      </w:pPr>
      <w:bookmarkStart w:id="41" w:name="_Toc472002283"/>
      <w:r>
        <w:rPr>
          <w:rStyle w:val="CharSectno"/>
        </w:rPr>
        <w:t>22</w:t>
      </w:r>
      <w:r>
        <w:t>.</w:t>
      </w:r>
      <w:r>
        <w:tab/>
        <w:t>Improvement orders</w:t>
      </w:r>
      <w:bookmarkEnd w:id="41"/>
    </w:p>
    <w:p>
      <w:pPr>
        <w:pStyle w:val="Subsection"/>
      </w:pPr>
      <w:r>
        <w:tab/>
        <w:t>(1)</w:t>
      </w:r>
      <w:r>
        <w:tab/>
        <w:t xml:space="preserve">The EDPH or an environmental health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EDPH,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EDPH or, in the case of an order given by an environmental health officer, an environmental health officer of the local government.</w:t>
      </w:r>
    </w:p>
    <w:p>
      <w:pPr>
        <w:pStyle w:val="Subsection"/>
      </w:pPr>
      <w:r>
        <w:tab/>
        <w:t>(6)</w:t>
      </w:r>
      <w:r>
        <w:tab/>
        <w:t>If an improvement order is complied with, the EDPH or, in the case of an order given by an environmental health officer, an environmental health officer of the local government must note the date of compliance on the order or a copy of it and, if asked to do so by the operator of the facility, give a copy of the order as noted to the operator.</w:t>
      </w:r>
    </w:p>
    <w:p>
      <w:pPr>
        <w:pStyle w:val="Heading5"/>
      </w:pPr>
      <w:bookmarkStart w:id="42" w:name="_Toc472002284"/>
      <w:r>
        <w:rPr>
          <w:rStyle w:val="CharSectno"/>
        </w:rPr>
        <w:t>23</w:t>
      </w:r>
      <w:r>
        <w:t>.</w:t>
      </w:r>
      <w:r>
        <w:tab/>
        <w:t>Closing facilities</w:t>
      </w:r>
      <w:bookmarkEnd w:id="42"/>
    </w:p>
    <w:p>
      <w:pPr>
        <w:pStyle w:val="Subsection"/>
      </w:pPr>
      <w:r>
        <w:tab/>
        <w:t>(1)</w:t>
      </w:r>
      <w:r>
        <w:tab/>
        <w:t xml:space="preserve">The EDPH or an environmental health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EDPH may give the operator of an aquatic facility a closure order in respect of a water body at the facility if satisfied that the water body is not covered by one or more certificates of compliance.</w:t>
      </w:r>
    </w:p>
    <w:p>
      <w:pPr>
        <w:pStyle w:val="Subsection"/>
      </w:pPr>
      <w:r>
        <w:tab/>
        <w:t>(3)</w:t>
      </w:r>
      <w:r>
        <w:tab/>
        <w:t>If an environmental health officer gives a closure order, the local government must give the EDPH a copy of the order as soon as practicable, and in any event within 48 hours after it is given.</w:t>
      </w:r>
    </w:p>
    <w:p>
      <w:pPr>
        <w:pStyle w:val="Subsection"/>
      </w:pPr>
      <w:r>
        <w:tab/>
        <w:t>(4)</w:t>
      </w:r>
      <w:r>
        <w:tab/>
        <w:t xml:space="preserve">If an environmental health officer gives a closure order, the EDPH must — </w:t>
      </w:r>
    </w:p>
    <w:p>
      <w:pPr>
        <w:pStyle w:val="Indenta"/>
      </w:pPr>
      <w:r>
        <w:tab/>
        <w:t>(a)</w:t>
      </w:r>
      <w:r>
        <w:tab/>
        <w:t>confirm the order (with or without amendment); or</w:t>
      </w:r>
    </w:p>
    <w:p>
      <w:pPr>
        <w:pStyle w:val="Indenta"/>
      </w:pPr>
      <w:r>
        <w:tab/>
        <w:t>(b)</w:t>
      </w:r>
      <w:r>
        <w:tab/>
        <w:t>cancel the order,</w:t>
      </w:r>
    </w:p>
    <w:p>
      <w:pPr>
        <w:pStyle w:val="Subsection"/>
      </w:pPr>
      <w:r>
        <w:tab/>
      </w:r>
      <w:r>
        <w:tab/>
        <w:t>and may do so orally and then in writing.</w:t>
      </w:r>
    </w:p>
    <w:p>
      <w:pPr>
        <w:pStyle w:val="Subsection"/>
      </w:pPr>
      <w:r>
        <w:tab/>
        <w:t>(5)</w:t>
      </w:r>
      <w:r>
        <w:tab/>
        <w:t xml:space="preserve">If an order given by an environmental health officer is not confirmed by the EDPH within 48 hours of it being given, it expires on the earlier of — </w:t>
      </w:r>
    </w:p>
    <w:p>
      <w:pPr>
        <w:pStyle w:val="Indenta"/>
      </w:pPr>
      <w:r>
        <w:tab/>
        <w:t>(a)</w:t>
      </w:r>
      <w:r>
        <w:tab/>
        <w:t>the time at which it is cancelled by the EDPH;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EDPH;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EDPH remains in force until — </w:t>
      </w:r>
    </w:p>
    <w:p>
      <w:pPr>
        <w:pStyle w:val="Indenta"/>
      </w:pPr>
      <w:r>
        <w:tab/>
        <w:t>(a)</w:t>
      </w:r>
      <w:r>
        <w:tab/>
        <w:t>the EDPH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EDPH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Heading2"/>
      </w:pPr>
      <w:bookmarkStart w:id="43" w:name="_Toc471905280"/>
      <w:bookmarkStart w:id="44" w:name="_Toc472002285"/>
      <w:r>
        <w:rPr>
          <w:rStyle w:val="CharPartNo"/>
        </w:rPr>
        <w:t>Part 4</w:t>
      </w:r>
      <w:r>
        <w:t> — </w:t>
      </w:r>
      <w:r>
        <w:rPr>
          <w:rStyle w:val="CharPartText"/>
        </w:rPr>
        <w:t>General provisions</w:t>
      </w:r>
      <w:bookmarkEnd w:id="43"/>
      <w:bookmarkEnd w:id="44"/>
    </w:p>
    <w:p>
      <w:pPr>
        <w:pStyle w:val="Heading3"/>
      </w:pPr>
      <w:bookmarkStart w:id="45" w:name="_Toc471905281"/>
      <w:bookmarkStart w:id="46" w:name="_Toc472002286"/>
      <w:r>
        <w:rPr>
          <w:rStyle w:val="CharDivNo"/>
        </w:rPr>
        <w:t>Division 1</w:t>
      </w:r>
      <w:r>
        <w:t> — </w:t>
      </w:r>
      <w:r>
        <w:rPr>
          <w:rStyle w:val="CharDivText"/>
        </w:rPr>
        <w:t>Hygiene and use of facilities</w:t>
      </w:r>
      <w:bookmarkEnd w:id="45"/>
      <w:bookmarkEnd w:id="46"/>
    </w:p>
    <w:p>
      <w:pPr>
        <w:pStyle w:val="Heading5"/>
        <w:rPr>
          <w:snapToGrid w:val="0"/>
        </w:rPr>
      </w:pPr>
      <w:bookmarkStart w:id="47" w:name="_Toc472002287"/>
      <w:r>
        <w:rPr>
          <w:rStyle w:val="CharSectno"/>
        </w:rPr>
        <w:t>24</w:t>
      </w:r>
      <w:r>
        <w:t>.</w:t>
      </w:r>
      <w:r>
        <w:tab/>
        <w:t>Certain</w:t>
      </w:r>
      <w:r>
        <w:rPr>
          <w:snapToGrid w:val="0"/>
        </w:rPr>
        <w:t xml:space="preserve"> persons not to enter or use water body</w:t>
      </w:r>
      <w:bookmarkEnd w:id="47"/>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48" w:name="_Toc472002288"/>
      <w:r>
        <w:rPr>
          <w:rStyle w:val="CharSectno"/>
        </w:rPr>
        <w:t>25</w:t>
      </w:r>
      <w:r>
        <w:t>.</w:t>
      </w:r>
      <w:r>
        <w:tab/>
        <w:t>Pollution</w:t>
      </w:r>
      <w:r>
        <w:rPr>
          <w:snapToGrid w:val="0"/>
        </w:rPr>
        <w:t xml:space="preserve"> of water bodies</w:t>
      </w:r>
      <w:bookmarkEnd w:id="4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49" w:name="_Toc472002289"/>
      <w:r>
        <w:rPr>
          <w:rStyle w:val="CharSectno"/>
        </w:rPr>
        <w:t>26</w:t>
      </w:r>
      <w:r>
        <w:t>.</w:t>
      </w:r>
      <w:r>
        <w:tab/>
        <w:t>Animals</w:t>
      </w:r>
      <w:r>
        <w:rPr>
          <w:snapToGrid w:val="0"/>
        </w:rPr>
        <w:t xml:space="preserve"> not to enter aquatic facilities etc.</w:t>
      </w:r>
      <w:bookmarkEnd w:id="49"/>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50" w:name="_Toc471905285"/>
      <w:bookmarkStart w:id="51" w:name="_Toc472002290"/>
      <w:r>
        <w:rPr>
          <w:rStyle w:val="CharDivNo"/>
        </w:rPr>
        <w:t>Division 2</w:t>
      </w:r>
      <w:r>
        <w:t> — </w:t>
      </w:r>
      <w:r>
        <w:rPr>
          <w:rStyle w:val="CharDivText"/>
        </w:rPr>
        <w:t>Miscellaneous provisions</w:t>
      </w:r>
      <w:bookmarkEnd w:id="50"/>
      <w:bookmarkEnd w:id="51"/>
    </w:p>
    <w:p>
      <w:pPr>
        <w:pStyle w:val="Heading5"/>
      </w:pPr>
      <w:bookmarkStart w:id="52" w:name="_Toc472002291"/>
      <w:r>
        <w:rPr>
          <w:rStyle w:val="CharSectno"/>
        </w:rPr>
        <w:t>27</w:t>
      </w:r>
      <w:r>
        <w:t>.</w:t>
      </w:r>
      <w:r>
        <w:tab/>
        <w:t>Reasons for certain decisions</w:t>
      </w:r>
      <w:bookmarkEnd w:id="52"/>
    </w:p>
    <w:p>
      <w:pPr>
        <w:pStyle w:val="Subsection"/>
      </w:pPr>
      <w:r>
        <w:tab/>
      </w:r>
      <w:r>
        <w:tab/>
        <w:t xml:space="preserve">If the EDPH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EDPH must give the reasons for so doing to the applicant.</w:t>
      </w:r>
    </w:p>
    <w:p>
      <w:pPr>
        <w:pStyle w:val="Heading5"/>
      </w:pPr>
      <w:bookmarkStart w:id="53" w:name="_Toc472002292"/>
      <w:r>
        <w:rPr>
          <w:rStyle w:val="CharSectno"/>
        </w:rPr>
        <w:t>28</w:t>
      </w:r>
      <w:r>
        <w:t>.</w:t>
      </w:r>
      <w:r>
        <w:tab/>
        <w:t>Review of certain decisions</w:t>
      </w:r>
      <w:bookmarkEnd w:id="53"/>
    </w:p>
    <w:p>
      <w:pPr>
        <w:pStyle w:val="Subsection"/>
      </w:pPr>
      <w:r>
        <w:tab/>
        <w:t>(1)</w:t>
      </w:r>
      <w:r>
        <w:tab/>
        <w:t>A person listed in the Table to subregulation (2) as a person affected by a reviewable decision of the EDPH or of an environmental health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EDPH</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environmental health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environmental health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Heading5"/>
      </w:pPr>
      <w:bookmarkStart w:id="54" w:name="_Toc472002293"/>
      <w:r>
        <w:rPr>
          <w:rStyle w:val="CharSectno"/>
        </w:rPr>
        <w:t>29</w:t>
      </w:r>
      <w:r>
        <w:t>.</w:t>
      </w:r>
      <w:r>
        <w:tab/>
        <w:t>Informing local governments</w:t>
      </w:r>
      <w:bookmarkEnd w:id="54"/>
    </w:p>
    <w:p>
      <w:pPr>
        <w:pStyle w:val="Subsection"/>
      </w:pPr>
      <w:r>
        <w:tab/>
        <w:t>(1)</w:t>
      </w:r>
      <w:r>
        <w:tab/>
        <w:t>If the EDPH makes one of the decisions set out in subregulation (2), the EDPH must inform the local government of the district in which the aquatic facility is located of the making of the decision and, where relevant, give the local government a copy of the approval, certificate, permit, variation, exemption or order.</w:t>
      </w:r>
    </w:p>
    <w:p>
      <w:pPr>
        <w:pStyle w:val="Subsection"/>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Heading5"/>
      </w:pPr>
      <w:bookmarkStart w:id="55" w:name="_Toc472002294"/>
      <w:r>
        <w:rPr>
          <w:rStyle w:val="CharSectno"/>
        </w:rPr>
        <w:t>30</w:t>
      </w:r>
      <w:r>
        <w:t>.</w:t>
      </w:r>
      <w:r>
        <w:tab/>
        <w:t>Approved forms</w:t>
      </w:r>
      <w:bookmarkEnd w:id="55"/>
    </w:p>
    <w:p>
      <w:pPr>
        <w:pStyle w:val="Subsection"/>
      </w:pPr>
      <w:r>
        <w:tab/>
      </w:r>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EDPH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Heading5"/>
      </w:pPr>
      <w:bookmarkStart w:id="56" w:name="_Toc472002295"/>
      <w:r>
        <w:rPr>
          <w:rStyle w:val="CharSectno"/>
        </w:rPr>
        <w:t>31</w:t>
      </w:r>
      <w:r>
        <w:t>.</w:t>
      </w:r>
      <w:r>
        <w:tab/>
        <w:t>Offences and penalties</w:t>
      </w:r>
      <w:bookmarkEnd w:id="56"/>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57" w:name="_Toc472002296"/>
      <w:r>
        <w:rPr>
          <w:rStyle w:val="CharSectno"/>
        </w:rPr>
        <w:t>32</w:t>
      </w:r>
      <w:r>
        <w:t>.</w:t>
      </w:r>
      <w:r>
        <w:tab/>
        <w:t>Availability of the Code</w:t>
      </w:r>
      <w:bookmarkEnd w:id="57"/>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58" w:name="_Toc471905292"/>
      <w:bookmarkStart w:id="59" w:name="_Toc472002297"/>
      <w:r>
        <w:rPr>
          <w:rStyle w:val="CharPartNo"/>
        </w:rPr>
        <w:t>Part 5</w:t>
      </w:r>
      <w:r>
        <w:t> — </w:t>
      </w:r>
      <w:r>
        <w:rPr>
          <w:rStyle w:val="CharPartText"/>
        </w:rPr>
        <w:t>Transitional provisions</w:t>
      </w:r>
      <w:bookmarkEnd w:id="58"/>
      <w:bookmarkEnd w:id="59"/>
    </w:p>
    <w:p>
      <w:pPr>
        <w:pStyle w:val="Heading3"/>
      </w:pPr>
      <w:bookmarkStart w:id="60" w:name="_Toc471905293"/>
      <w:bookmarkStart w:id="61" w:name="_Toc472002298"/>
      <w:r>
        <w:rPr>
          <w:rStyle w:val="CharDivNo"/>
        </w:rPr>
        <w:t>Division 1</w:t>
      </w:r>
      <w:r>
        <w:t> — </w:t>
      </w:r>
      <w:r>
        <w:rPr>
          <w:rStyle w:val="CharDivText"/>
        </w:rPr>
        <w:t>Preliminary</w:t>
      </w:r>
      <w:bookmarkEnd w:id="60"/>
      <w:bookmarkEnd w:id="61"/>
    </w:p>
    <w:p>
      <w:pPr>
        <w:pStyle w:val="Heading5"/>
      </w:pPr>
      <w:bookmarkStart w:id="62" w:name="_Toc472002299"/>
      <w:r>
        <w:rPr>
          <w:rStyle w:val="CharSectno"/>
        </w:rPr>
        <w:t>33</w:t>
      </w:r>
      <w:r>
        <w:t>.</w:t>
      </w:r>
      <w:r>
        <w:tab/>
        <w:t>Terms used in this Part</w:t>
      </w:r>
      <w:bookmarkEnd w:id="62"/>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63" w:name="_Toc472002300"/>
      <w:r>
        <w:rPr>
          <w:rStyle w:val="CharSectno"/>
        </w:rPr>
        <w:t>34</w:t>
      </w:r>
      <w:r>
        <w:t>.</w:t>
      </w:r>
      <w:r>
        <w:tab/>
        <w:t>Repeal of old regulations</w:t>
      </w:r>
      <w:bookmarkEnd w:id="63"/>
    </w:p>
    <w:p>
      <w:pPr>
        <w:pStyle w:val="Subsection"/>
      </w:pPr>
      <w:r>
        <w:tab/>
      </w:r>
      <w:r>
        <w:tab/>
        <w:t xml:space="preserve">The </w:t>
      </w:r>
      <w:r>
        <w:rPr>
          <w:i/>
          <w:iCs/>
        </w:rPr>
        <w:t>Health (Swimming Pools) Regulations 1964</w:t>
      </w:r>
      <w:r>
        <w:t xml:space="preserve"> are repealed.</w:t>
      </w:r>
    </w:p>
    <w:p>
      <w:pPr>
        <w:pStyle w:val="Heading3"/>
      </w:pPr>
      <w:bookmarkStart w:id="64" w:name="_Toc471905296"/>
      <w:bookmarkStart w:id="65" w:name="_Toc472002301"/>
      <w:r>
        <w:rPr>
          <w:rStyle w:val="CharDivNo"/>
        </w:rPr>
        <w:t>Division 2</w:t>
      </w:r>
      <w:r>
        <w:t> — </w:t>
      </w:r>
      <w:r>
        <w:rPr>
          <w:rStyle w:val="CharDivText"/>
        </w:rPr>
        <w:t>Existing facilities that are in use</w:t>
      </w:r>
      <w:bookmarkEnd w:id="64"/>
      <w:bookmarkEnd w:id="65"/>
    </w:p>
    <w:p>
      <w:pPr>
        <w:pStyle w:val="Heading5"/>
      </w:pPr>
      <w:bookmarkStart w:id="66" w:name="_Toc472002302"/>
      <w:r>
        <w:rPr>
          <w:rStyle w:val="CharSectno"/>
        </w:rPr>
        <w:t>35</w:t>
      </w:r>
      <w:r>
        <w:t>.</w:t>
      </w:r>
      <w:r>
        <w:tab/>
        <w:t>Application of this Division</w:t>
      </w:r>
      <w:bookmarkEnd w:id="66"/>
    </w:p>
    <w:p>
      <w:pPr>
        <w:pStyle w:val="Subsection"/>
      </w:pPr>
      <w:r>
        <w:tab/>
      </w:r>
      <w:r>
        <w:tab/>
        <w:t>This Division applies to and in relation to an aquatic facility that was in use, to some extent, during the 12 months immediately prior to the commencement day.</w:t>
      </w:r>
    </w:p>
    <w:p>
      <w:pPr>
        <w:pStyle w:val="Heading5"/>
      </w:pPr>
      <w:bookmarkStart w:id="67" w:name="_Toc472002303"/>
      <w:r>
        <w:rPr>
          <w:rStyle w:val="CharSectno"/>
        </w:rPr>
        <w:t>36</w:t>
      </w:r>
      <w:r>
        <w:t>.</w:t>
      </w:r>
      <w:r>
        <w:tab/>
        <w:t>Certificates of compliance and permits to operate</w:t>
      </w:r>
      <w:bookmarkEnd w:id="67"/>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EDPH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EDPH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EDPH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EDPH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EDPH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EDPH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EDPH is to be taken, for the purposes of regulation 37, to have refused to issue the certificate and grant the permit.</w:t>
      </w:r>
    </w:p>
    <w:p>
      <w:pPr>
        <w:pStyle w:val="Heading5"/>
      </w:pPr>
      <w:bookmarkStart w:id="68" w:name="_Toc472002304"/>
      <w:r>
        <w:rPr>
          <w:rStyle w:val="CharSectno"/>
        </w:rPr>
        <w:t>37</w:t>
      </w:r>
      <w:r>
        <w:t>.</w:t>
      </w:r>
      <w:r>
        <w:tab/>
        <w:t>Review of certain decisions made under this Division</w:t>
      </w:r>
      <w:bookmarkEnd w:id="68"/>
    </w:p>
    <w:p>
      <w:pPr>
        <w:pStyle w:val="Subsection"/>
      </w:pPr>
      <w:r>
        <w:tab/>
      </w:r>
      <w:r>
        <w:tab/>
        <w:t xml:space="preserve">The operator of an aquatic facility in respect of which the EDPH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Heading5"/>
      </w:pPr>
      <w:bookmarkStart w:id="69" w:name="_Toc472002305"/>
      <w:r>
        <w:rPr>
          <w:rStyle w:val="CharSectno"/>
        </w:rPr>
        <w:t>38</w:t>
      </w:r>
      <w:r>
        <w:t>.</w:t>
      </w:r>
      <w:r>
        <w:tab/>
        <w:t>Compliance with certain operational requirements of the Code</w:t>
      </w:r>
      <w:bookmarkEnd w:id="69"/>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70" w:name="_Toc472002306"/>
      <w:r>
        <w:rPr>
          <w:rStyle w:val="CharSectno"/>
        </w:rPr>
        <w:t>39</w:t>
      </w:r>
      <w:r>
        <w:t>.</w:t>
      </w:r>
      <w:r>
        <w:tab/>
        <w:t>Exemptions under the old regulations</w:t>
      </w:r>
      <w:bookmarkEnd w:id="70"/>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EDPH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EDPH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EDPH;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Heading3"/>
      </w:pPr>
      <w:bookmarkStart w:id="71" w:name="_Toc471905302"/>
      <w:bookmarkStart w:id="72" w:name="_Toc472002307"/>
      <w:r>
        <w:rPr>
          <w:rStyle w:val="CharDivNo"/>
        </w:rPr>
        <w:t>Division 3</w:t>
      </w:r>
      <w:r>
        <w:t> — </w:t>
      </w:r>
      <w:r>
        <w:rPr>
          <w:rStyle w:val="CharDivText"/>
        </w:rPr>
        <w:t>Other matters under the old regulations</w:t>
      </w:r>
      <w:bookmarkEnd w:id="71"/>
      <w:bookmarkEnd w:id="72"/>
    </w:p>
    <w:p>
      <w:pPr>
        <w:pStyle w:val="Heading5"/>
      </w:pPr>
      <w:bookmarkStart w:id="73" w:name="_Toc472002308"/>
      <w:r>
        <w:rPr>
          <w:rStyle w:val="CharSectno"/>
        </w:rPr>
        <w:t>40</w:t>
      </w:r>
      <w:r>
        <w:t>.</w:t>
      </w:r>
      <w:r>
        <w:tab/>
        <w:t>Notices under regulation 3 of the old regulations</w:t>
      </w:r>
      <w:bookmarkEnd w:id="73"/>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EDPH from requesting further information in relation to the application.</w:t>
      </w:r>
    </w:p>
    <w:p>
      <w:pPr>
        <w:pStyle w:val="Heading5"/>
      </w:pPr>
      <w:bookmarkStart w:id="74" w:name="_Toc472002309"/>
      <w:r>
        <w:rPr>
          <w:rStyle w:val="CharSectno"/>
        </w:rPr>
        <w:t>41</w:t>
      </w:r>
      <w:r>
        <w:t>.</w:t>
      </w:r>
      <w:r>
        <w:tab/>
        <w:t>Approvals under regulation 4 of the old regulations</w:t>
      </w:r>
      <w:bookmarkEnd w:id="74"/>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EDPH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Heading5"/>
      </w:pPr>
      <w:bookmarkStart w:id="75" w:name="_Toc472002310"/>
      <w:r>
        <w:rPr>
          <w:rStyle w:val="CharSectno"/>
        </w:rPr>
        <w:t>42</w:t>
      </w:r>
      <w:r>
        <w:t>.</w:t>
      </w:r>
      <w:r>
        <w:tab/>
        <w:t>Closure notices</w:t>
      </w:r>
      <w:bookmarkEnd w:id="75"/>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EDPH under regulation 23; and</w:t>
      </w:r>
    </w:p>
    <w:p>
      <w:pPr>
        <w:pStyle w:val="Indenta"/>
      </w:pPr>
      <w:r>
        <w:tab/>
        <w:t>(b)</w:t>
      </w:r>
      <w:r>
        <w:tab/>
        <w:t>as such, has effect according to its terms, which, to the extent of any inconsistency, prevail over regulation 23.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6" w:name="_Toc471905306"/>
      <w:bookmarkStart w:id="77" w:name="_Toc472002311"/>
      <w:r>
        <w:t>Notes</w:t>
      </w:r>
      <w:bookmarkEnd w:id="76"/>
      <w:bookmarkEnd w:id="77"/>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78" w:name="_Toc472002312"/>
      <w:r>
        <w:t>Compilation table</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rPr>
              <w:t>r. 1 and 2: 28 Sep 2007 (see r. 2(a));</w:t>
            </w:r>
            <w:r>
              <w:rPr>
                <w:snapToGrid w:val="0"/>
              </w:rPr>
              <w:br/>
              <w:t>Regulations other than r. 1 and 2: 1 Oct 2007 (see r. 2(b)(i))</w:t>
            </w:r>
          </w:p>
        </w:tc>
      </w:tr>
      <w:tr>
        <w:tc>
          <w:tcPr>
            <w:tcW w:w="3118" w:type="dxa"/>
            <w:tcBorders>
              <w:top w:val="nil"/>
              <w:bottom w:val="single" w:sz="4" w:space="0" w:color="auto"/>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single" w:sz="4" w:space="0" w:color="auto"/>
            </w:tcBorders>
          </w:tcPr>
          <w:p>
            <w:pPr>
              <w:pStyle w:val="nTable"/>
              <w:spacing w:after="40"/>
            </w:pPr>
            <w:r>
              <w:t>8 Dec 2009 p. 4998-5000</w:t>
            </w:r>
          </w:p>
        </w:tc>
        <w:tc>
          <w:tcPr>
            <w:tcW w:w="2693" w:type="dxa"/>
            <w:tcBorders>
              <w:top w:val="nil"/>
              <w:bottom w:val="single" w:sz="4" w:space="0" w:color="auto"/>
            </w:tcBorders>
          </w:tcPr>
          <w:p>
            <w:pPr>
              <w:pStyle w:val="nTable"/>
              <w:spacing w:after="40"/>
              <w:rPr>
                <w:snapToGrid w:val="0"/>
              </w:rPr>
            </w:pPr>
            <w:r>
              <w:rPr>
                <w:snapToGrid w:val="0"/>
              </w:rPr>
              <w:t>r. 1 and 2: 8 Dec 2009 (see r. 2(a));</w:t>
            </w:r>
            <w:r>
              <w:rPr>
                <w:snapToGrid w:val="0"/>
              </w:rPr>
              <w:br/>
              <w:t>Regulations other than r. 1 and 2: 9 Dec 2009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471896878"/>
      <w:bookmarkStart w:id="80" w:name="_Toc472002313"/>
      <w:r>
        <w:t>Provisions that have not come into operation</w:t>
      </w:r>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9 </w:t>
            </w:r>
            <w:r>
              <w:rPr>
                <w:vertAlign w:val="superscript"/>
              </w:rPr>
              <w:t>2</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9</w:t>
      </w:r>
      <w:r>
        <w:rPr>
          <w:snapToGrid w:val="0"/>
        </w:rPr>
        <w:t xml:space="preserve"> had not come into operation.  It reads as follows:</w:t>
      </w:r>
    </w:p>
    <w:p>
      <w:pPr>
        <w:pStyle w:val="BlankOpen"/>
        <w:rPr>
          <w:snapToGrid w:val="0"/>
        </w:rPr>
      </w:pPr>
    </w:p>
    <w:p>
      <w:pPr>
        <w:pStyle w:val="nzHeading2"/>
      </w:pPr>
      <w:r>
        <w:rPr>
          <w:rStyle w:val="CharPartNo"/>
        </w:rPr>
        <w:t>Part 9</w:t>
      </w:r>
      <w:r>
        <w:rPr>
          <w:rStyle w:val="CharDivNo"/>
        </w:rPr>
        <w:t> </w:t>
      </w:r>
      <w:r>
        <w:t>—</w:t>
      </w:r>
      <w:r>
        <w:rPr>
          <w:rStyle w:val="CharDivText"/>
        </w:rPr>
        <w:t> </w:t>
      </w:r>
      <w:r>
        <w:rPr>
          <w:rStyle w:val="CharPartText"/>
          <w:i/>
        </w:rPr>
        <w:t>Health (Aquatic Facilities) Regulations 2007</w:t>
      </w:r>
      <w:r>
        <w:rPr>
          <w:rStyle w:val="CharPartText"/>
        </w:rPr>
        <w:t> amended</w:t>
      </w:r>
    </w:p>
    <w:p>
      <w:pPr>
        <w:pStyle w:val="nzHeading5"/>
        <w:rPr>
          <w:snapToGrid w:val="0"/>
        </w:rPr>
      </w:pPr>
      <w:r>
        <w:rPr>
          <w:rStyle w:val="CharSectno"/>
        </w:rPr>
        <w:t>28</w:t>
      </w:r>
      <w:r>
        <w:rPr>
          <w:snapToGrid w:val="0"/>
        </w:rPr>
        <w:t>.</w:t>
      </w:r>
      <w:r>
        <w:rPr>
          <w:snapToGrid w:val="0"/>
        </w:rPr>
        <w:tab/>
        <w:t>Regulations amended</w:t>
      </w:r>
    </w:p>
    <w:p>
      <w:pPr>
        <w:pStyle w:val="nzSubsection"/>
      </w:pPr>
      <w:r>
        <w:tab/>
      </w:r>
      <w:r>
        <w:tab/>
        <w:t xml:space="preserve">This Part amends the </w:t>
      </w:r>
      <w:r>
        <w:rPr>
          <w:i/>
        </w:rPr>
        <w:t>Health (Aquatic Facilities) Regulations 2007</w:t>
      </w:r>
      <w:r>
        <w:t>.</w:t>
      </w:r>
    </w:p>
    <w:p>
      <w:pPr>
        <w:pStyle w:val="nzHeading5"/>
      </w:pPr>
      <w:r>
        <w:rPr>
          <w:rStyle w:val="CharSectno"/>
        </w:rPr>
        <w:t>29</w:t>
      </w:r>
      <w:r>
        <w:t>.</w:t>
      </w:r>
      <w:r>
        <w:tab/>
        <w:t>Regulation 4 amended</w:t>
      </w:r>
    </w:p>
    <w:p>
      <w:pPr>
        <w:pStyle w:val="nzSubsection"/>
      </w:pPr>
      <w:r>
        <w:tab/>
      </w:r>
      <w:r>
        <w:tab/>
        <w:t xml:space="preserve">In regulation 4 delete the definition of </w:t>
      </w:r>
      <w:r>
        <w:rPr>
          <w:b/>
          <w:i/>
        </w:rPr>
        <w:t>EDPH</w:t>
      </w:r>
      <w:r>
        <w:t>.</w:t>
      </w:r>
    </w:p>
    <w:p>
      <w:pPr>
        <w:pStyle w:val="nzHeading5"/>
      </w:pPr>
      <w:r>
        <w:rPr>
          <w:rStyle w:val="CharSectno"/>
        </w:rPr>
        <w:t>30</w:t>
      </w:r>
      <w:r>
        <w:t>.</w:t>
      </w:r>
      <w:r>
        <w:tab/>
        <w:t>Regulation 28 amended</w:t>
      </w:r>
    </w:p>
    <w:p>
      <w:pPr>
        <w:pStyle w:val="nzSubsection"/>
      </w:pPr>
      <w:r>
        <w:tab/>
      </w:r>
      <w:r>
        <w:tab/>
        <w:t>In regulation 28(2) in the Table:</w:t>
      </w:r>
    </w:p>
    <w:p>
      <w:pPr>
        <w:pStyle w:val="nzIndenta"/>
      </w:pPr>
      <w:r>
        <w:tab/>
        <w:t>(a)</w:t>
      </w:r>
      <w:r>
        <w:tab/>
        <w:t>delete “</w:t>
      </w:r>
      <w:r>
        <w:rPr>
          <w:b/>
          <w:bCs/>
          <w:sz w:val="22"/>
          <w:szCs w:val="22"/>
        </w:rPr>
        <w:t>EDPH</w:t>
      </w:r>
      <w:r>
        <w:t>” and insert:</w:t>
      </w:r>
    </w:p>
    <w:p>
      <w:pPr>
        <w:pStyle w:val="BlankOpen"/>
      </w:pPr>
    </w:p>
    <w:p>
      <w:pPr>
        <w:pStyle w:val="nzIndenta"/>
      </w:pPr>
      <w:r>
        <w:tab/>
      </w:r>
      <w:r>
        <w:tab/>
      </w:r>
      <w:r>
        <w:rPr>
          <w:b/>
          <w:bCs/>
          <w:sz w:val="22"/>
          <w:szCs w:val="22"/>
        </w:rPr>
        <w:t>Chief Health Officer</w:t>
      </w:r>
    </w:p>
    <w:p>
      <w:pPr>
        <w:pStyle w:val="BlankClose"/>
      </w:pPr>
    </w:p>
    <w:p>
      <w:pPr>
        <w:pStyle w:val="nzIndenta"/>
      </w:pPr>
      <w:r>
        <w:tab/>
        <w:t>(b)</w:t>
      </w:r>
      <w:r>
        <w:tab/>
        <w:t>delete:</w:t>
      </w:r>
    </w:p>
    <w:p>
      <w:pPr>
        <w:pStyle w:val="DeleteOpen"/>
      </w:pPr>
    </w:p>
    <w:tbl>
      <w:tblPr>
        <w:tblW w:w="0" w:type="auto"/>
        <w:tblInd w:w="675" w:type="dxa"/>
        <w:tblLayout w:type="fixed"/>
        <w:tblLook w:val="0000" w:firstRow="0" w:lastRow="0" w:firstColumn="0" w:lastColumn="0" w:noHBand="0" w:noVBand="0"/>
      </w:tblPr>
      <w:tblGrid>
        <w:gridCol w:w="1701"/>
        <w:gridCol w:w="4820"/>
      </w:tblGrid>
      <w:tr>
        <w:trPr>
          <w:cantSplit/>
        </w:trPr>
        <w:tc>
          <w:tcPr>
            <w:tcW w:w="1701" w:type="dxa"/>
          </w:tcPr>
          <w:p>
            <w:pPr>
              <w:pStyle w:val="nzTable"/>
            </w:pPr>
            <w:r>
              <w:t>operator</w:t>
            </w:r>
          </w:p>
        </w:tc>
        <w:tc>
          <w:tcPr>
            <w:tcW w:w="4820" w:type="dxa"/>
          </w:tcPr>
          <w:p>
            <w:pPr>
              <w:pStyle w:val="nzTable"/>
            </w:pPr>
            <w:r>
              <w:t>to confirm a closure order given by an environmental health officer under regulation 23</w:t>
            </w:r>
          </w:p>
        </w:tc>
      </w:tr>
    </w:tbl>
    <w:p>
      <w:pPr>
        <w:pStyle w:val="DeleteClose"/>
      </w:pPr>
    </w:p>
    <w:p>
      <w:pPr>
        <w:pStyle w:val="nzIndenta"/>
      </w:pPr>
      <w:r>
        <w:tab/>
      </w:r>
      <w:r>
        <w:tab/>
        <w:t>and insert:</w:t>
      </w:r>
    </w:p>
    <w:p>
      <w:pPr>
        <w:pStyle w:val="BlankOpen"/>
      </w:pPr>
    </w:p>
    <w:tbl>
      <w:tblPr>
        <w:tblW w:w="0" w:type="auto"/>
        <w:tblInd w:w="675" w:type="dxa"/>
        <w:tblLayout w:type="fixed"/>
        <w:tblLook w:val="0000" w:firstRow="0" w:lastRow="0" w:firstColumn="0" w:lastColumn="0" w:noHBand="0" w:noVBand="0"/>
      </w:tblPr>
      <w:tblGrid>
        <w:gridCol w:w="1701"/>
        <w:gridCol w:w="4820"/>
      </w:tblGrid>
      <w:tr>
        <w:trPr>
          <w:cantSplit/>
        </w:trPr>
        <w:tc>
          <w:tcPr>
            <w:tcW w:w="1701" w:type="dxa"/>
          </w:tcPr>
          <w:p>
            <w:pPr>
              <w:pStyle w:val="yTableNAm"/>
            </w:pPr>
            <w:r>
              <w:t>operator</w:t>
            </w:r>
          </w:p>
        </w:tc>
        <w:tc>
          <w:tcPr>
            <w:tcW w:w="4820" w:type="dxa"/>
          </w:tcPr>
          <w:p>
            <w:pPr>
              <w:pStyle w:val="yTableNAm"/>
            </w:pPr>
            <w:r>
              <w:t>to confirm a closure order given by an authorised officer under regulation 23</w:t>
            </w:r>
          </w:p>
        </w:tc>
      </w:tr>
    </w:tbl>
    <w:p>
      <w:pPr>
        <w:pStyle w:val="BlankClose"/>
      </w:pPr>
    </w:p>
    <w:p>
      <w:pPr>
        <w:pStyle w:val="nzIndenta"/>
      </w:pPr>
      <w:r>
        <w:tab/>
        <w:t>(c)</w:t>
      </w:r>
      <w:r>
        <w:tab/>
        <w:t>delete “</w:t>
      </w:r>
      <w:r>
        <w:rPr>
          <w:b/>
          <w:bCs/>
          <w:sz w:val="22"/>
          <w:szCs w:val="22"/>
        </w:rPr>
        <w:t>environmental health officer</w:t>
      </w:r>
      <w:r>
        <w:t>” and insert:</w:t>
      </w:r>
    </w:p>
    <w:p>
      <w:pPr>
        <w:pStyle w:val="BlankOpen"/>
      </w:pPr>
    </w:p>
    <w:p>
      <w:pPr>
        <w:pStyle w:val="nzIndenta"/>
      </w:pPr>
      <w:r>
        <w:tab/>
      </w:r>
      <w:r>
        <w:tab/>
      </w:r>
      <w:r>
        <w:rPr>
          <w:b/>
          <w:bCs/>
          <w:sz w:val="22"/>
          <w:szCs w:val="22"/>
        </w:rPr>
        <w:t>authorised officer</w:t>
      </w:r>
    </w:p>
    <w:p>
      <w:pPr>
        <w:pStyle w:val="BlankClose"/>
      </w:pPr>
    </w:p>
    <w:p>
      <w:pPr>
        <w:pStyle w:val="nzHeading5"/>
      </w:pPr>
      <w:r>
        <w:rPr>
          <w:rStyle w:val="CharSectno"/>
        </w:rPr>
        <w:t>31</w:t>
      </w:r>
      <w:r>
        <w:t>.</w:t>
      </w:r>
      <w:r>
        <w:tab/>
        <w:t>Various references to “EDPH” amended</w:t>
      </w:r>
    </w:p>
    <w:p>
      <w:pPr>
        <w:pStyle w:val="nzSubsection"/>
      </w:pPr>
      <w:r>
        <w:tab/>
      </w:r>
      <w:r>
        <w:tab/>
        <w:t>In the provisions listed in the Table delete “EDPH”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4(1) def. of </w:t>
            </w:r>
            <w:r>
              <w:rPr>
                <w:b/>
                <w:i/>
              </w:rPr>
              <w:t>Code</w:t>
            </w:r>
          </w:p>
        </w:tc>
        <w:tc>
          <w:tcPr>
            <w:tcW w:w="3402" w:type="dxa"/>
          </w:tcPr>
          <w:p>
            <w:pPr>
              <w:pStyle w:val="TableAm"/>
            </w:pPr>
            <w:r>
              <w:t>r. 5(3)</w:t>
            </w:r>
          </w:p>
        </w:tc>
      </w:tr>
      <w:tr>
        <w:trPr>
          <w:cantSplit/>
          <w:jc w:val="center"/>
        </w:trPr>
        <w:tc>
          <w:tcPr>
            <w:tcW w:w="3402" w:type="dxa"/>
          </w:tcPr>
          <w:p>
            <w:pPr>
              <w:pStyle w:val="TableAm"/>
            </w:pPr>
            <w:r>
              <w:t>r. 7</w:t>
            </w:r>
          </w:p>
        </w:tc>
        <w:tc>
          <w:tcPr>
            <w:tcW w:w="3402" w:type="dxa"/>
          </w:tcPr>
          <w:p>
            <w:pPr>
              <w:pStyle w:val="TableAm"/>
            </w:pPr>
            <w:r>
              <w:t>r. 8(1), (2) and (3)(c)</w:t>
            </w:r>
          </w:p>
        </w:tc>
      </w:tr>
      <w:tr>
        <w:trPr>
          <w:cantSplit/>
          <w:jc w:val="center"/>
        </w:trPr>
        <w:tc>
          <w:tcPr>
            <w:tcW w:w="3402" w:type="dxa"/>
          </w:tcPr>
          <w:p>
            <w:pPr>
              <w:pStyle w:val="TableAm"/>
            </w:pPr>
            <w:r>
              <w:t>r. 9(1) and (2)</w:t>
            </w:r>
          </w:p>
        </w:tc>
        <w:tc>
          <w:tcPr>
            <w:tcW w:w="3402" w:type="dxa"/>
          </w:tcPr>
          <w:p>
            <w:pPr>
              <w:pStyle w:val="TableAm"/>
            </w:pPr>
            <w:r>
              <w:t>r. 10(1)</w:t>
            </w:r>
          </w:p>
        </w:tc>
      </w:tr>
      <w:tr>
        <w:trPr>
          <w:cantSplit/>
          <w:jc w:val="center"/>
        </w:trPr>
        <w:tc>
          <w:tcPr>
            <w:tcW w:w="3402" w:type="dxa"/>
          </w:tcPr>
          <w:p>
            <w:pPr>
              <w:pStyle w:val="TableAm"/>
            </w:pPr>
            <w:r>
              <w:t>r. 11(1)</w:t>
            </w:r>
          </w:p>
        </w:tc>
        <w:tc>
          <w:tcPr>
            <w:tcW w:w="3402" w:type="dxa"/>
          </w:tcPr>
          <w:p>
            <w:pPr>
              <w:pStyle w:val="TableAm"/>
            </w:pPr>
            <w:r>
              <w:t>r. 13(3)</w:t>
            </w:r>
          </w:p>
        </w:tc>
      </w:tr>
      <w:tr>
        <w:trPr>
          <w:cantSplit/>
          <w:jc w:val="center"/>
        </w:trPr>
        <w:tc>
          <w:tcPr>
            <w:tcW w:w="3402" w:type="dxa"/>
          </w:tcPr>
          <w:p>
            <w:pPr>
              <w:pStyle w:val="TableAm"/>
            </w:pPr>
            <w:r>
              <w:t>r. 14(1)</w:t>
            </w:r>
          </w:p>
        </w:tc>
        <w:tc>
          <w:tcPr>
            <w:tcW w:w="3402" w:type="dxa"/>
          </w:tcPr>
          <w:p>
            <w:pPr>
              <w:pStyle w:val="TableAm"/>
            </w:pPr>
            <w:r>
              <w:t>r. 15(1), (2), (3) and (5)</w:t>
            </w:r>
          </w:p>
        </w:tc>
      </w:tr>
      <w:tr>
        <w:trPr>
          <w:cantSplit/>
          <w:jc w:val="center"/>
        </w:trPr>
        <w:tc>
          <w:tcPr>
            <w:tcW w:w="3402" w:type="dxa"/>
          </w:tcPr>
          <w:p>
            <w:pPr>
              <w:pStyle w:val="TableAm"/>
            </w:pPr>
            <w:r>
              <w:t>r. 17(1)</w:t>
            </w:r>
          </w:p>
        </w:tc>
        <w:tc>
          <w:tcPr>
            <w:tcW w:w="3402" w:type="dxa"/>
          </w:tcPr>
          <w:p>
            <w:pPr>
              <w:pStyle w:val="TableAm"/>
            </w:pPr>
            <w:r>
              <w:t>r. 18(1)</w:t>
            </w:r>
          </w:p>
        </w:tc>
      </w:tr>
      <w:tr>
        <w:trPr>
          <w:cantSplit/>
          <w:jc w:val="center"/>
        </w:trPr>
        <w:tc>
          <w:tcPr>
            <w:tcW w:w="3402" w:type="dxa"/>
          </w:tcPr>
          <w:p>
            <w:pPr>
              <w:pStyle w:val="TableAm"/>
            </w:pPr>
            <w:r>
              <w:t>r. 19(1)(a) and (b)</w:t>
            </w:r>
          </w:p>
        </w:tc>
        <w:tc>
          <w:tcPr>
            <w:tcW w:w="3402" w:type="dxa"/>
          </w:tcPr>
          <w:p>
            <w:pPr>
              <w:pStyle w:val="TableAm"/>
            </w:pPr>
            <w:r>
              <w:t>r. 20(1)</w:t>
            </w:r>
          </w:p>
        </w:tc>
      </w:tr>
      <w:tr>
        <w:trPr>
          <w:cantSplit/>
          <w:jc w:val="center"/>
        </w:trPr>
        <w:tc>
          <w:tcPr>
            <w:tcW w:w="3402" w:type="dxa"/>
          </w:tcPr>
          <w:p>
            <w:pPr>
              <w:pStyle w:val="TableAm"/>
            </w:pPr>
            <w:r>
              <w:t>r. 21(1)(b), (2), (3), (4), (5) and (6)</w:t>
            </w:r>
          </w:p>
        </w:tc>
        <w:tc>
          <w:tcPr>
            <w:tcW w:w="3402" w:type="dxa"/>
          </w:tcPr>
          <w:p>
            <w:pPr>
              <w:pStyle w:val="TableAm"/>
            </w:pPr>
            <w:r>
              <w:t>r. 22(1), (2)(a), (5) and (6)</w:t>
            </w:r>
          </w:p>
        </w:tc>
      </w:tr>
      <w:tr>
        <w:trPr>
          <w:cantSplit/>
          <w:jc w:val="center"/>
        </w:trPr>
        <w:tc>
          <w:tcPr>
            <w:tcW w:w="3402" w:type="dxa"/>
          </w:tcPr>
          <w:p>
            <w:pPr>
              <w:pStyle w:val="TableAm"/>
            </w:pPr>
            <w:r>
              <w:t>r. 23(1), (2), (3), (4), (5), (6)(b) and (8)</w:t>
            </w:r>
          </w:p>
        </w:tc>
        <w:tc>
          <w:tcPr>
            <w:tcW w:w="3402" w:type="dxa"/>
          </w:tcPr>
          <w:p>
            <w:pPr>
              <w:pStyle w:val="TableAm"/>
            </w:pPr>
            <w:r>
              <w:t>r. 27</w:t>
            </w:r>
          </w:p>
        </w:tc>
      </w:tr>
      <w:tr>
        <w:trPr>
          <w:cantSplit/>
          <w:jc w:val="center"/>
        </w:trPr>
        <w:tc>
          <w:tcPr>
            <w:tcW w:w="3402" w:type="dxa"/>
          </w:tcPr>
          <w:p>
            <w:pPr>
              <w:pStyle w:val="TableAm"/>
            </w:pPr>
            <w:r>
              <w:t>r. 28(1)</w:t>
            </w:r>
          </w:p>
        </w:tc>
        <w:tc>
          <w:tcPr>
            <w:tcW w:w="3402" w:type="dxa"/>
          </w:tcPr>
          <w:p>
            <w:pPr>
              <w:pStyle w:val="TableAm"/>
            </w:pPr>
            <w:r>
              <w:t>r. 29(1)</w:t>
            </w:r>
          </w:p>
        </w:tc>
      </w:tr>
      <w:tr>
        <w:trPr>
          <w:cantSplit/>
          <w:jc w:val="center"/>
        </w:trPr>
        <w:tc>
          <w:tcPr>
            <w:tcW w:w="3402" w:type="dxa"/>
          </w:tcPr>
          <w:p>
            <w:pPr>
              <w:pStyle w:val="TableAm"/>
            </w:pPr>
            <w:r>
              <w:t>r. 30(a)</w:t>
            </w:r>
          </w:p>
        </w:tc>
        <w:tc>
          <w:tcPr>
            <w:tcW w:w="3402" w:type="dxa"/>
          </w:tcPr>
          <w:p>
            <w:pPr>
              <w:pStyle w:val="TableAm"/>
            </w:pPr>
            <w:r>
              <w:t>r. 36(1)(a)(ii) and (b)(ii), (2), (3), (4), (5), (7) and (8)</w:t>
            </w:r>
          </w:p>
        </w:tc>
      </w:tr>
      <w:tr>
        <w:trPr>
          <w:cantSplit/>
          <w:jc w:val="center"/>
        </w:trPr>
        <w:tc>
          <w:tcPr>
            <w:tcW w:w="3402" w:type="dxa"/>
          </w:tcPr>
          <w:p>
            <w:pPr>
              <w:pStyle w:val="TableAm"/>
              <w:keepNext/>
              <w:keepLines/>
            </w:pPr>
            <w:r>
              <w:t>r. 37</w:t>
            </w:r>
          </w:p>
        </w:tc>
        <w:tc>
          <w:tcPr>
            <w:tcW w:w="3402" w:type="dxa"/>
          </w:tcPr>
          <w:p>
            <w:pPr>
              <w:pStyle w:val="TableAm"/>
              <w:keepNext/>
              <w:keepLines/>
            </w:pPr>
            <w:r>
              <w:t>r. 39(1), (2)(a) and (3)(a)</w:t>
            </w:r>
          </w:p>
        </w:tc>
      </w:tr>
      <w:tr>
        <w:trPr>
          <w:cantSplit/>
          <w:jc w:val="center"/>
        </w:trPr>
        <w:tc>
          <w:tcPr>
            <w:tcW w:w="3402" w:type="dxa"/>
          </w:tcPr>
          <w:p>
            <w:pPr>
              <w:pStyle w:val="TableAm"/>
              <w:keepNext/>
              <w:keepLines/>
            </w:pPr>
            <w:r>
              <w:t>r. 40(3)</w:t>
            </w:r>
          </w:p>
        </w:tc>
        <w:tc>
          <w:tcPr>
            <w:tcW w:w="3402" w:type="dxa"/>
          </w:tcPr>
          <w:p>
            <w:pPr>
              <w:pStyle w:val="TableAm"/>
              <w:keepNext/>
              <w:keepLines/>
            </w:pPr>
            <w:r>
              <w:t>r. 41(3)</w:t>
            </w:r>
          </w:p>
        </w:tc>
      </w:tr>
      <w:tr>
        <w:trPr>
          <w:cantSplit/>
          <w:jc w:val="center"/>
        </w:trPr>
        <w:tc>
          <w:tcPr>
            <w:tcW w:w="3402" w:type="dxa"/>
          </w:tcPr>
          <w:p>
            <w:pPr>
              <w:pStyle w:val="TableAm"/>
            </w:pPr>
            <w:r>
              <w:t>r. 42(a)</w:t>
            </w:r>
          </w:p>
        </w:tc>
        <w:tc>
          <w:tcPr>
            <w:tcW w:w="3402" w:type="dxa"/>
          </w:tcPr>
          <w:p>
            <w:pPr>
              <w:pStyle w:val="TableAm"/>
            </w:pPr>
          </w:p>
        </w:tc>
      </w:tr>
    </w:tbl>
    <w:p>
      <w:pPr>
        <w:pStyle w:val="nzHeading5"/>
      </w:pPr>
      <w:r>
        <w:rPr>
          <w:rStyle w:val="CharSectno"/>
        </w:rPr>
        <w:t>32</w:t>
      </w:r>
      <w:r>
        <w:t>.</w:t>
      </w:r>
      <w:r>
        <w:tab/>
        <w:t>Various references to “environmental health officer” amended</w:t>
      </w:r>
    </w:p>
    <w:p>
      <w:pPr>
        <w:pStyle w:val="nzSubsection"/>
      </w:pPr>
      <w:r>
        <w:tab/>
      </w:r>
      <w:r>
        <w:tab/>
        <w:t>In the provisions listed in the Table delete “environmental health officer” (each occurrence) and insert:</w:t>
      </w:r>
    </w:p>
    <w:p>
      <w:pPr>
        <w:pStyle w:val="BlankOpen"/>
      </w:pPr>
    </w:p>
    <w:p>
      <w:pPr>
        <w:pStyle w:val="nzSubsection"/>
      </w:pPr>
      <w:r>
        <w:tab/>
      </w:r>
      <w:r>
        <w:tab/>
        <w:t>authorised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21(1)(a), (2A) and (4)(a)</w:t>
            </w:r>
          </w:p>
        </w:tc>
        <w:tc>
          <w:tcPr>
            <w:tcW w:w="3402" w:type="dxa"/>
          </w:tcPr>
          <w:p>
            <w:pPr>
              <w:pStyle w:val="TableAm"/>
            </w:pPr>
            <w:r>
              <w:t>r. 22(1), (5) and (6)</w:t>
            </w:r>
          </w:p>
        </w:tc>
      </w:tr>
      <w:tr>
        <w:trPr>
          <w:cantSplit/>
          <w:jc w:val="center"/>
        </w:trPr>
        <w:tc>
          <w:tcPr>
            <w:tcW w:w="3402" w:type="dxa"/>
          </w:tcPr>
          <w:p>
            <w:pPr>
              <w:pStyle w:val="TableAm"/>
            </w:pPr>
            <w:r>
              <w:t>r. 23(1), (3), (4) and (5)</w:t>
            </w:r>
          </w:p>
        </w:tc>
        <w:tc>
          <w:tcPr>
            <w:tcW w:w="3402" w:type="dxa"/>
          </w:tcPr>
          <w:p>
            <w:pPr>
              <w:pStyle w:val="TableAm"/>
            </w:pPr>
            <w:r>
              <w:t>r. 28(1)</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2" w:name="_Toc471905309"/>
      <w:bookmarkStart w:id="83" w:name="_Toc472002314"/>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w:t>
      </w:r>
      <w:r>
        <w:tab/>
        <w:t>4(1)</w:t>
      </w:r>
    </w:p>
    <w:p>
      <w:pPr>
        <w:pStyle w:val="DefinedTerms"/>
      </w:pPr>
      <w:r>
        <w:t>approved form</w:t>
      </w:r>
      <w:r>
        <w:tab/>
        <w:t>4(1), 30</w:t>
      </w:r>
    </w:p>
    <w:p>
      <w:pPr>
        <w:pStyle w:val="DefinedTerms"/>
      </w:pPr>
      <w:r>
        <w:t>aquatic facility</w:t>
      </w:r>
      <w:r>
        <w:tab/>
        <w:t>4(1), 5(1)</w:t>
      </w:r>
    </w:p>
    <w:p>
      <w:pPr>
        <w:pStyle w:val="DefinedTerms"/>
      </w:pPr>
      <w:r>
        <w:t>class</w:t>
      </w:r>
      <w:r>
        <w:tab/>
        <w:t>4(1)</w:t>
      </w:r>
    </w:p>
    <w:p>
      <w:pPr>
        <w:pStyle w:val="DefinedTerms"/>
      </w:pPr>
      <w:r>
        <w:t>Code</w:t>
      </w:r>
      <w:r>
        <w:tab/>
        <w:t>4(1)</w:t>
      </w:r>
    </w:p>
    <w:p>
      <w:pPr>
        <w:pStyle w:val="DefinedTerms"/>
      </w:pPr>
      <w:r>
        <w:t>commencement day</w:t>
      </w:r>
      <w:r>
        <w:tab/>
        <w:t>33</w:t>
      </w:r>
    </w:p>
    <w:p>
      <w:pPr>
        <w:pStyle w:val="DefinedTerms"/>
      </w:pPr>
      <w:r>
        <w:t>dwelling unit</w:t>
      </w:r>
      <w:r>
        <w:tab/>
        <w:t>4(1)</w:t>
      </w:r>
    </w:p>
    <w:p>
      <w:pPr>
        <w:pStyle w:val="DefinedTerms"/>
      </w:pPr>
      <w:r>
        <w:t>EDPH</w:t>
      </w:r>
      <w:r>
        <w:tab/>
        <w:t>4(1)</w:t>
      </w:r>
    </w:p>
    <w:p>
      <w:pPr>
        <w:pStyle w:val="DefinedTerms"/>
      </w:pPr>
      <w:r>
        <w:t>improvement order</w:t>
      </w:r>
      <w:r>
        <w:tab/>
        <w:t>4(1)</w:t>
      </w:r>
    </w:p>
    <w:p>
      <w:pPr>
        <w:pStyle w:val="DefinedTerms"/>
      </w:pPr>
      <w:r>
        <w:t>old regulations</w:t>
      </w:r>
      <w:r>
        <w:tab/>
        <w:t>33</w:t>
      </w:r>
    </w:p>
    <w:p>
      <w:pPr>
        <w:pStyle w:val="DefinedTerms"/>
      </w:pPr>
      <w:r>
        <w:t>operational requirement</w:t>
      </w:r>
      <w:r>
        <w:tab/>
        <w:t>4(1)</w:t>
      </w:r>
    </w:p>
    <w:p>
      <w:pPr>
        <w:pStyle w:val="DefinedTerms"/>
      </w:pPr>
      <w:r>
        <w:t>operator</w:t>
      </w:r>
      <w:r>
        <w:tab/>
        <w:t>4(1)</w:t>
      </w:r>
    </w:p>
    <w:p>
      <w:pPr>
        <w:pStyle w:val="DefinedTerms"/>
      </w:pPr>
      <w:r>
        <w:t>original approval</w:t>
      </w:r>
      <w:r>
        <w:tab/>
        <w:t>10(1)</w:t>
      </w:r>
    </w:p>
    <w:p>
      <w:pPr>
        <w:pStyle w:val="DefinedTerms"/>
      </w:pPr>
      <w:r>
        <w:t>residential lot</w:t>
      </w:r>
      <w:r>
        <w:tab/>
        <w:t>4(1)</w:t>
      </w:r>
    </w:p>
    <w:p>
      <w:pPr>
        <w:pStyle w:val="DefinedTerms"/>
      </w:pPr>
      <w:r>
        <w:t>water body</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10749E"/>
    <w:lvl w:ilvl="0">
      <w:start w:val="1"/>
      <w:numFmt w:val="decimal"/>
      <w:lvlText w:val="%1."/>
      <w:lvlJc w:val="left"/>
      <w:pPr>
        <w:tabs>
          <w:tab w:val="num" w:pos="1492"/>
        </w:tabs>
        <w:ind w:left="1492" w:hanging="360"/>
      </w:pPr>
    </w:lvl>
  </w:abstractNum>
  <w:abstractNum w:abstractNumId="1">
    <w:nsid w:val="FFFFFF7D"/>
    <w:multiLevelType w:val="singleLevel"/>
    <w:tmpl w:val="3EBC0EB6"/>
    <w:lvl w:ilvl="0">
      <w:start w:val="1"/>
      <w:numFmt w:val="decimal"/>
      <w:lvlText w:val="%1."/>
      <w:lvlJc w:val="left"/>
      <w:pPr>
        <w:tabs>
          <w:tab w:val="num" w:pos="1209"/>
        </w:tabs>
        <w:ind w:left="1209" w:hanging="360"/>
      </w:pPr>
    </w:lvl>
  </w:abstractNum>
  <w:abstractNum w:abstractNumId="2">
    <w:nsid w:val="FFFFFF7E"/>
    <w:multiLevelType w:val="singleLevel"/>
    <w:tmpl w:val="6D42D9A6"/>
    <w:lvl w:ilvl="0">
      <w:start w:val="1"/>
      <w:numFmt w:val="decimal"/>
      <w:lvlText w:val="%1."/>
      <w:lvlJc w:val="left"/>
      <w:pPr>
        <w:tabs>
          <w:tab w:val="num" w:pos="926"/>
        </w:tabs>
        <w:ind w:left="926" w:hanging="360"/>
      </w:pPr>
    </w:lvl>
  </w:abstractNum>
  <w:abstractNum w:abstractNumId="3">
    <w:nsid w:val="FFFFFF7F"/>
    <w:multiLevelType w:val="singleLevel"/>
    <w:tmpl w:val="711246BE"/>
    <w:lvl w:ilvl="0">
      <w:start w:val="1"/>
      <w:numFmt w:val="decimal"/>
      <w:lvlText w:val="%1."/>
      <w:lvlJc w:val="left"/>
      <w:pPr>
        <w:tabs>
          <w:tab w:val="num" w:pos="643"/>
        </w:tabs>
        <w:ind w:left="643" w:hanging="360"/>
      </w:pPr>
    </w:lvl>
  </w:abstractNum>
  <w:abstractNum w:abstractNumId="4">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C35F6"/>
    <w:lvl w:ilvl="0">
      <w:start w:val="1"/>
      <w:numFmt w:val="decimal"/>
      <w:lvlText w:val="%1."/>
      <w:lvlJc w:val="left"/>
      <w:pPr>
        <w:tabs>
          <w:tab w:val="num" w:pos="360"/>
        </w:tabs>
        <w:ind w:left="360" w:hanging="360"/>
      </w:pPr>
    </w:lvl>
  </w:abstractNum>
  <w:abstractNum w:abstractNumId="9">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32214"/>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170111132214" w:val="RemoveTocBookmarks,RemoveUnusedBookmarks,RemoveLanguageTags,UsedStyles,ResetPageSize"/>
    <w:docVar w:name="WAFER_20170111132214_GUID" w:val="8fce2603-e472-4014-a15f-ee8e66ba1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8109</Words>
  <Characters>39169</Characters>
  <Application>Microsoft Office Word</Application>
  <DocSecurity>0</DocSecurity>
  <Lines>1119</Lines>
  <Paragraphs>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46613</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2007 - 00-c0-00</dc:title>
  <dc:subject/>
  <dc:creator/>
  <cp:keywords/>
  <dc:description/>
  <cp:lastModifiedBy>svcMRProcess</cp:lastModifiedBy>
  <cp:revision>4</cp:revision>
  <cp:lastPrinted>2007-06-07T01:18:00Z</cp:lastPrinted>
  <dcterms:created xsi:type="dcterms:W3CDTF">2018-09-17T08:37:00Z</dcterms:created>
  <dcterms:modified xsi:type="dcterms:W3CDTF">2018-09-17T08:37:00Z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