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(Temporary Sanitary Conveniences)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_Toc472004361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_Toc472004362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 and construction of temporary toilets</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_Toc472004364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Standard and construction of temporary toilets</w:t>
      </w:r>
      <w:r>
        <w:tab/>
      </w:r>
      <w:r>
        <w:fldChar w:fldCharType="begin"/>
      </w:r>
      <w:r>
        <w:instrText xml:space="preserve"> PAGEREF _Toc472004365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Approval by the Executive Director, Public Health</w:t>
      </w:r>
      <w:r>
        <w:tab/>
      </w:r>
      <w:r>
        <w:fldChar w:fldCharType="begin"/>
      </w:r>
      <w:r>
        <w:instrText xml:space="preserve"> PAGEREF _Toc472004366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Certification by the Executive Director, Public Health</w:t>
      </w:r>
      <w:r>
        <w:tab/>
      </w:r>
      <w:r>
        <w:fldChar w:fldCharType="begin"/>
      </w:r>
      <w:r>
        <w:instrText xml:space="preserve"> PAGEREF _Toc472004367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of temporary toilets generally</w:t>
      </w:r>
      <w:r>
        <w:tab/>
      </w:r>
      <w:r>
        <w:fldChar w:fldCharType="begin"/>
      </w:r>
      <w:r>
        <w:instrText xml:space="preserve"> PAGEREF _Toc472004368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toilets for lifting</w:t>
      </w:r>
      <w:r>
        <w:tab/>
      </w:r>
      <w:r>
        <w:fldChar w:fldCharType="begin"/>
      </w:r>
      <w:r>
        <w:instrText xml:space="preserve"> PAGEREF _Toc472004369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w:t>
      </w:r>
      <w:r>
        <w:tab/>
      </w:r>
      <w:r>
        <w:fldChar w:fldCharType="begin"/>
      </w:r>
      <w:r>
        <w:instrText xml:space="preserve"> PAGEREF _Toc472004370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Floors</w:t>
      </w:r>
      <w:r>
        <w:tab/>
      </w:r>
      <w:r>
        <w:fldChar w:fldCharType="begin"/>
      </w:r>
      <w:r>
        <w:instrText xml:space="preserve"> PAGEREF _Toc472004371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Roofs</w:t>
      </w:r>
      <w:r>
        <w:tab/>
      </w:r>
      <w:r>
        <w:fldChar w:fldCharType="begin"/>
      </w:r>
      <w:r>
        <w:instrText xml:space="preserve"> PAGEREF _Toc472004372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Doors</w:t>
      </w:r>
      <w:r>
        <w:tab/>
      </w:r>
      <w:r>
        <w:fldChar w:fldCharType="begin"/>
      </w:r>
      <w:r>
        <w:instrText xml:space="preserve"> PAGEREF _Toc472004373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Height</w:t>
      </w:r>
      <w:r>
        <w:tab/>
      </w:r>
      <w:r>
        <w:fldChar w:fldCharType="begin"/>
      </w:r>
      <w:r>
        <w:instrText xml:space="preserve"> PAGEREF _Toc472004374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Ventilation</w:t>
      </w:r>
      <w:r>
        <w:tab/>
      </w:r>
      <w:r>
        <w:fldChar w:fldCharType="begin"/>
      </w:r>
      <w:r>
        <w:instrText xml:space="preserve"> PAGEREF _Toc472004375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Lighting</w:t>
      </w:r>
      <w:r>
        <w:tab/>
      </w:r>
      <w:r>
        <w:fldChar w:fldCharType="begin"/>
      </w:r>
      <w:r>
        <w:instrText xml:space="preserve"> PAGEREF _Toc472004376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Toilet roll holder</w:t>
      </w:r>
      <w:r>
        <w:tab/>
      </w:r>
      <w:r>
        <w:fldChar w:fldCharType="begin"/>
      </w:r>
      <w:r>
        <w:instrText xml:space="preserve"> PAGEREF _Toc472004377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Toilet bowl, seat and cover</w:t>
      </w:r>
      <w:r>
        <w:tab/>
      </w:r>
      <w:r>
        <w:fldChar w:fldCharType="begin"/>
      </w:r>
      <w:r>
        <w:instrText xml:space="preserve"> PAGEREF _Toc472004378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Flushing facility</w:t>
      </w:r>
      <w:r>
        <w:tab/>
      </w:r>
      <w:r>
        <w:fldChar w:fldCharType="begin"/>
      </w:r>
      <w:r>
        <w:instrText xml:space="preserve"> PAGEREF _Toc472004379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Hand basin and tap</w:t>
      </w:r>
      <w:r>
        <w:tab/>
      </w:r>
      <w:r>
        <w:fldChar w:fldCharType="begin"/>
      </w:r>
      <w:r>
        <w:instrText xml:space="preserve"> PAGEREF _Toc472004380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Sewage storage tank</w:t>
      </w:r>
      <w:r>
        <w:tab/>
      </w:r>
      <w:r>
        <w:fldChar w:fldCharType="begin"/>
      </w:r>
      <w:r>
        <w:instrText xml:space="preserve"> PAGEREF _Toc472004381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Sanitary conveniences in relation to certain sites of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21</w:t>
      </w:r>
      <w:r>
        <w:rPr>
          <w:snapToGrid w:val="0"/>
        </w:rPr>
        <w:t>.</w:t>
      </w:r>
      <w:r>
        <w:rPr>
          <w:snapToGrid w:val="0"/>
        </w:rPr>
        <w:tab/>
        <w:t>Application</w:t>
      </w:r>
      <w:r>
        <w:tab/>
      </w:r>
      <w:r>
        <w:fldChar w:fldCharType="begin"/>
      </w:r>
      <w:r>
        <w:instrText xml:space="preserve"> PAGEREF _Toc472004384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Sanitary conveniences to be provided and maintained for the purposes of section 102 of the Act</w:t>
      </w:r>
    </w:p>
    <w:p>
      <w:pPr>
        <w:pStyle w:val="TOC8"/>
        <w:rPr>
          <w:rFonts w:asciiTheme="minorHAnsi" w:eastAsiaTheme="minorEastAsia" w:hAnsiTheme="minorHAnsi" w:cstheme="minorBidi"/>
          <w:szCs w:val="22"/>
        </w:rPr>
      </w:pPr>
      <w:r>
        <w:t>22</w:t>
      </w:r>
      <w:r>
        <w:rPr>
          <w:snapToGrid w:val="0"/>
        </w:rPr>
        <w:t>.</w:t>
      </w:r>
      <w:r>
        <w:rPr>
          <w:snapToGrid w:val="0"/>
        </w:rPr>
        <w:tab/>
        <w:t>Sanitary conveniences to be provided and maintained</w:t>
      </w:r>
      <w:r>
        <w:tab/>
      </w:r>
      <w:r>
        <w:fldChar w:fldCharType="begin"/>
      </w:r>
      <w:r>
        <w:instrText xml:space="preserve"> PAGEREF _Toc472004386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sanitary conveniences</w:t>
      </w:r>
      <w:r>
        <w:tab/>
      </w:r>
      <w:r>
        <w:fldChar w:fldCharType="begin"/>
      </w:r>
      <w:r>
        <w:instrText xml:space="preserve"> PAGEREF _Toc472004387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Situation of sanitary conveniences generally</w:t>
      </w:r>
      <w:r>
        <w:tab/>
      </w:r>
      <w:r>
        <w:fldChar w:fldCharType="begin"/>
      </w:r>
      <w:r>
        <w:instrText xml:space="preserve"> PAGEREF _Toc472004388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Contiguous sites of works</w:t>
      </w:r>
      <w:r>
        <w:tab/>
      </w:r>
      <w:r>
        <w:fldChar w:fldCharType="begin"/>
      </w:r>
      <w:r>
        <w:instrText xml:space="preserve"> PAGEREF _Toc472004389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Types of sanitary convenience</w:t>
      </w:r>
      <w:r>
        <w:tab/>
      </w:r>
      <w:r>
        <w:fldChar w:fldCharType="begin"/>
      </w:r>
      <w:r>
        <w:instrText xml:space="preserve"> PAGEREF _Toc472004390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Local government may approve a bore hole privy</w:t>
      </w:r>
      <w:r>
        <w:tab/>
      </w:r>
      <w:r>
        <w:fldChar w:fldCharType="begin"/>
      </w:r>
      <w:r>
        <w:instrText xml:space="preserve"> PAGEREF _Toc472004391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Temporary toilets</w:t>
      </w:r>
      <w:r>
        <w:tab/>
      </w:r>
      <w:r>
        <w:fldChar w:fldCharType="begin"/>
      </w:r>
      <w:r>
        <w:instrText xml:space="preserve"> PAGEREF _Toc472004392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Bore hole privies</w:t>
      </w:r>
      <w:r>
        <w:tab/>
      </w:r>
      <w:r>
        <w:fldChar w:fldCharType="begin"/>
      </w:r>
      <w:r>
        <w:instrText xml:space="preserve"> PAGEREF _Toc472004393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Sanitary facilities for women</w:t>
      </w:r>
      <w:r>
        <w:tab/>
      </w:r>
      <w:r>
        <w:fldChar w:fldCharType="begin"/>
      </w:r>
      <w:r>
        <w:instrText xml:space="preserve"> PAGEREF _Toc472004394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Maintenance and removal of sanitary conveniences</w:t>
      </w:r>
    </w:p>
    <w:p>
      <w:pPr>
        <w:pStyle w:val="TOC8"/>
        <w:rPr>
          <w:rFonts w:asciiTheme="minorHAnsi" w:eastAsiaTheme="minorEastAsia" w:hAnsiTheme="minorHAnsi" w:cstheme="minorBidi"/>
          <w:szCs w:val="22"/>
        </w:rPr>
      </w:pPr>
      <w:r>
        <w:t>31</w:t>
      </w:r>
      <w:r>
        <w:rPr>
          <w:snapToGrid w:val="0"/>
        </w:rPr>
        <w:t>.</w:t>
      </w:r>
      <w:r>
        <w:rPr>
          <w:snapToGrid w:val="0"/>
        </w:rPr>
        <w:tab/>
        <w:t>Interpretation</w:t>
      </w:r>
      <w:r>
        <w:tab/>
      </w:r>
      <w:r>
        <w:fldChar w:fldCharType="begin"/>
      </w:r>
      <w:r>
        <w:instrText xml:space="preserve"> PAGEREF _Toc472004396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Maintenance of a temporary toilet</w:t>
      </w:r>
      <w:r>
        <w:tab/>
      </w:r>
      <w:r>
        <w:fldChar w:fldCharType="begin"/>
      </w:r>
      <w:r>
        <w:instrText xml:space="preserve"> PAGEREF _Toc472004397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Maintenance of a bore hole privy</w:t>
      </w:r>
      <w:r>
        <w:tab/>
      </w:r>
      <w:r>
        <w:fldChar w:fldCharType="begin"/>
      </w:r>
      <w:r>
        <w:instrText xml:space="preserve"> PAGEREF _Toc472004398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a bore hole privy</w:t>
      </w:r>
      <w:r>
        <w:tab/>
      </w:r>
      <w:r>
        <w:fldChar w:fldCharType="begin"/>
      </w:r>
      <w:r>
        <w:instrText xml:space="preserve"> PAGEREF _Toc472004399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 and penalties</w:t>
      </w:r>
      <w:r>
        <w:tab/>
      </w:r>
      <w:r>
        <w:fldChar w:fldCharType="begin"/>
      </w:r>
      <w:r>
        <w:instrText xml:space="preserve"> PAGEREF _Toc472004400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_Toc472004402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_Toc472004403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Act 1911</w:t>
      </w:r>
    </w:p>
    <w:p>
      <w:pPr>
        <w:pStyle w:val="NameofActReg"/>
      </w:pPr>
      <w:r>
        <w:t>Health (Temporary Sanitary Conveniences) Regulations 1997</w:t>
      </w:r>
    </w:p>
    <w:p>
      <w:pPr>
        <w:pStyle w:val="Heading2"/>
        <w:pageBreakBefore w:val="0"/>
      </w:pPr>
      <w:bookmarkStart w:id="3" w:name="_Toc471914820"/>
      <w:bookmarkStart w:id="4" w:name="_Toc472004360"/>
      <w:r>
        <w:t>Part 1 — Introductory</w:t>
      </w:r>
      <w:bookmarkEnd w:id="3"/>
      <w:bookmarkEnd w:id="4"/>
    </w:p>
    <w:p>
      <w:pPr>
        <w:pStyle w:val="Heading5"/>
        <w:rPr>
          <w:snapToGrid w:val="0"/>
        </w:rPr>
      </w:pPr>
      <w:bookmarkStart w:id="5" w:name="_Toc472004361"/>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6" w:name="_Toc472004362"/>
      <w:r>
        <w:rPr>
          <w:rStyle w:val="CharSectno"/>
        </w:rPr>
        <w:t>2</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7" w:name="_Toc471914823"/>
      <w:bookmarkStart w:id="8" w:name="_Toc472004363"/>
      <w:r>
        <w:rPr>
          <w:rStyle w:val="CharPartNo"/>
        </w:rPr>
        <w:t>Part 2</w:t>
      </w:r>
      <w:r>
        <w:rPr>
          <w:rStyle w:val="CharDivNo"/>
        </w:rPr>
        <w:t> </w:t>
      </w:r>
      <w:r>
        <w:t>—</w:t>
      </w:r>
      <w:r>
        <w:rPr>
          <w:rStyle w:val="CharDivText"/>
        </w:rPr>
        <w:t> </w:t>
      </w:r>
      <w:r>
        <w:rPr>
          <w:rStyle w:val="CharPartText"/>
        </w:rPr>
        <w:t>Standard and construction of temporary toilets</w:t>
      </w:r>
      <w:bookmarkEnd w:id="7"/>
      <w:bookmarkEnd w:id="8"/>
      <w:r>
        <w:rPr>
          <w:rStyle w:val="CharPartText"/>
        </w:rPr>
        <w:t xml:space="preserve"> </w:t>
      </w:r>
    </w:p>
    <w:p>
      <w:pPr>
        <w:pStyle w:val="Heading5"/>
        <w:rPr>
          <w:snapToGrid w:val="0"/>
        </w:rPr>
      </w:pPr>
      <w:bookmarkStart w:id="9" w:name="_Toc472004364"/>
      <w:r>
        <w:rPr>
          <w:rStyle w:val="CharSectno"/>
        </w:rPr>
        <w:t>3</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Executive Director, Public Health.</w:t>
      </w:r>
    </w:p>
    <w:p>
      <w:pPr>
        <w:pStyle w:val="Heading5"/>
        <w:rPr>
          <w:snapToGrid w:val="0"/>
        </w:rPr>
      </w:pPr>
      <w:bookmarkStart w:id="10" w:name="_Toc472004365"/>
      <w:r>
        <w:rPr>
          <w:rStyle w:val="CharSectno"/>
        </w:rPr>
        <w:t>4</w:t>
      </w:r>
      <w:r>
        <w:rPr>
          <w:snapToGrid w:val="0"/>
        </w:rPr>
        <w:t>.</w:t>
      </w:r>
      <w:r>
        <w:rPr>
          <w:snapToGrid w:val="0"/>
        </w:rPr>
        <w:tab/>
        <w:t>Standard and construction of temporary toilets</w:t>
      </w:r>
      <w:bookmarkEnd w:id="10"/>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Heading5"/>
        <w:rPr>
          <w:snapToGrid w:val="0"/>
        </w:rPr>
      </w:pPr>
      <w:bookmarkStart w:id="11" w:name="_Toc472004366"/>
      <w:r>
        <w:rPr>
          <w:rStyle w:val="CharSectno"/>
        </w:rPr>
        <w:t>5</w:t>
      </w:r>
      <w:r>
        <w:rPr>
          <w:snapToGrid w:val="0"/>
        </w:rPr>
        <w:t>.</w:t>
      </w:r>
      <w:r>
        <w:rPr>
          <w:snapToGrid w:val="0"/>
        </w:rPr>
        <w:tab/>
        <w:t>Approval by the Executive Director, Public Health</w:t>
      </w:r>
      <w:bookmarkEnd w:id="11"/>
      <w:r>
        <w:rPr>
          <w:snapToGrid w:val="0"/>
        </w:rPr>
        <w:t xml:space="preserve"> </w:t>
      </w:r>
    </w:p>
    <w:p>
      <w:pPr>
        <w:pStyle w:val="Subsection"/>
        <w:rPr>
          <w:snapToGrid w:val="0"/>
        </w:rPr>
      </w:pPr>
      <w:r>
        <w:rPr>
          <w:snapToGrid w:val="0"/>
        </w:rPr>
        <w:tab/>
        <w:t>(1)</w:t>
      </w:r>
      <w:r>
        <w:rPr>
          <w:snapToGrid w:val="0"/>
        </w:rPr>
        <w:tab/>
        <w:t>The Executive Director, Public Health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A person may, in an approved form, apply to the Executive Director for an approval under subregulation (1).</w:t>
      </w:r>
    </w:p>
    <w:p>
      <w:pPr>
        <w:pStyle w:val="Heading5"/>
        <w:rPr>
          <w:snapToGrid w:val="0"/>
        </w:rPr>
      </w:pPr>
      <w:bookmarkStart w:id="12" w:name="_Toc472004367"/>
      <w:r>
        <w:rPr>
          <w:rStyle w:val="CharSectno"/>
        </w:rPr>
        <w:t>6</w:t>
      </w:r>
      <w:r>
        <w:rPr>
          <w:snapToGrid w:val="0"/>
        </w:rPr>
        <w:t>.</w:t>
      </w:r>
      <w:r>
        <w:rPr>
          <w:snapToGrid w:val="0"/>
        </w:rPr>
        <w:tab/>
        <w:t>Certification by the Executive Director, Public Health</w:t>
      </w:r>
      <w:bookmarkEnd w:id="12"/>
      <w:r>
        <w:rPr>
          <w:snapToGrid w:val="0"/>
        </w:rPr>
        <w:t xml:space="preserve"> </w:t>
      </w:r>
    </w:p>
    <w:p>
      <w:pPr>
        <w:pStyle w:val="Subsection"/>
        <w:rPr>
          <w:snapToGrid w:val="0"/>
        </w:rPr>
      </w:pPr>
      <w:r>
        <w:rPr>
          <w:snapToGrid w:val="0"/>
        </w:rPr>
        <w:tab/>
        <w:t>(1)</w:t>
      </w:r>
      <w:r>
        <w:rPr>
          <w:snapToGrid w:val="0"/>
        </w:rPr>
        <w:tab/>
        <w:t>The Executive Director, Public Health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The Executive Director may certify a temporary toilet under subregulation (1) for a particular area only.</w:t>
      </w:r>
    </w:p>
    <w:p>
      <w:pPr>
        <w:pStyle w:val="Subsection"/>
        <w:rPr>
          <w:snapToGrid w:val="0"/>
        </w:rPr>
      </w:pPr>
      <w:r>
        <w:rPr>
          <w:snapToGrid w:val="0"/>
        </w:rPr>
        <w:tab/>
        <w:t>(3)</w:t>
      </w:r>
      <w:r>
        <w:rPr>
          <w:snapToGrid w:val="0"/>
        </w:rPr>
        <w:tab/>
        <w:t>A person may, in an approved form, apply to the Executive Director, Public Health for a certification under subregulation (1).</w:t>
      </w:r>
    </w:p>
    <w:p>
      <w:pPr>
        <w:pStyle w:val="Heading5"/>
        <w:rPr>
          <w:snapToGrid w:val="0"/>
        </w:rPr>
      </w:pPr>
      <w:bookmarkStart w:id="13" w:name="_Toc472004368"/>
      <w:r>
        <w:rPr>
          <w:rStyle w:val="CharSectno"/>
        </w:rPr>
        <w:t>7</w:t>
      </w:r>
      <w:r>
        <w:rPr>
          <w:snapToGrid w:val="0"/>
        </w:rPr>
        <w:t>.</w:t>
      </w:r>
      <w:r>
        <w:rPr>
          <w:snapToGrid w:val="0"/>
        </w:rPr>
        <w:tab/>
        <w:t>Construction of temporary toilets generally</w:t>
      </w:r>
      <w:bookmarkEnd w:id="13"/>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14" w:name="_Toc472004369"/>
      <w:r>
        <w:rPr>
          <w:rStyle w:val="CharSectno"/>
        </w:rPr>
        <w:t>8</w:t>
      </w:r>
      <w:r>
        <w:rPr>
          <w:snapToGrid w:val="0"/>
        </w:rPr>
        <w:t>.</w:t>
      </w:r>
      <w:r>
        <w:rPr>
          <w:snapToGrid w:val="0"/>
        </w:rPr>
        <w:tab/>
        <w:t>Construction of toilets for lifting</w:t>
      </w:r>
      <w:bookmarkEnd w:id="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15" w:name="_Toc472004370"/>
      <w:r>
        <w:rPr>
          <w:rStyle w:val="CharSectno"/>
        </w:rPr>
        <w:t>9</w:t>
      </w:r>
      <w:r>
        <w:rPr>
          <w:snapToGrid w:val="0"/>
        </w:rPr>
        <w:t>.</w:t>
      </w:r>
      <w:r>
        <w:rPr>
          <w:snapToGrid w:val="0"/>
        </w:rPr>
        <w:tab/>
        <w:t>Walls</w:t>
      </w:r>
      <w:bookmarkEnd w:id="15"/>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16" w:name="_Toc472004371"/>
      <w:r>
        <w:rPr>
          <w:rStyle w:val="CharSectno"/>
        </w:rPr>
        <w:t>10</w:t>
      </w:r>
      <w:r>
        <w:rPr>
          <w:snapToGrid w:val="0"/>
        </w:rPr>
        <w:t>.</w:t>
      </w:r>
      <w:r>
        <w:rPr>
          <w:snapToGrid w:val="0"/>
        </w:rPr>
        <w:tab/>
        <w:t>Floors</w:t>
      </w:r>
      <w:bookmarkEnd w:id="16"/>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17" w:name="_Toc472004372"/>
      <w:r>
        <w:rPr>
          <w:rStyle w:val="CharSectno"/>
        </w:rPr>
        <w:t>11</w:t>
      </w:r>
      <w:r>
        <w:rPr>
          <w:snapToGrid w:val="0"/>
        </w:rPr>
        <w:t>.</w:t>
      </w:r>
      <w:r>
        <w:rPr>
          <w:snapToGrid w:val="0"/>
        </w:rPr>
        <w:tab/>
        <w:t>Roofs</w:t>
      </w:r>
      <w:bookmarkEnd w:id="17"/>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18" w:name="_Toc472004373"/>
      <w:r>
        <w:rPr>
          <w:rStyle w:val="CharSectno"/>
        </w:rPr>
        <w:t>12</w:t>
      </w:r>
      <w:r>
        <w:rPr>
          <w:snapToGrid w:val="0"/>
        </w:rPr>
        <w:t>.</w:t>
      </w:r>
      <w:r>
        <w:rPr>
          <w:snapToGrid w:val="0"/>
        </w:rPr>
        <w:tab/>
        <w:t>Doors</w:t>
      </w:r>
      <w:bookmarkEnd w:id="18"/>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19" w:name="_Toc472004374"/>
      <w:r>
        <w:rPr>
          <w:rStyle w:val="CharSectno"/>
        </w:rPr>
        <w:t>13</w:t>
      </w:r>
      <w:r>
        <w:rPr>
          <w:snapToGrid w:val="0"/>
        </w:rPr>
        <w:t>.</w:t>
      </w:r>
      <w:r>
        <w:rPr>
          <w:snapToGrid w:val="0"/>
        </w:rPr>
        <w:tab/>
        <w:t>Height</w:t>
      </w:r>
      <w:bookmarkEnd w:id="19"/>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20" w:name="_Toc472004375"/>
      <w:r>
        <w:rPr>
          <w:rStyle w:val="CharSectno"/>
        </w:rPr>
        <w:t>14</w:t>
      </w:r>
      <w:r>
        <w:rPr>
          <w:snapToGrid w:val="0"/>
        </w:rPr>
        <w:t>.</w:t>
      </w:r>
      <w:r>
        <w:rPr>
          <w:snapToGrid w:val="0"/>
        </w:rPr>
        <w:tab/>
        <w:t>Ventilation</w:t>
      </w:r>
      <w:bookmarkEnd w:id="20"/>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21" w:name="_Toc472004376"/>
      <w:r>
        <w:rPr>
          <w:rStyle w:val="CharSectno"/>
        </w:rPr>
        <w:t>15</w:t>
      </w:r>
      <w:r>
        <w:rPr>
          <w:snapToGrid w:val="0"/>
        </w:rPr>
        <w:t>.</w:t>
      </w:r>
      <w:r>
        <w:rPr>
          <w:snapToGrid w:val="0"/>
        </w:rPr>
        <w:tab/>
        <w:t>Lighting</w:t>
      </w:r>
      <w:bookmarkEnd w:id="21"/>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22" w:name="_Toc472004377"/>
      <w:r>
        <w:rPr>
          <w:rStyle w:val="CharSectno"/>
        </w:rPr>
        <w:t>16</w:t>
      </w:r>
      <w:r>
        <w:rPr>
          <w:snapToGrid w:val="0"/>
        </w:rPr>
        <w:t>.</w:t>
      </w:r>
      <w:r>
        <w:rPr>
          <w:snapToGrid w:val="0"/>
        </w:rPr>
        <w:tab/>
        <w:t>Toilet roll holder</w:t>
      </w:r>
      <w:bookmarkEnd w:id="22"/>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23" w:name="_Toc472004378"/>
      <w:r>
        <w:rPr>
          <w:rStyle w:val="CharSectno"/>
        </w:rPr>
        <w:t>17</w:t>
      </w:r>
      <w:r>
        <w:rPr>
          <w:snapToGrid w:val="0"/>
        </w:rPr>
        <w:t>.</w:t>
      </w:r>
      <w:r>
        <w:rPr>
          <w:snapToGrid w:val="0"/>
        </w:rPr>
        <w:tab/>
        <w:t>Toilet bowl, seat and cover</w:t>
      </w:r>
      <w:bookmarkEnd w:id="23"/>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24" w:name="_Toc472004379"/>
      <w:r>
        <w:rPr>
          <w:rStyle w:val="CharSectno"/>
        </w:rPr>
        <w:t>18</w:t>
      </w:r>
      <w:r>
        <w:rPr>
          <w:snapToGrid w:val="0"/>
        </w:rPr>
        <w:t>.</w:t>
      </w:r>
      <w:r>
        <w:rPr>
          <w:snapToGrid w:val="0"/>
        </w:rPr>
        <w:tab/>
        <w:t>Flushing facility</w:t>
      </w:r>
      <w:bookmarkEnd w:id="24"/>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25" w:name="_Toc472004380"/>
      <w:r>
        <w:rPr>
          <w:rStyle w:val="CharSectno"/>
        </w:rPr>
        <w:t>19</w:t>
      </w:r>
      <w:r>
        <w:rPr>
          <w:snapToGrid w:val="0"/>
        </w:rPr>
        <w:t>.</w:t>
      </w:r>
      <w:r>
        <w:rPr>
          <w:snapToGrid w:val="0"/>
        </w:rPr>
        <w:tab/>
        <w:t>Hand basin and tap</w:t>
      </w:r>
      <w:bookmarkEnd w:id="25"/>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26" w:name="_Toc472004381"/>
      <w:r>
        <w:rPr>
          <w:rStyle w:val="CharSectno"/>
        </w:rPr>
        <w:t>20</w:t>
      </w:r>
      <w:r>
        <w:rPr>
          <w:snapToGrid w:val="0"/>
        </w:rPr>
        <w:t>.</w:t>
      </w:r>
      <w:r>
        <w:rPr>
          <w:snapToGrid w:val="0"/>
        </w:rPr>
        <w:tab/>
        <w:t>Sewage storage tank</w:t>
      </w:r>
      <w:bookmarkEnd w:id="26"/>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27" w:name="_Toc471914842"/>
      <w:bookmarkStart w:id="28" w:name="_Toc472004382"/>
      <w:r>
        <w:rPr>
          <w:rStyle w:val="CharPartNo"/>
        </w:rPr>
        <w:t>Part 3</w:t>
      </w:r>
      <w:r>
        <w:t> — </w:t>
      </w:r>
      <w:r>
        <w:rPr>
          <w:rStyle w:val="CharPartText"/>
        </w:rPr>
        <w:t>Sanitary conveniences in relation to certain sites of works</w:t>
      </w:r>
      <w:bookmarkEnd w:id="27"/>
      <w:bookmarkEnd w:id="28"/>
      <w:r>
        <w:rPr>
          <w:rStyle w:val="CharPartText"/>
        </w:rPr>
        <w:t xml:space="preserve"> </w:t>
      </w:r>
    </w:p>
    <w:p>
      <w:pPr>
        <w:pStyle w:val="Heading3"/>
        <w:rPr>
          <w:snapToGrid w:val="0"/>
        </w:rPr>
      </w:pPr>
      <w:bookmarkStart w:id="29" w:name="_Toc471914843"/>
      <w:bookmarkStart w:id="30" w:name="_Toc472004383"/>
      <w:r>
        <w:rPr>
          <w:rStyle w:val="CharDivNo"/>
        </w:rPr>
        <w:t>Division 1</w:t>
      </w:r>
      <w:r>
        <w:rPr>
          <w:snapToGrid w:val="0"/>
        </w:rPr>
        <w:t> — </w:t>
      </w:r>
      <w:r>
        <w:rPr>
          <w:rStyle w:val="CharDivText"/>
        </w:rPr>
        <w:t>General</w:t>
      </w:r>
      <w:bookmarkEnd w:id="29"/>
      <w:bookmarkEnd w:id="30"/>
      <w:r>
        <w:rPr>
          <w:rStyle w:val="CharDivText"/>
        </w:rPr>
        <w:t xml:space="preserve"> </w:t>
      </w:r>
    </w:p>
    <w:p>
      <w:pPr>
        <w:pStyle w:val="Heading5"/>
        <w:rPr>
          <w:snapToGrid w:val="0"/>
        </w:rPr>
      </w:pPr>
      <w:bookmarkStart w:id="31" w:name="_Toc472004384"/>
      <w:r>
        <w:rPr>
          <w:rStyle w:val="CharSectno"/>
        </w:rPr>
        <w:t>21</w:t>
      </w:r>
      <w:r>
        <w:rPr>
          <w:snapToGrid w:val="0"/>
        </w:rPr>
        <w:t>.</w:t>
      </w:r>
      <w:r>
        <w:rPr>
          <w:snapToGrid w:val="0"/>
        </w:rPr>
        <w:tab/>
        <w:t>Application</w:t>
      </w:r>
      <w:bookmarkEnd w:id="31"/>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32" w:name="_Toc471914845"/>
      <w:bookmarkStart w:id="33" w:name="_Toc472004385"/>
      <w:r>
        <w:rPr>
          <w:rStyle w:val="CharDivNo"/>
        </w:rPr>
        <w:t>Division 2</w:t>
      </w:r>
      <w:r>
        <w:rPr>
          <w:snapToGrid w:val="0"/>
        </w:rPr>
        <w:t> — </w:t>
      </w:r>
      <w:r>
        <w:rPr>
          <w:rStyle w:val="CharDivText"/>
        </w:rPr>
        <w:t>Sanitary conveniences to be provided and maintained for the purposes of section 102 of the Act</w:t>
      </w:r>
      <w:bookmarkEnd w:id="32"/>
      <w:bookmarkEnd w:id="33"/>
      <w:r>
        <w:rPr>
          <w:rStyle w:val="CharDivText"/>
        </w:rPr>
        <w:t xml:space="preserve"> </w:t>
      </w:r>
    </w:p>
    <w:p>
      <w:pPr>
        <w:pStyle w:val="Heading5"/>
        <w:rPr>
          <w:snapToGrid w:val="0"/>
        </w:rPr>
      </w:pPr>
      <w:bookmarkStart w:id="34" w:name="_Toc472004386"/>
      <w:r>
        <w:rPr>
          <w:rStyle w:val="CharSectno"/>
        </w:rPr>
        <w:t>22</w:t>
      </w:r>
      <w:r>
        <w:rPr>
          <w:snapToGrid w:val="0"/>
        </w:rPr>
        <w:t>.</w:t>
      </w:r>
      <w:r>
        <w:rPr>
          <w:snapToGrid w:val="0"/>
        </w:rPr>
        <w:tab/>
        <w:t>Sanitary conveniences to be provided and maintained</w:t>
      </w:r>
      <w:bookmarkEnd w:id="34"/>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35" w:name="_Toc472004387"/>
      <w:r>
        <w:rPr>
          <w:rStyle w:val="CharSectno"/>
        </w:rPr>
        <w:t>23</w:t>
      </w:r>
      <w:r>
        <w:rPr>
          <w:snapToGrid w:val="0"/>
        </w:rPr>
        <w:t>.</w:t>
      </w:r>
      <w:r>
        <w:rPr>
          <w:snapToGrid w:val="0"/>
        </w:rPr>
        <w:tab/>
        <w:t>Number of sanitary conveniences</w:t>
      </w:r>
      <w:bookmarkEnd w:id="35"/>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36" w:name="_Toc472004388"/>
      <w:r>
        <w:rPr>
          <w:rStyle w:val="CharSectno"/>
        </w:rPr>
        <w:t>24</w:t>
      </w:r>
      <w:r>
        <w:rPr>
          <w:snapToGrid w:val="0"/>
        </w:rPr>
        <w:t>.</w:t>
      </w:r>
      <w:r>
        <w:rPr>
          <w:snapToGrid w:val="0"/>
        </w:rPr>
        <w:tab/>
        <w:t>Situation of sanitary conveniences generally</w:t>
      </w:r>
      <w:bookmarkEnd w:id="36"/>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37" w:name="_Toc472004389"/>
      <w:r>
        <w:rPr>
          <w:rStyle w:val="CharSectno"/>
        </w:rPr>
        <w:t>25</w:t>
      </w:r>
      <w:r>
        <w:rPr>
          <w:snapToGrid w:val="0"/>
        </w:rPr>
        <w:t>.</w:t>
      </w:r>
      <w:r>
        <w:rPr>
          <w:snapToGrid w:val="0"/>
        </w:rPr>
        <w:tab/>
        <w:t>Contiguous sites of works</w:t>
      </w:r>
      <w:bookmarkEnd w:id="37"/>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38" w:name="_Toc472004390"/>
      <w:r>
        <w:rPr>
          <w:rStyle w:val="CharSectno"/>
        </w:rPr>
        <w:t>26</w:t>
      </w:r>
      <w:r>
        <w:rPr>
          <w:snapToGrid w:val="0"/>
        </w:rPr>
        <w:t>.</w:t>
      </w:r>
      <w:r>
        <w:rPr>
          <w:snapToGrid w:val="0"/>
        </w:rPr>
        <w:tab/>
        <w:t>Types of sanitary convenience</w:t>
      </w:r>
      <w:bookmarkEnd w:id="38"/>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39" w:name="_Toc472004391"/>
      <w:r>
        <w:rPr>
          <w:rStyle w:val="CharSectno"/>
        </w:rPr>
        <w:t>27</w:t>
      </w:r>
      <w:r>
        <w:rPr>
          <w:snapToGrid w:val="0"/>
        </w:rPr>
        <w:t>.</w:t>
      </w:r>
      <w:r>
        <w:rPr>
          <w:snapToGrid w:val="0"/>
        </w:rPr>
        <w:tab/>
        <w:t>Local government may approve a bore hole privy</w:t>
      </w:r>
      <w:bookmarkEnd w:id="39"/>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40" w:name="_Toc472004392"/>
      <w:r>
        <w:rPr>
          <w:rStyle w:val="CharSectno"/>
        </w:rPr>
        <w:t>28</w:t>
      </w:r>
      <w:r>
        <w:rPr>
          <w:snapToGrid w:val="0"/>
        </w:rPr>
        <w:t>.</w:t>
      </w:r>
      <w:r>
        <w:rPr>
          <w:snapToGrid w:val="0"/>
        </w:rPr>
        <w:tab/>
        <w:t>Temporary toilets</w:t>
      </w:r>
      <w:bookmarkEnd w:id="40"/>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Where a temporary toilet is connected to a sewage storage tank, additives of the type and quantity approved by the Executive Director, Public Health are to be added to the tank.</w:t>
      </w:r>
    </w:p>
    <w:p>
      <w:pPr>
        <w:pStyle w:val="Footnotesection"/>
      </w:pPr>
      <w:r>
        <w:tab/>
        <w:t>[Regulation 28 amended in Gazette 14 Nov 2013 p. 5045.]</w:t>
      </w:r>
    </w:p>
    <w:p>
      <w:pPr>
        <w:pStyle w:val="Heading5"/>
        <w:rPr>
          <w:snapToGrid w:val="0"/>
        </w:rPr>
      </w:pPr>
      <w:bookmarkStart w:id="41" w:name="_Toc472004393"/>
      <w:r>
        <w:rPr>
          <w:rStyle w:val="CharSectno"/>
        </w:rPr>
        <w:t>29</w:t>
      </w:r>
      <w:r>
        <w:rPr>
          <w:snapToGrid w:val="0"/>
        </w:rPr>
        <w:t>.</w:t>
      </w:r>
      <w:r>
        <w:rPr>
          <w:snapToGrid w:val="0"/>
        </w:rPr>
        <w:tab/>
        <w:t>Bore hole privies</w:t>
      </w:r>
      <w:bookmarkEnd w:id="41"/>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42" w:name="_Toc472004394"/>
      <w:r>
        <w:rPr>
          <w:rStyle w:val="CharSectno"/>
        </w:rPr>
        <w:t>30</w:t>
      </w:r>
      <w:r>
        <w:rPr>
          <w:snapToGrid w:val="0"/>
        </w:rPr>
        <w:t>.</w:t>
      </w:r>
      <w:r>
        <w:rPr>
          <w:snapToGrid w:val="0"/>
        </w:rPr>
        <w:tab/>
        <w:t>Sanitary facilities for women</w:t>
      </w:r>
      <w:bookmarkEnd w:id="42"/>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43" w:name="_Toc471914855"/>
      <w:bookmarkStart w:id="44" w:name="_Toc472004395"/>
      <w:r>
        <w:rPr>
          <w:rStyle w:val="CharDivNo"/>
        </w:rPr>
        <w:t>Division 3</w:t>
      </w:r>
      <w:r>
        <w:rPr>
          <w:snapToGrid w:val="0"/>
        </w:rPr>
        <w:t> — </w:t>
      </w:r>
      <w:r>
        <w:rPr>
          <w:rStyle w:val="CharDivText"/>
        </w:rPr>
        <w:t>Maintenance and removal of sanitary conveniences</w:t>
      </w:r>
      <w:bookmarkEnd w:id="43"/>
      <w:bookmarkEnd w:id="44"/>
      <w:r>
        <w:rPr>
          <w:rStyle w:val="CharDivText"/>
        </w:rPr>
        <w:t xml:space="preserve"> </w:t>
      </w:r>
    </w:p>
    <w:p>
      <w:pPr>
        <w:pStyle w:val="Heading5"/>
        <w:rPr>
          <w:snapToGrid w:val="0"/>
        </w:rPr>
      </w:pPr>
      <w:bookmarkStart w:id="45" w:name="_Toc472004396"/>
      <w:r>
        <w:rPr>
          <w:rStyle w:val="CharSectno"/>
        </w:rPr>
        <w:t>31</w:t>
      </w:r>
      <w:r>
        <w:rPr>
          <w:snapToGrid w:val="0"/>
        </w:rPr>
        <w:t>.</w:t>
      </w:r>
      <w:r>
        <w:rPr>
          <w:snapToGrid w:val="0"/>
        </w:rPr>
        <w:tab/>
        <w:t>Interpretation</w:t>
      </w:r>
      <w:bookmarkEnd w:id="4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46" w:name="_Toc472004397"/>
      <w:r>
        <w:rPr>
          <w:rStyle w:val="CharSectno"/>
        </w:rPr>
        <w:t>32</w:t>
      </w:r>
      <w:r>
        <w:rPr>
          <w:snapToGrid w:val="0"/>
        </w:rPr>
        <w:t>.</w:t>
      </w:r>
      <w:r>
        <w:rPr>
          <w:snapToGrid w:val="0"/>
        </w:rPr>
        <w:tab/>
        <w:t>Maintenance of a temporary toilet</w:t>
      </w:r>
      <w:bookmarkEnd w:id="46"/>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temporary toilet on a site of works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adding to the sewage storage tank additives of the type and quantity approved by the Executive Director, Public Health.</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Heading5"/>
        <w:rPr>
          <w:snapToGrid w:val="0"/>
        </w:rPr>
      </w:pPr>
      <w:bookmarkStart w:id="47" w:name="_Toc472004398"/>
      <w:r>
        <w:rPr>
          <w:rStyle w:val="CharSectno"/>
        </w:rPr>
        <w:t>33</w:t>
      </w:r>
      <w:r>
        <w:rPr>
          <w:snapToGrid w:val="0"/>
        </w:rPr>
        <w:t>.</w:t>
      </w:r>
      <w:r>
        <w:rPr>
          <w:snapToGrid w:val="0"/>
        </w:rPr>
        <w:tab/>
        <w:t>Maintenance of a bore hole privy</w:t>
      </w:r>
      <w:bookmarkEnd w:id="47"/>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bore hole privy on the site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Heading5"/>
        <w:rPr>
          <w:snapToGrid w:val="0"/>
        </w:rPr>
      </w:pPr>
      <w:bookmarkStart w:id="48" w:name="_Toc472004399"/>
      <w:r>
        <w:rPr>
          <w:rStyle w:val="CharSectno"/>
        </w:rPr>
        <w:t>34</w:t>
      </w:r>
      <w:r>
        <w:rPr>
          <w:snapToGrid w:val="0"/>
        </w:rPr>
        <w:t>.</w:t>
      </w:r>
      <w:r>
        <w:rPr>
          <w:snapToGrid w:val="0"/>
        </w:rPr>
        <w:tab/>
        <w:t>Removal of a bore hole privy</w:t>
      </w:r>
      <w:bookmarkEnd w:id="48"/>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49" w:name="_Toc472004400"/>
      <w:r>
        <w:rPr>
          <w:rStyle w:val="CharSectno"/>
        </w:rPr>
        <w:t>35</w:t>
      </w:r>
      <w:r>
        <w:rPr>
          <w:snapToGrid w:val="0"/>
        </w:rPr>
        <w:t>.</w:t>
      </w:r>
      <w:r>
        <w:rPr>
          <w:snapToGrid w:val="0"/>
        </w:rPr>
        <w:tab/>
        <w:t>Offences and penalties</w:t>
      </w:r>
      <w:bookmarkEnd w:id="49"/>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471914861"/>
      <w:bookmarkStart w:id="51" w:name="_Toc472004401"/>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Health (Temporary Sanitary Conveniences) Regulations 1997</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52" w:name="_Toc472004402"/>
      <w:r>
        <w:rPr>
          <w:snapToGrid w:val="0"/>
        </w:rPr>
        <w:t>Compilation table</w:t>
      </w:r>
      <w:bookmarkEnd w:id="5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single" w:sz="4" w:space="0" w:color="auto"/>
            </w:tcBorders>
          </w:tcPr>
          <w:p>
            <w:pPr>
              <w:pStyle w:val="nTable"/>
              <w:spacing w:after="40"/>
            </w:pPr>
            <w:r>
              <w:rPr>
                <w:i/>
              </w:rPr>
              <w:t>Health (Temporary Sanitary Conveniences) Amendment Regulations 2013</w:t>
            </w:r>
          </w:p>
        </w:tc>
        <w:tc>
          <w:tcPr>
            <w:tcW w:w="1276" w:type="dxa"/>
            <w:tcBorders>
              <w:top w:val="nil"/>
              <w:bottom w:val="single" w:sz="4" w:space="0" w:color="auto"/>
            </w:tcBorders>
          </w:tcPr>
          <w:p>
            <w:pPr>
              <w:pStyle w:val="nTable"/>
              <w:spacing w:after="40"/>
            </w:pPr>
            <w:r>
              <w:t>14 Nov 2013 p. 5045</w:t>
            </w:r>
          </w:p>
        </w:tc>
        <w:tc>
          <w:tcPr>
            <w:tcW w:w="2693" w:type="dxa"/>
            <w:tcBorders>
              <w:top w:val="nil"/>
              <w:bottom w:val="single" w:sz="4" w:space="0" w:color="auto"/>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53" w:name="_Toc471896878"/>
      <w:bookmarkStart w:id="54" w:name="_Toc471906155"/>
      <w:bookmarkStart w:id="55" w:name="_Toc472004403"/>
      <w:r>
        <w:t>Provisions that have not come into operation</w:t>
      </w:r>
      <w:bookmarkEnd w:id="53"/>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23 </w:t>
            </w:r>
            <w:r>
              <w:rPr>
                <w:vertAlign w:val="superscript"/>
              </w:rPr>
              <w:t>3</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23</w:t>
      </w:r>
      <w:r>
        <w:rPr>
          <w:snapToGrid w:val="0"/>
        </w:rPr>
        <w:t xml:space="preserve"> had not come into operation.  It reads as follows:</w:t>
      </w:r>
    </w:p>
    <w:p>
      <w:pPr>
        <w:pStyle w:val="BlankOpen"/>
        <w:rPr>
          <w:snapToGrid w:val="0"/>
        </w:rPr>
      </w:pPr>
    </w:p>
    <w:p>
      <w:pPr>
        <w:pStyle w:val="nzHeading2"/>
      </w:pPr>
      <w:r>
        <w:rPr>
          <w:rStyle w:val="CharPartNo"/>
        </w:rPr>
        <w:t>Part 23</w:t>
      </w:r>
      <w:r>
        <w:rPr>
          <w:rStyle w:val="CharDivNo"/>
        </w:rPr>
        <w:t> </w:t>
      </w:r>
      <w:r>
        <w:t>—</w:t>
      </w:r>
      <w:r>
        <w:rPr>
          <w:rStyle w:val="CharDivText"/>
        </w:rPr>
        <w:t> </w:t>
      </w:r>
      <w:r>
        <w:rPr>
          <w:rStyle w:val="CharPartText"/>
          <w:i/>
        </w:rPr>
        <w:t>Health (Temporary Sanitary Conveniences) Regulations 1997</w:t>
      </w:r>
      <w:r>
        <w:rPr>
          <w:rStyle w:val="CharPartText"/>
        </w:rPr>
        <w:t xml:space="preserve"> amended</w:t>
      </w:r>
    </w:p>
    <w:p>
      <w:pPr>
        <w:pStyle w:val="nzHeading5"/>
        <w:rPr>
          <w:snapToGrid w:val="0"/>
        </w:rPr>
      </w:pPr>
      <w:r>
        <w:rPr>
          <w:rStyle w:val="CharSectno"/>
        </w:rPr>
        <w:t>79</w:t>
      </w:r>
      <w:r>
        <w:rPr>
          <w:snapToGrid w:val="0"/>
        </w:rPr>
        <w:t>.</w:t>
      </w:r>
      <w:r>
        <w:rPr>
          <w:snapToGrid w:val="0"/>
        </w:rPr>
        <w:tab/>
        <w:t>Regulations amended</w:t>
      </w:r>
    </w:p>
    <w:p>
      <w:pPr>
        <w:pStyle w:val="nzSubsection"/>
      </w:pPr>
      <w:r>
        <w:tab/>
      </w:r>
      <w:r>
        <w:tab/>
        <w:t xml:space="preserve">This Part amends the </w:t>
      </w:r>
      <w:r>
        <w:rPr>
          <w:i/>
        </w:rPr>
        <w:t>Health (Temporary Sanitary Conveniences) Regulations 1997</w:t>
      </w:r>
      <w:r>
        <w:t>.</w:t>
      </w:r>
    </w:p>
    <w:p>
      <w:pPr>
        <w:pStyle w:val="nzHeading5"/>
      </w:pPr>
      <w:r>
        <w:rPr>
          <w:rStyle w:val="CharSectno"/>
        </w:rPr>
        <w:t>80</w:t>
      </w:r>
      <w:r>
        <w:t>.</w:t>
      </w:r>
      <w:r>
        <w:tab/>
        <w:t>Regulation 5 amended</w:t>
      </w:r>
    </w:p>
    <w:p>
      <w:pPr>
        <w:pStyle w:val="nzSubsection"/>
      </w:pPr>
      <w:r>
        <w:tab/>
      </w:r>
      <w:r>
        <w:tab/>
        <w:t>In regulation 5(2) delete “Executive Director” and insert:</w:t>
      </w:r>
    </w:p>
    <w:p>
      <w:pPr>
        <w:pStyle w:val="BlankOpen"/>
      </w:pPr>
    </w:p>
    <w:p>
      <w:pPr>
        <w:pStyle w:val="nzSubsection"/>
      </w:pPr>
      <w:r>
        <w:tab/>
      </w:r>
      <w:r>
        <w:tab/>
        <w:t>Chief Health Officer</w:t>
      </w:r>
    </w:p>
    <w:p>
      <w:pPr>
        <w:pStyle w:val="BlankClose"/>
      </w:pPr>
    </w:p>
    <w:p>
      <w:pPr>
        <w:pStyle w:val="nzHeading5"/>
      </w:pPr>
      <w:r>
        <w:rPr>
          <w:rStyle w:val="CharSectno"/>
        </w:rPr>
        <w:t>81</w:t>
      </w:r>
      <w:r>
        <w:t>.</w:t>
      </w:r>
      <w:r>
        <w:tab/>
        <w:t>Regulation 6 amended</w:t>
      </w:r>
    </w:p>
    <w:p>
      <w:pPr>
        <w:pStyle w:val="nzSubsection"/>
      </w:pPr>
      <w:r>
        <w:tab/>
      </w:r>
      <w:r>
        <w:tab/>
        <w:t>In regulation 6(2) delete “Executive Director” and insert:</w:t>
      </w:r>
    </w:p>
    <w:p>
      <w:pPr>
        <w:pStyle w:val="BlankOpen"/>
      </w:pPr>
    </w:p>
    <w:p>
      <w:pPr>
        <w:pStyle w:val="nzSubsection"/>
      </w:pPr>
      <w:r>
        <w:tab/>
      </w:r>
      <w:r>
        <w:tab/>
        <w:t>Chief Health Officer</w:t>
      </w:r>
    </w:p>
    <w:p>
      <w:pPr>
        <w:pStyle w:val="BlankClose"/>
      </w:pPr>
    </w:p>
    <w:p>
      <w:pPr>
        <w:pStyle w:val="nzHeading5"/>
      </w:pPr>
      <w:r>
        <w:rPr>
          <w:rStyle w:val="CharSectno"/>
        </w:rPr>
        <w:t>82</w:t>
      </w:r>
      <w:r>
        <w:t>.</w:t>
      </w:r>
      <w:r>
        <w:tab/>
        <w:t>Regulation 32 amended</w:t>
      </w:r>
    </w:p>
    <w:p>
      <w:pPr>
        <w:pStyle w:val="nzSubsection"/>
      </w:pPr>
      <w:r>
        <w:tab/>
      </w:r>
      <w:r>
        <w:tab/>
        <w:t>In regulation 32(2) delete “environmental health officer.” and insert:</w:t>
      </w:r>
    </w:p>
    <w:p>
      <w:pPr>
        <w:pStyle w:val="BlankOpen"/>
      </w:pPr>
    </w:p>
    <w:p>
      <w:pPr>
        <w:pStyle w:val="nzSubsection"/>
      </w:pPr>
      <w:r>
        <w:tab/>
      </w:r>
      <w:r>
        <w:tab/>
        <w:t>authorised officer.</w:t>
      </w:r>
    </w:p>
    <w:p>
      <w:pPr>
        <w:pStyle w:val="BlankClose"/>
      </w:pPr>
    </w:p>
    <w:p>
      <w:pPr>
        <w:pStyle w:val="nzHeading5"/>
      </w:pPr>
      <w:r>
        <w:rPr>
          <w:rStyle w:val="CharSectno"/>
        </w:rPr>
        <w:t>83</w:t>
      </w:r>
      <w:r>
        <w:t>.</w:t>
      </w:r>
      <w:r>
        <w:tab/>
        <w:t>Regulation 33 amended</w:t>
      </w:r>
    </w:p>
    <w:p>
      <w:pPr>
        <w:pStyle w:val="nzSubsection"/>
      </w:pPr>
      <w:r>
        <w:tab/>
      </w:r>
      <w:r>
        <w:tab/>
        <w:t>In regulation 33(2) delete “environmental health officer.” and insert:</w:t>
      </w:r>
    </w:p>
    <w:p>
      <w:pPr>
        <w:pStyle w:val="BlankOpen"/>
      </w:pPr>
    </w:p>
    <w:p>
      <w:pPr>
        <w:pStyle w:val="nzSubsection"/>
      </w:pPr>
      <w:r>
        <w:tab/>
      </w:r>
      <w:r>
        <w:tab/>
        <w:t>authorised officer.</w:t>
      </w:r>
    </w:p>
    <w:p>
      <w:pPr>
        <w:pStyle w:val="BlankClose"/>
      </w:pPr>
    </w:p>
    <w:p>
      <w:pPr>
        <w:pStyle w:val="nzHeading5"/>
      </w:pPr>
      <w:r>
        <w:rPr>
          <w:rStyle w:val="CharSectno"/>
        </w:rPr>
        <w:t>84</w:t>
      </w:r>
      <w:r>
        <w:t>.</w:t>
      </w:r>
      <w:r>
        <w:tab/>
        <w:t>Various references to “Executive Director, Public Health” amended</w:t>
      </w:r>
    </w:p>
    <w:p>
      <w:pPr>
        <w:pStyle w:val="nzSubsection"/>
      </w:pPr>
      <w:r>
        <w:tab/>
      </w:r>
      <w:r>
        <w:tab/>
        <w:t>In the provisions listed in the Table delete “Executive Director, Public Health”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3 def. of </w:t>
            </w:r>
            <w:r>
              <w:rPr>
                <w:b/>
                <w:i/>
              </w:rPr>
              <w:t>approved form</w:t>
            </w:r>
          </w:p>
        </w:tc>
        <w:tc>
          <w:tcPr>
            <w:tcW w:w="3402" w:type="dxa"/>
          </w:tcPr>
          <w:p>
            <w:pPr>
              <w:pStyle w:val="TableAm"/>
            </w:pPr>
            <w:r>
              <w:t>r. 4(b)</w:t>
            </w:r>
          </w:p>
        </w:tc>
      </w:tr>
      <w:tr>
        <w:trPr>
          <w:cantSplit/>
          <w:jc w:val="center"/>
        </w:trPr>
        <w:tc>
          <w:tcPr>
            <w:tcW w:w="3402" w:type="dxa"/>
          </w:tcPr>
          <w:p>
            <w:pPr>
              <w:pStyle w:val="TableAm"/>
            </w:pPr>
            <w:r>
              <w:t xml:space="preserve">r. 5(1) </w:t>
            </w:r>
          </w:p>
        </w:tc>
        <w:tc>
          <w:tcPr>
            <w:tcW w:w="3402" w:type="dxa"/>
          </w:tcPr>
          <w:p>
            <w:pPr>
              <w:pStyle w:val="TableAm"/>
            </w:pPr>
            <w:r>
              <w:t>r. 6(1) and (3)</w:t>
            </w:r>
          </w:p>
        </w:tc>
      </w:tr>
      <w:tr>
        <w:trPr>
          <w:cantSplit/>
          <w:jc w:val="center"/>
        </w:trPr>
        <w:tc>
          <w:tcPr>
            <w:tcW w:w="3402" w:type="dxa"/>
          </w:tcPr>
          <w:p>
            <w:pPr>
              <w:pStyle w:val="TableAm"/>
            </w:pPr>
            <w:r>
              <w:t>r. 28(9)</w:t>
            </w:r>
          </w:p>
        </w:tc>
        <w:tc>
          <w:tcPr>
            <w:tcW w:w="3402" w:type="dxa"/>
          </w:tcPr>
          <w:p>
            <w:pPr>
              <w:pStyle w:val="TableAm"/>
            </w:pPr>
            <w:r>
              <w:t>r. 32(3)(e)(iii)</w:t>
            </w:r>
          </w:p>
        </w:tc>
      </w:tr>
    </w:tbl>
    <w:p>
      <w:pPr>
        <w:pStyle w:val="nzSectAltNote"/>
      </w:pPr>
      <w:r>
        <w:tab/>
        <w:t>Notes:</w:t>
      </w:r>
    </w:p>
    <w:p>
      <w:pPr>
        <w:pStyle w:val="nzSectAltNote"/>
      </w:pPr>
      <w:r>
        <w:tab/>
        <w:t>1.</w:t>
      </w:r>
      <w:r>
        <w:tab/>
        <w:t>The heading to amended regulation 5 is to read:</w:t>
      </w:r>
    </w:p>
    <w:p>
      <w:pPr>
        <w:pStyle w:val="nzSectAltHeading"/>
      </w:pPr>
      <w:r>
        <w:rPr>
          <w:b w:val="0"/>
        </w:rPr>
        <w:tab/>
      </w:r>
      <w:r>
        <w:rPr>
          <w:b w:val="0"/>
        </w:rPr>
        <w:tab/>
      </w:r>
      <w:r>
        <w:t>Approval by the Chief Health Officer</w:t>
      </w:r>
    </w:p>
    <w:p>
      <w:pPr>
        <w:pStyle w:val="nzSectAltNote"/>
      </w:pPr>
      <w:r>
        <w:tab/>
        <w:t>2.</w:t>
      </w:r>
      <w:r>
        <w:tab/>
        <w:t>The heading to amended regulation 6 is to read:</w:t>
      </w:r>
    </w:p>
    <w:p>
      <w:pPr>
        <w:pStyle w:val="nzSectAltHeading"/>
      </w:pPr>
      <w:r>
        <w:rPr>
          <w:b w:val="0"/>
        </w:rPr>
        <w:tab/>
      </w:r>
      <w:r>
        <w:rPr>
          <w:b w:val="0"/>
        </w:rPr>
        <w:tab/>
      </w:r>
      <w:r>
        <w:t>Certification by the Chief Health Officer</w:t>
      </w:r>
    </w:p>
    <w:p>
      <w:pPr>
        <w:pStyle w:val="BlankClose"/>
        <w:rPr>
          <w:vertAlign w:val="superscript"/>
        </w:rPr>
      </w:pPr>
    </w:p>
    <w:p>
      <w:pPr>
        <w:pStyle w:val="nSubsectio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7" w:name="_Toc471914864"/>
      <w:bookmarkStart w:id="58" w:name="_Toc472004404"/>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responsible person</w:t>
      </w:r>
      <w:r>
        <w:tab/>
        <w:t>31</w:t>
      </w:r>
    </w:p>
    <w:p>
      <w:pPr>
        <w:pStyle w:val="DefinedTerms"/>
      </w:pPr>
      <w:r>
        <w:t>storey</w:t>
      </w:r>
      <w:r>
        <w:tab/>
        <w:t>21(3)</w:t>
      </w:r>
    </w:p>
    <w:p>
      <w:pPr>
        <w:pStyle w:val="DefinedTerms"/>
      </w:pPr>
      <w:r>
        <w:t>temporary toilet</w:t>
      </w:r>
      <w:r>
        <w:tab/>
        <w:t>2</w:t>
      </w:r>
    </w:p>
    <w:p>
      <w:pPr>
        <w:pStyle w:val="DefinedTerms"/>
      </w:pPr>
      <w:r>
        <w:t>the formula</w:t>
      </w:r>
      <w:r>
        <w:tab/>
        <w:t>8(1)</w:t>
      </w:r>
    </w:p>
    <w:p>
      <w:pPr>
        <w:pStyle w:val="DefinedTerms"/>
      </w:pPr>
      <w:r>
        <w:t>the standard</w:t>
      </w:r>
      <w:r>
        <w:tab/>
        <w:t>8(1)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415"/>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 w:name="WAFER_20170111161415" w:val="RemoveTocBookmarks,RemoveUnusedBookmarks,RemoveLanguageTags,UsedStyles,ResetPageSize"/>
    <w:docVar w:name="WAFER_20170111161415_GUID" w:val="2f7480a9-c5ae-424a-a0ac-2c2187e37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3892</Words>
  <Characters>18452</Characters>
  <Application>Microsoft Office Word</Application>
  <DocSecurity>0</DocSecurity>
  <Lines>615</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21898</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1997 - 01-c0-00</dc:title>
  <dc:subject/>
  <dc:creator/>
  <cp:keywords/>
  <dc:description/>
  <cp:lastModifiedBy>svcMRProcess</cp:lastModifiedBy>
  <cp:revision>4</cp:revision>
  <cp:lastPrinted>2004-03-22T07:13:00Z</cp:lastPrinted>
  <dcterms:created xsi:type="dcterms:W3CDTF">2018-09-12T06:39:00Z</dcterms:created>
  <dcterms:modified xsi:type="dcterms:W3CDTF">2018-09-12T06:39:00Z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DocumentType">
    <vt:lpwstr>Reg</vt:lpwstr>
  </property>
  <property fmtid="{D5CDD505-2E9C-101B-9397-08002B2CF9AE}" pid="4" name="OwlsUID">
    <vt:i4>4495</vt:i4>
  </property>
  <property fmtid="{D5CDD505-2E9C-101B-9397-08002B2CF9AE}" pid="5" name="AsAtDate">
    <vt:lpwstr>10 Jan 2017</vt:lpwstr>
  </property>
  <property fmtid="{D5CDD505-2E9C-101B-9397-08002B2CF9AE}" pid="6" name="Suffix">
    <vt:lpwstr>01-c0-00</vt:lpwstr>
  </property>
  <property fmtid="{D5CDD505-2E9C-101B-9397-08002B2CF9AE}" pid="7" name="CommencementDate">
    <vt:lpwstr>20170110</vt:lpwstr>
  </property>
</Properties>
</file>