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_Toc472004829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_Toc472004830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_Toc472004831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developmental anomaly</w:t>
      </w:r>
      <w:r>
        <w:tab/>
      </w:r>
      <w:r>
        <w:fldChar w:fldCharType="begin"/>
      </w:r>
      <w:r>
        <w:instrText xml:space="preserve"> PAGEREF _Toc472004832 \h </w:instrText>
      </w:r>
      <w:r>
        <w:fldChar w:fldCharType="separate"/>
      </w:r>
      <w:r>
        <w:t>2</w:t>
      </w:r>
      <w:r>
        <w:fldChar w:fldCharType="end"/>
      </w:r>
    </w:p>
    <w:p>
      <w:pPr>
        <w:pStyle w:val="TOC8"/>
        <w:rPr>
          <w:rFonts w:asciiTheme="minorHAnsi" w:eastAsiaTheme="minorEastAsia" w:hAnsiTheme="minorHAnsi" w:cstheme="minorBidi"/>
          <w:szCs w:val="22"/>
        </w:rPr>
      </w:pPr>
      <w:r>
        <w:t>5.</w:t>
      </w:r>
      <w:r>
        <w:tab/>
        <w:t>Developmental anomaly a prescribed condition of health</w:t>
      </w:r>
      <w:r>
        <w:tab/>
      </w:r>
      <w:r>
        <w:fldChar w:fldCharType="begin"/>
      </w:r>
      <w:r>
        <w:instrText xml:space="preserve"> PAGEREF _Toc472004833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developmental anomalies</w:t>
      </w:r>
    </w:p>
    <w:p>
      <w:pPr>
        <w:pStyle w:val="TOC8"/>
        <w:rPr>
          <w:rFonts w:asciiTheme="minorHAnsi" w:eastAsiaTheme="minorEastAsia" w:hAnsiTheme="minorHAnsi" w:cstheme="minorBidi"/>
          <w:szCs w:val="22"/>
        </w:rPr>
      </w:pPr>
      <w:r>
        <w:t>6.</w:t>
      </w:r>
      <w:r>
        <w:tab/>
        <w:t>Notification of diagnosis of developmental anomaly</w:t>
      </w:r>
      <w:r>
        <w:tab/>
      </w:r>
      <w:r>
        <w:fldChar w:fldCharType="begin"/>
      </w:r>
      <w:r>
        <w:instrText xml:space="preserve"> PAGEREF _Toc472004835 \h </w:instrText>
      </w:r>
      <w:r>
        <w:fldChar w:fldCharType="separate"/>
      </w:r>
      <w:r>
        <w:t>4</w:t>
      </w:r>
      <w:r>
        <w:fldChar w:fldCharType="end"/>
      </w:r>
    </w:p>
    <w:p>
      <w:pPr>
        <w:pStyle w:val="TOC8"/>
        <w:rPr>
          <w:rFonts w:asciiTheme="minorHAnsi" w:eastAsiaTheme="minorEastAsia" w:hAnsiTheme="minorHAnsi" w:cstheme="minorBidi"/>
          <w:szCs w:val="22"/>
        </w:rPr>
      </w:pPr>
      <w:r>
        <w:t>7.</w:t>
      </w:r>
      <w:r>
        <w:tab/>
        <w:t>EDPH may require information</w:t>
      </w:r>
      <w:r>
        <w:tab/>
      </w:r>
      <w:r>
        <w:fldChar w:fldCharType="begin"/>
      </w:r>
      <w:r>
        <w:instrText xml:space="preserve"> PAGEREF _Toc472004836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Register of Developmental Anomalies</w:t>
      </w:r>
    </w:p>
    <w:p>
      <w:pPr>
        <w:pStyle w:val="TOC8"/>
        <w:rPr>
          <w:rFonts w:asciiTheme="minorHAnsi" w:eastAsiaTheme="minorEastAsia" w:hAnsiTheme="minorHAnsi" w:cstheme="minorBidi"/>
          <w:szCs w:val="22"/>
        </w:rPr>
      </w:pPr>
      <w:r>
        <w:t>8.</w:t>
      </w:r>
      <w:r>
        <w:tab/>
        <w:t>Western Australian Register of Developmental Anomalies</w:t>
      </w:r>
      <w:r>
        <w:tab/>
      </w:r>
      <w:r>
        <w:fldChar w:fldCharType="begin"/>
      </w:r>
      <w:r>
        <w:instrText xml:space="preserve"> PAGEREF _Toc472004838 \h </w:instrText>
      </w:r>
      <w:r>
        <w:fldChar w:fldCharType="separate"/>
      </w:r>
      <w:r>
        <w:t>6</w:t>
      </w:r>
      <w:r>
        <w:fldChar w:fldCharType="end"/>
      </w:r>
    </w:p>
    <w:p>
      <w:pPr>
        <w:pStyle w:val="TOC8"/>
        <w:rPr>
          <w:rFonts w:asciiTheme="minorHAnsi" w:eastAsiaTheme="minorEastAsia" w:hAnsiTheme="minorHAnsi" w:cstheme="minorBidi"/>
          <w:szCs w:val="22"/>
        </w:rPr>
      </w:pPr>
      <w:r>
        <w:t>9.</w:t>
      </w:r>
      <w:r>
        <w:tab/>
        <w:t>Offence to disclose information without authority</w:t>
      </w:r>
      <w:r>
        <w:tab/>
      </w:r>
      <w:r>
        <w:fldChar w:fldCharType="begin"/>
      </w:r>
      <w:r>
        <w:instrText xml:space="preserve"> PAGEREF _Toc472004839 \h </w:instrText>
      </w:r>
      <w:r>
        <w:fldChar w:fldCharType="separate"/>
      </w:r>
      <w:r>
        <w:t>7</w:t>
      </w:r>
      <w:r>
        <w:fldChar w:fldCharType="end"/>
      </w:r>
    </w:p>
    <w:p>
      <w:pPr>
        <w:pStyle w:val="TOC8"/>
        <w:rPr>
          <w:rFonts w:asciiTheme="minorHAnsi" w:eastAsiaTheme="minorEastAsia" w:hAnsiTheme="minorHAnsi" w:cstheme="minorBidi"/>
          <w:szCs w:val="22"/>
        </w:rPr>
      </w:pPr>
      <w:r>
        <w:t>10.</w:t>
      </w:r>
      <w:r>
        <w:tab/>
        <w:t>EDPH may authorise disclosure of information</w:t>
      </w:r>
      <w:r>
        <w:tab/>
      </w:r>
      <w:r>
        <w:fldChar w:fldCharType="begin"/>
      </w:r>
      <w:r>
        <w:instrText xml:space="preserve"> PAGEREF _Toc472004840 \h </w:instrText>
      </w:r>
      <w:r>
        <w:fldChar w:fldCharType="separate"/>
      </w:r>
      <w:r>
        <w:t>7</w:t>
      </w:r>
      <w:r>
        <w:fldChar w:fldCharType="end"/>
      </w:r>
    </w:p>
    <w:p>
      <w:pPr>
        <w:pStyle w:val="TOC8"/>
        <w:rPr>
          <w:rFonts w:asciiTheme="minorHAnsi" w:eastAsiaTheme="minorEastAsia" w:hAnsiTheme="minorHAnsi" w:cstheme="minorBidi"/>
          <w:szCs w:val="22"/>
        </w:rPr>
      </w:pPr>
      <w:r>
        <w:t>11.</w:t>
      </w:r>
      <w:r>
        <w:tab/>
        <w:t>Right to know of information on the register</w:t>
      </w:r>
      <w:r>
        <w:tab/>
      </w:r>
      <w:r>
        <w:fldChar w:fldCharType="begin"/>
      </w:r>
      <w:r>
        <w:instrText xml:space="preserve"> PAGEREF _Toc472004841 \h </w:instrText>
      </w:r>
      <w:r>
        <w:fldChar w:fldCharType="separate"/>
      </w:r>
      <w:r>
        <w:t>8</w:t>
      </w:r>
      <w:r>
        <w:fldChar w:fldCharType="end"/>
      </w:r>
    </w:p>
    <w:p>
      <w:pPr>
        <w:pStyle w:val="TOC8"/>
        <w:rPr>
          <w:rFonts w:asciiTheme="minorHAnsi" w:eastAsiaTheme="minorEastAsia" w:hAnsiTheme="minorHAnsi" w:cstheme="minorBidi"/>
          <w:szCs w:val="22"/>
        </w:rPr>
      </w:pPr>
      <w:r>
        <w:t>12.</w:t>
      </w:r>
      <w:r>
        <w:tab/>
        <w:t>Identifying information may be removed from register</w:t>
      </w:r>
      <w:r>
        <w:tab/>
      </w:r>
      <w:r>
        <w:fldChar w:fldCharType="begin"/>
      </w:r>
      <w:r>
        <w:instrText xml:space="preserve"> PAGEREF _Toc472004842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under a legal disability</w:t>
      </w:r>
      <w:r>
        <w:tab/>
      </w:r>
      <w:r>
        <w:fldChar w:fldCharType="begin"/>
      </w:r>
      <w:r>
        <w:instrText xml:space="preserve"> PAGEREF _Toc472004843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_Toc472004845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_Toc472004846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Health (Western Australian Register of Developmental Anomalies) Regulations 2010</w:t>
      </w:r>
    </w:p>
    <w:p>
      <w:pPr>
        <w:pStyle w:val="Heading2"/>
        <w:keepNext w:val="0"/>
        <w:pageBreakBefore w:val="0"/>
        <w:spacing w:before="240"/>
      </w:pPr>
      <w:bookmarkStart w:id="3" w:name="_Toc471916306"/>
      <w:bookmarkStart w:id="4" w:name="_Toc472004828"/>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004829"/>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7" w:name="_Toc47200483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472004831"/>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health service provider for the hospital or the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EDPH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EDPH</w:t>
      </w:r>
      <w:r>
        <w:t xml:space="preserve"> means the Executive Director, Public Health;</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pPr>
      <w:r>
        <w:tab/>
        <w:t>[Regulation 3 amended in Gazette 24 Jun 2016 p. 2314.]</w:t>
      </w:r>
    </w:p>
    <w:p>
      <w:pPr>
        <w:pStyle w:val="Heading5"/>
        <w:rPr>
          <w:snapToGrid w:val="0"/>
        </w:rPr>
      </w:pPr>
      <w:bookmarkStart w:id="9" w:name="_Toc472004832"/>
      <w:r>
        <w:rPr>
          <w:rStyle w:val="CharSectno"/>
        </w:rPr>
        <w:t>4</w:t>
      </w:r>
      <w:r>
        <w:rPr>
          <w:snapToGrid w:val="0"/>
        </w:rPr>
        <w:t>.</w:t>
      </w:r>
      <w:r>
        <w:rPr>
          <w:snapToGrid w:val="0"/>
        </w:rPr>
        <w:tab/>
        <w:t>Term used: developmental anomaly</w:t>
      </w:r>
      <w:bookmarkEnd w:id="9"/>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10" w:name="_Toc472004833"/>
      <w:r>
        <w:rPr>
          <w:rStyle w:val="CharSectno"/>
        </w:rPr>
        <w:t>5</w:t>
      </w:r>
      <w:r>
        <w:t>.</w:t>
      </w:r>
      <w:r>
        <w:tab/>
        <w:t>Developmental anomaly a prescribed condition of health</w:t>
      </w:r>
      <w:bookmarkEnd w:id="10"/>
    </w:p>
    <w:p>
      <w:pPr>
        <w:pStyle w:val="Subsection"/>
      </w:pPr>
      <w:r>
        <w:rPr>
          <w:snapToGrid w:val="0"/>
        </w:rPr>
        <w:tab/>
      </w:r>
      <w:r>
        <w:rPr>
          <w:snapToGrid w:val="0"/>
        </w:rPr>
        <w:tab/>
        <w:t>Developmental anomaly is prescribed as a condition of health to which Part IXA of the Act applies.</w:t>
      </w:r>
    </w:p>
    <w:p>
      <w:pPr>
        <w:pStyle w:val="Heading2"/>
      </w:pPr>
      <w:bookmarkStart w:id="11" w:name="_Toc471916312"/>
      <w:bookmarkStart w:id="12" w:name="_Toc472004834"/>
      <w:r>
        <w:rPr>
          <w:rStyle w:val="CharPartNo"/>
        </w:rPr>
        <w:t>Part 2</w:t>
      </w:r>
      <w:r>
        <w:rPr>
          <w:rStyle w:val="CharDivNo"/>
        </w:rPr>
        <w:t> </w:t>
      </w:r>
      <w:r>
        <w:t>—</w:t>
      </w:r>
      <w:r>
        <w:rPr>
          <w:rStyle w:val="CharDivText"/>
        </w:rPr>
        <w:t> </w:t>
      </w:r>
      <w:r>
        <w:rPr>
          <w:rStyle w:val="CharPartText"/>
        </w:rPr>
        <w:t>Notification of developmental anomalies</w:t>
      </w:r>
      <w:bookmarkEnd w:id="11"/>
      <w:bookmarkEnd w:id="12"/>
    </w:p>
    <w:p>
      <w:pPr>
        <w:pStyle w:val="Heading5"/>
      </w:pPr>
      <w:bookmarkStart w:id="13" w:name="_Toc472004835"/>
      <w:r>
        <w:rPr>
          <w:rStyle w:val="CharSectno"/>
        </w:rPr>
        <w:t>6</w:t>
      </w:r>
      <w:r>
        <w:t>.</w:t>
      </w:r>
      <w:r>
        <w:tab/>
        <w:t>Notification of diagnosis of developmental anomaly</w:t>
      </w:r>
      <w:bookmarkEnd w:id="13"/>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EDPH to be notified of the diagnosis, and to be provided with information relating to the diagnosis, in such form as the EDPH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Heading5"/>
      </w:pPr>
      <w:bookmarkStart w:id="14" w:name="_Toc472004836"/>
      <w:r>
        <w:rPr>
          <w:rStyle w:val="CharSectno"/>
        </w:rPr>
        <w:t>7</w:t>
      </w:r>
      <w:r>
        <w:t>.</w:t>
      </w:r>
      <w:r>
        <w:tab/>
        <w:t>EDPH may require information</w:t>
      </w:r>
      <w:bookmarkEnd w:id="14"/>
    </w:p>
    <w:p>
      <w:pPr>
        <w:pStyle w:val="Subsection"/>
        <w:rPr>
          <w:snapToGrid w:val="0"/>
        </w:rPr>
      </w:pPr>
      <w:r>
        <w:rPr>
          <w:snapToGrid w:val="0"/>
        </w:rPr>
        <w:tab/>
        <w:t>(1)</w:t>
      </w:r>
      <w:r>
        <w:rPr>
          <w:snapToGrid w:val="0"/>
        </w:rPr>
        <w:tab/>
        <w:t>If the EDPH is aware of a child with a developmental anomaly, the EDPH may request a medical practitioner or a chief executive officer of a hospital to notify the EDPH in writing of any information specified by the EDPH 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2"/>
      </w:pPr>
      <w:bookmarkStart w:id="15" w:name="_Toc471916315"/>
      <w:bookmarkStart w:id="16" w:name="_Toc472004837"/>
      <w:r>
        <w:rPr>
          <w:rStyle w:val="CharPartNo"/>
        </w:rPr>
        <w:t>Part 3</w:t>
      </w:r>
      <w:r>
        <w:rPr>
          <w:rStyle w:val="CharDivNo"/>
        </w:rPr>
        <w:t> </w:t>
      </w:r>
      <w:r>
        <w:t>—</w:t>
      </w:r>
      <w:r>
        <w:rPr>
          <w:rStyle w:val="CharDivText"/>
        </w:rPr>
        <w:t> </w:t>
      </w:r>
      <w:r>
        <w:rPr>
          <w:rStyle w:val="CharPartText"/>
        </w:rPr>
        <w:t>Western Australian Register of Developmental Anomalies</w:t>
      </w:r>
      <w:bookmarkEnd w:id="15"/>
      <w:bookmarkEnd w:id="16"/>
    </w:p>
    <w:p>
      <w:pPr>
        <w:pStyle w:val="Heading5"/>
      </w:pPr>
      <w:bookmarkStart w:id="17" w:name="_Toc472004838"/>
      <w:r>
        <w:rPr>
          <w:rStyle w:val="CharSectno"/>
        </w:rPr>
        <w:t>8</w:t>
      </w:r>
      <w:r>
        <w:t>.</w:t>
      </w:r>
      <w:r>
        <w:tab/>
        <w:t>Western Australian Register of Developmental Anomalies</w:t>
      </w:r>
      <w:bookmarkEnd w:id="17"/>
    </w:p>
    <w:p>
      <w:pPr>
        <w:pStyle w:val="Subsection"/>
        <w:rPr>
          <w:snapToGrid w:val="0"/>
        </w:rPr>
      </w:pPr>
      <w:r>
        <w:rPr>
          <w:snapToGrid w:val="0"/>
        </w:rPr>
        <w:tab/>
        <w:t>(1)</w:t>
      </w:r>
      <w:r>
        <w:rPr>
          <w:snapToGrid w:val="0"/>
        </w:rPr>
        <w:tab/>
        <w:t>The EDPH 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18" w:name="_Toc472004839"/>
      <w:r>
        <w:rPr>
          <w:rStyle w:val="CharSectno"/>
        </w:rPr>
        <w:t>9</w:t>
      </w:r>
      <w:r>
        <w:t>.</w:t>
      </w:r>
      <w:r>
        <w:tab/>
        <w:t>Offence to disclose information without authority</w:t>
      </w:r>
      <w:bookmarkEnd w:id="18"/>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19" w:name="_Toc472004840"/>
      <w:r>
        <w:rPr>
          <w:rStyle w:val="CharSectno"/>
        </w:rPr>
        <w:t>10</w:t>
      </w:r>
      <w:r>
        <w:t>.</w:t>
      </w:r>
      <w:r>
        <w:tab/>
        <w:t>EDPH may authorise disclosure of information</w:t>
      </w:r>
      <w:bookmarkEnd w:id="19"/>
    </w:p>
    <w:p>
      <w:pPr>
        <w:pStyle w:val="Subsection"/>
      </w:pPr>
      <w:r>
        <w:tab/>
        <w:t>(1)</w:t>
      </w:r>
      <w:r>
        <w:tab/>
        <w:t xml:space="preserve">The EDPH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EDPH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EDPH is satisfied that the usual place of residence of the person to whom the information relates is or was in that State or Territory.</w:t>
      </w:r>
    </w:p>
    <w:p>
      <w:pPr>
        <w:pStyle w:val="Subsection"/>
      </w:pPr>
      <w:r>
        <w:tab/>
        <w:t>(2)</w:t>
      </w:r>
      <w:r>
        <w:tab/>
        <w:t>The EDPH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Heading5"/>
      </w:pPr>
      <w:bookmarkStart w:id="20" w:name="_Toc472004841"/>
      <w:r>
        <w:rPr>
          <w:rStyle w:val="CharSectno"/>
        </w:rPr>
        <w:t>11</w:t>
      </w:r>
      <w:r>
        <w:t>.</w:t>
      </w:r>
      <w:r>
        <w:tab/>
        <w:t>Right to know of information on the register</w:t>
      </w:r>
      <w:bookmarkEnd w:id="20"/>
    </w:p>
    <w:p>
      <w:pPr>
        <w:pStyle w:val="Subsection"/>
      </w:pPr>
      <w:r>
        <w:tab/>
      </w:r>
      <w:r>
        <w:tab/>
        <w:t xml:space="preserve">On the written request of any person, the EDPH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Heading5"/>
      </w:pPr>
      <w:bookmarkStart w:id="21" w:name="_Toc472004842"/>
      <w:r>
        <w:rPr>
          <w:rStyle w:val="CharSectno"/>
        </w:rPr>
        <w:t>12</w:t>
      </w:r>
      <w:r>
        <w:t>.</w:t>
      </w:r>
      <w:r>
        <w:tab/>
        <w:t>Identifying information may be removed from register</w:t>
      </w:r>
      <w:bookmarkEnd w:id="21"/>
    </w:p>
    <w:p>
      <w:pPr>
        <w:pStyle w:val="Subsection"/>
      </w:pPr>
      <w:r>
        <w:tab/>
        <w:t>(1)</w:t>
      </w:r>
      <w:r>
        <w:tab/>
        <w:t>A person may request in writing to the EDPH that any identifying information relating to the person which, at the time of the request, has been kept on the register for a period of 6 years or more be removed.</w:t>
      </w:r>
    </w:p>
    <w:p>
      <w:pPr>
        <w:pStyle w:val="Subsection"/>
      </w:pPr>
      <w:r>
        <w:tab/>
        <w:t>(2)</w:t>
      </w:r>
      <w:r>
        <w:tab/>
        <w:t>The EDPH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Heading5"/>
      </w:pPr>
      <w:bookmarkStart w:id="22" w:name="_Toc472004843"/>
      <w:r>
        <w:rPr>
          <w:rStyle w:val="CharSectno"/>
        </w:rPr>
        <w:t>13</w:t>
      </w:r>
      <w:r>
        <w:t>.</w:t>
      </w:r>
      <w:r>
        <w:tab/>
        <w:t>Persons under a legal disability</w:t>
      </w:r>
      <w:bookmarkEnd w:id="22"/>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471916322"/>
      <w:bookmarkStart w:id="24" w:name="_Toc472004844"/>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and includes the amendments made by the other written laws referred to in the following table </w:t>
      </w:r>
      <w:r>
        <w:rPr>
          <w:vertAlign w:val="superscript"/>
        </w:rPr>
        <w:t>1a</w:t>
      </w:r>
      <w:r>
        <w:rPr>
          <w:snapToGrid w:val="0"/>
        </w:rPr>
        <w:t>.</w:t>
      </w:r>
    </w:p>
    <w:p>
      <w:pPr>
        <w:pStyle w:val="nHeading3"/>
      </w:pPr>
      <w:bookmarkStart w:id="25" w:name="_Toc472004845"/>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 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c>
          <w:tcPr>
            <w:tcW w:w="3118" w:type="dxa"/>
            <w:tcBorders>
              <w:top w:val="nil"/>
              <w:bottom w:val="single" w:sz="4" w:space="0" w:color="auto"/>
            </w:tcBorders>
          </w:tcPr>
          <w:p>
            <w:pPr>
              <w:pStyle w:val="nTable"/>
              <w:spacing w:after="40"/>
              <w:rPr>
                <w:i/>
                <w:noProof/>
                <w:snapToGrid w:val="0"/>
              </w:rPr>
            </w:pPr>
            <w:r>
              <w:rPr>
                <w:i/>
              </w:rPr>
              <w:t>Health Services (Consequential Amendments) Regulations 2016</w:t>
            </w:r>
            <w:r>
              <w:t xml:space="preserve"> Pt. 5</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rPr>
                <w:snapToGrid w:val="0"/>
                <w:spacing w:val="-2"/>
              </w:rPr>
            </w:pPr>
            <w:r>
              <w:t xml:space="preserve">1 Jul 2016 (see r. 2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6" w:name="_Toc471896878"/>
      <w:bookmarkStart w:id="27" w:name="_Toc471906155"/>
      <w:bookmarkStart w:id="28" w:name="_Toc471915710"/>
      <w:bookmarkStart w:id="29" w:name="_Toc472004846"/>
      <w:r>
        <w:t>Provisions that have not come into operation</w:t>
      </w:r>
      <w:bookmarkEnd w:id="26"/>
      <w:bookmarkEnd w:id="27"/>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27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27</w:t>
      </w:r>
      <w:r>
        <w:rPr>
          <w:snapToGrid w:val="0"/>
        </w:rPr>
        <w:t xml:space="preserve"> had not come into operation.  It reads as follows:</w:t>
      </w:r>
    </w:p>
    <w:p>
      <w:pPr>
        <w:pStyle w:val="BlankOpen"/>
        <w:rPr>
          <w:snapToGrid w:val="0"/>
        </w:rPr>
      </w:pPr>
    </w:p>
    <w:p>
      <w:pPr>
        <w:pStyle w:val="nzHeading2"/>
      </w:pPr>
      <w:r>
        <w:rPr>
          <w:rStyle w:val="CharPartNo"/>
        </w:rPr>
        <w:t>Part 27</w:t>
      </w:r>
      <w:r>
        <w:rPr>
          <w:rStyle w:val="CharDivNo"/>
        </w:rPr>
        <w:t> </w:t>
      </w:r>
      <w:r>
        <w:t>—</w:t>
      </w:r>
      <w:r>
        <w:rPr>
          <w:rStyle w:val="CharDivText"/>
        </w:rPr>
        <w:t> </w:t>
      </w:r>
      <w:r>
        <w:rPr>
          <w:rStyle w:val="CharPartText"/>
          <w:i/>
        </w:rPr>
        <w:t>Health (Western Australian Register of Developmental Anomalies) Regulations 2010</w:t>
      </w:r>
      <w:r>
        <w:rPr>
          <w:rStyle w:val="CharPartText"/>
        </w:rPr>
        <w:t xml:space="preserve"> amended</w:t>
      </w:r>
    </w:p>
    <w:p>
      <w:pPr>
        <w:pStyle w:val="nzHeading5"/>
        <w:rPr>
          <w:snapToGrid w:val="0"/>
        </w:rPr>
      </w:pPr>
      <w:r>
        <w:rPr>
          <w:rStyle w:val="CharSectno"/>
        </w:rPr>
        <w:t>102</w:t>
      </w:r>
      <w:r>
        <w:rPr>
          <w:snapToGrid w:val="0"/>
        </w:rPr>
        <w:t>.</w:t>
      </w:r>
      <w:r>
        <w:rPr>
          <w:snapToGrid w:val="0"/>
        </w:rPr>
        <w:tab/>
        <w:t>Regulations amended</w:t>
      </w:r>
    </w:p>
    <w:p>
      <w:pPr>
        <w:pStyle w:val="nzSubsection"/>
      </w:pPr>
      <w:r>
        <w:tab/>
      </w:r>
      <w:r>
        <w:tab/>
        <w:t xml:space="preserve">This Part amends the </w:t>
      </w:r>
      <w:r>
        <w:rPr>
          <w:i/>
        </w:rPr>
        <w:t>Health (Western Australian Register of Developmental Anomalies) Regulations 2010</w:t>
      </w:r>
      <w:r>
        <w:t>.</w:t>
      </w:r>
    </w:p>
    <w:p>
      <w:pPr>
        <w:pStyle w:val="nzHeading5"/>
      </w:pPr>
      <w:r>
        <w:rPr>
          <w:rStyle w:val="CharSectno"/>
        </w:rPr>
        <w:t>103</w:t>
      </w:r>
      <w:r>
        <w:t>.</w:t>
      </w:r>
      <w:r>
        <w:tab/>
        <w:t>Regulation 3 amended</w:t>
      </w:r>
    </w:p>
    <w:p>
      <w:pPr>
        <w:pStyle w:val="nzSubsection"/>
      </w:pPr>
      <w:r>
        <w:tab/>
      </w:r>
      <w:r>
        <w:tab/>
        <w:t xml:space="preserve">In regulation 3 delete the definition of </w:t>
      </w:r>
      <w:r>
        <w:rPr>
          <w:b/>
          <w:i/>
        </w:rPr>
        <w:t>EDPH</w:t>
      </w:r>
      <w:r>
        <w:t>.</w:t>
      </w:r>
    </w:p>
    <w:p>
      <w:pPr>
        <w:pStyle w:val="nzHeading5"/>
      </w:pPr>
      <w:r>
        <w:rPr>
          <w:rStyle w:val="CharSectno"/>
        </w:rPr>
        <w:t>104</w:t>
      </w:r>
      <w:r>
        <w:t>.</w:t>
      </w:r>
      <w:r>
        <w:tab/>
        <w:t>Various references to “EDPH” amended</w:t>
      </w:r>
    </w:p>
    <w:p>
      <w:pPr>
        <w:pStyle w:val="nzSubsection"/>
      </w:pPr>
      <w:r>
        <w:tab/>
      </w:r>
      <w:r>
        <w:tab/>
        <w:t>In the provisions listed in the Table delete “EDPH”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3 def. of </w:t>
            </w:r>
            <w:r>
              <w:rPr>
                <w:b/>
                <w:i/>
              </w:rPr>
              <w:t>corresponding officer</w:t>
            </w:r>
          </w:p>
        </w:tc>
        <w:tc>
          <w:tcPr>
            <w:tcW w:w="3402" w:type="dxa"/>
          </w:tcPr>
          <w:p>
            <w:pPr>
              <w:pStyle w:val="TableAm"/>
            </w:pPr>
            <w:r>
              <w:t>r. 6(2)</w:t>
            </w:r>
          </w:p>
        </w:tc>
      </w:tr>
      <w:tr>
        <w:trPr>
          <w:cantSplit/>
          <w:jc w:val="center"/>
        </w:trPr>
        <w:tc>
          <w:tcPr>
            <w:tcW w:w="3402" w:type="dxa"/>
          </w:tcPr>
          <w:p>
            <w:pPr>
              <w:pStyle w:val="TableAm"/>
            </w:pPr>
            <w:r>
              <w:t xml:space="preserve">r. 7(1) </w:t>
            </w:r>
          </w:p>
        </w:tc>
        <w:tc>
          <w:tcPr>
            <w:tcW w:w="3402" w:type="dxa"/>
          </w:tcPr>
          <w:p>
            <w:pPr>
              <w:pStyle w:val="TableAm"/>
            </w:pPr>
            <w:r>
              <w:t>r. 8(1), (3)(a) and (b) and (5)</w:t>
            </w:r>
          </w:p>
        </w:tc>
      </w:tr>
      <w:tr>
        <w:trPr>
          <w:cantSplit/>
          <w:jc w:val="center"/>
        </w:trPr>
        <w:tc>
          <w:tcPr>
            <w:tcW w:w="3402" w:type="dxa"/>
          </w:tcPr>
          <w:p>
            <w:pPr>
              <w:pStyle w:val="TableAm"/>
            </w:pPr>
            <w:r>
              <w:t>r. 10(1) and (2)</w:t>
            </w:r>
          </w:p>
        </w:tc>
        <w:tc>
          <w:tcPr>
            <w:tcW w:w="3402" w:type="dxa"/>
          </w:tcPr>
          <w:p>
            <w:pPr>
              <w:pStyle w:val="TableAm"/>
            </w:pPr>
            <w:r>
              <w:t>r. 11</w:t>
            </w:r>
          </w:p>
        </w:tc>
      </w:tr>
      <w:tr>
        <w:trPr>
          <w:cantSplit/>
          <w:jc w:val="center"/>
        </w:trPr>
        <w:tc>
          <w:tcPr>
            <w:tcW w:w="3402" w:type="dxa"/>
          </w:tcPr>
          <w:p>
            <w:pPr>
              <w:pStyle w:val="TableAm"/>
            </w:pPr>
            <w:r>
              <w:t>r. 12(1) and (2)</w:t>
            </w:r>
          </w:p>
        </w:tc>
        <w:tc>
          <w:tcPr>
            <w:tcW w:w="3402" w:type="dxa"/>
          </w:tcPr>
          <w:p>
            <w:pPr>
              <w:pStyle w:val="TableAm"/>
            </w:pPr>
          </w:p>
        </w:tc>
      </w:tr>
    </w:tbl>
    <w:p>
      <w:pPr>
        <w:pStyle w:val="nzSectAltNote"/>
      </w:pPr>
      <w:r>
        <w:tab/>
        <w:t>Notes:</w:t>
      </w:r>
    </w:p>
    <w:p>
      <w:pPr>
        <w:pStyle w:val="nzSectAltNote"/>
      </w:pPr>
      <w:r>
        <w:tab/>
        <w:t>1.</w:t>
      </w:r>
      <w:r>
        <w:tab/>
        <w:t>The heading to amended regulation 7 is to read:</w:t>
      </w:r>
    </w:p>
    <w:p>
      <w:pPr>
        <w:pStyle w:val="nzSectAltHeading"/>
      </w:pPr>
      <w:r>
        <w:rPr>
          <w:b w:val="0"/>
        </w:rPr>
        <w:tab/>
      </w:r>
      <w:r>
        <w:t>Chief Health Officer may require information</w:t>
      </w:r>
    </w:p>
    <w:p>
      <w:pPr>
        <w:pStyle w:val="nzSectAltNote"/>
      </w:pPr>
      <w:r>
        <w:tab/>
        <w:t>2.</w:t>
      </w:r>
      <w:r>
        <w:tab/>
        <w:t>The heading to amended regulation 10 is to read:</w:t>
      </w:r>
    </w:p>
    <w:p>
      <w:pPr>
        <w:pStyle w:val="nzSectAltHeading"/>
      </w:pPr>
      <w:r>
        <w:rPr>
          <w:b w:val="0"/>
        </w:rPr>
        <w:tab/>
      </w:r>
      <w:r>
        <w:t>Chief Health Officer may authorise disclosure of information</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471916325"/>
      <w:bookmarkStart w:id="32" w:name="_Toc472004847"/>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chief executive officer</w:t>
      </w:r>
      <w:r>
        <w:tab/>
        <w:t>3</w:t>
      </w:r>
    </w:p>
    <w:p>
      <w:pPr>
        <w:pStyle w:val="DefinedTerms"/>
      </w:pPr>
      <w:r>
        <w:t>child</w:t>
      </w:r>
      <w:r>
        <w:tab/>
        <w:t>3</w:t>
      </w:r>
    </w:p>
    <w:p>
      <w:pPr>
        <w:pStyle w:val="DefinedTerms"/>
      </w:pPr>
      <w:r>
        <w:t>corresponding officer</w:t>
      </w:r>
      <w:r>
        <w:tab/>
        <w:t>3</w:t>
      </w:r>
    </w:p>
    <w:p>
      <w:pPr>
        <w:pStyle w:val="DefinedTerms"/>
      </w:pPr>
      <w:r>
        <w:t>developmental anomaly</w:t>
      </w:r>
      <w:r>
        <w:tab/>
        <w:t>3, 4(1)</w:t>
      </w:r>
    </w:p>
    <w:p>
      <w:pPr>
        <w:pStyle w:val="DefinedTerms"/>
      </w:pPr>
      <w:r>
        <w:t>EDPH</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register</w:t>
      </w:r>
      <w:r>
        <w:tab/>
        <w:t>3</w:t>
      </w:r>
    </w:p>
    <w:p>
      <w:pPr>
        <w:pStyle w:val="DefinedTerms"/>
      </w:pPr>
      <w:r>
        <w:t>responsible person</w:t>
      </w:r>
      <w:r>
        <w:tab/>
        <w:t>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8C8EC"/>
    <w:lvl w:ilvl="0">
      <w:start w:val="1"/>
      <w:numFmt w:val="decimal"/>
      <w:lvlText w:val="%1."/>
      <w:lvlJc w:val="left"/>
      <w:pPr>
        <w:tabs>
          <w:tab w:val="num" w:pos="1492"/>
        </w:tabs>
        <w:ind w:left="1492" w:hanging="360"/>
      </w:pPr>
    </w:lvl>
  </w:abstractNum>
  <w:abstractNum w:abstractNumId="1">
    <w:nsid w:val="FFFFFF7D"/>
    <w:multiLevelType w:val="singleLevel"/>
    <w:tmpl w:val="84E8446C"/>
    <w:lvl w:ilvl="0">
      <w:start w:val="1"/>
      <w:numFmt w:val="decimal"/>
      <w:lvlText w:val="%1."/>
      <w:lvlJc w:val="left"/>
      <w:pPr>
        <w:tabs>
          <w:tab w:val="num" w:pos="1209"/>
        </w:tabs>
        <w:ind w:left="1209" w:hanging="360"/>
      </w:pPr>
    </w:lvl>
  </w:abstractNum>
  <w:abstractNum w:abstractNumId="2">
    <w:nsid w:val="FFFFFF7E"/>
    <w:multiLevelType w:val="singleLevel"/>
    <w:tmpl w:val="EEA01596"/>
    <w:lvl w:ilvl="0">
      <w:start w:val="1"/>
      <w:numFmt w:val="decimal"/>
      <w:lvlText w:val="%1."/>
      <w:lvlJc w:val="left"/>
      <w:pPr>
        <w:tabs>
          <w:tab w:val="num" w:pos="926"/>
        </w:tabs>
        <w:ind w:left="926" w:hanging="360"/>
      </w:pPr>
    </w:lvl>
  </w:abstractNum>
  <w:abstractNum w:abstractNumId="3">
    <w:nsid w:val="FFFFFF7F"/>
    <w:multiLevelType w:val="singleLevel"/>
    <w:tmpl w:val="3F702006"/>
    <w:lvl w:ilvl="0">
      <w:start w:val="1"/>
      <w:numFmt w:val="decimal"/>
      <w:lvlText w:val="%1."/>
      <w:lvlJc w:val="left"/>
      <w:pPr>
        <w:tabs>
          <w:tab w:val="num" w:pos="643"/>
        </w:tabs>
        <w:ind w:left="643" w:hanging="360"/>
      </w:pPr>
    </w:lvl>
  </w:abstractNum>
  <w:abstractNum w:abstractNumId="4">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03E52"/>
    <w:lvl w:ilvl="0">
      <w:start w:val="1"/>
      <w:numFmt w:val="decimal"/>
      <w:lvlText w:val="%1."/>
      <w:lvlJc w:val="left"/>
      <w:pPr>
        <w:tabs>
          <w:tab w:val="num" w:pos="360"/>
        </w:tabs>
        <w:ind w:left="360" w:hanging="360"/>
      </w:pPr>
    </w:lvl>
  </w:abstractNum>
  <w:abstractNum w:abstractNumId="9">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3946"/>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 w:name="WAFER_20170111163946" w:val="RemoveTocBookmarks,RemoveUnusedBookmarks,RemoveLanguageTags,UsedStyles,ResetPageSize"/>
    <w:docVar w:name="WAFER_20170111163946_GUID" w:val="5607e58a-3844-48fc-b4ab-2b7a3ef25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2124</Words>
  <Characters>10982</Characters>
  <Application>Microsoft Office Word</Application>
  <DocSecurity>0</DocSecurity>
  <Lines>354</Lines>
  <Paragraphs>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2010 - 00-c0-00</dc:title>
  <dc:subject/>
  <dc:creator/>
  <cp:keywords/>
  <dc:description/>
  <cp:lastModifiedBy>svcMRProcess</cp:lastModifiedBy>
  <cp:revision>4</cp:revision>
  <cp:lastPrinted>2016-06-30T07:44:00Z</cp:lastPrinted>
  <dcterms:created xsi:type="dcterms:W3CDTF">2017-01-12T10:04:00Z</dcterms:created>
  <dcterms:modified xsi:type="dcterms:W3CDTF">2017-01-12T10:04:00Z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