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_Toc472089625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_Toc472089626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_Toc472089627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_Toc472089628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_Toc472089629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_Toc472089630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_Toc472089631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_Toc472089632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_Toc472089633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_Toc472089634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_Toc472089635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_Toc472089636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_Toc472089637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_Toc472089638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_Toc472089639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_Toc472089640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_Toc472089641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_Toc472089642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_Toc472089643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_Toc472089644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_Toc472089645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_Toc472089646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_Toc472089647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_Toc472089648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_Toc472089649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_Toc472089650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_Toc472089651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_Toc472089652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_Toc472089653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_Toc472089654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_Toc472089655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_Toc472089656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_Toc472089657 \h </w:instrText>
      </w:r>
      <w:r>
        <w:fldChar w:fldCharType="separate"/>
      </w:r>
      <w:r>
        <w:t>21</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_Toc472089658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_Toc472089659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_Toc472089660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_Toc472089661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_Toc472089662 \h </w:instrText>
      </w:r>
      <w:r>
        <w:fldChar w:fldCharType="separate"/>
      </w:r>
      <w:r>
        <w:t>25</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_Toc472089663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_Toc472089665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_Toc472089666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_Toc472089667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_Toc472089668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_Toc472089669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_Toc472089670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_Toc472089671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_Toc472089673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_Toc472089674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472089625"/>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2089626"/>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472089627"/>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6" w:name="_Toc472089628"/>
      <w:r>
        <w:rPr>
          <w:rStyle w:val="CharSectno"/>
        </w:rPr>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472089629"/>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8" w:name="_Toc472089630"/>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9" w:name="_Toc472089631"/>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0" w:name="_Toc472089632"/>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p>
    <w:p>
      <w:pPr>
        <w:pStyle w:val="Heading5"/>
      </w:pPr>
      <w:bookmarkStart w:id="11" w:name="_Toc472089633"/>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12" w:name="_Toc472089634"/>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472089635"/>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3"/>
    </w:p>
    <w:p>
      <w:pPr>
        <w:pStyle w:val="Subsection"/>
      </w:pPr>
      <w:r>
        <w:tab/>
      </w:r>
      <w:r>
        <w:tab/>
        <w:t>For the purposes of section 8 of the Act, 1 February 2005 is specified.</w:t>
      </w:r>
    </w:p>
    <w:p>
      <w:pPr>
        <w:pStyle w:val="Heading5"/>
      </w:pPr>
      <w:bookmarkStart w:id="14" w:name="_Toc472089636"/>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15" w:name="_Toc472089637"/>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16" w:name="_Toc472089638"/>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472089639"/>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472089640"/>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472089641"/>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20" w:name="_Toc472089642"/>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472089643"/>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22" w:name="_Toc472089644"/>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23" w:name="_Toc472089645"/>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24" w:name="_Toc472089646"/>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472089647"/>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a control order made under the Child Sex Offenders Registration Act 2006 (South Australia) Part 5C;</w:t>
      </w:r>
    </w:p>
    <w:p>
      <w:pPr>
        <w:pStyle w:val="Indenta"/>
      </w:pPr>
      <w:r>
        <w:tab/>
        <w:t>(f)</w:t>
      </w:r>
      <w:r>
        <w:tab/>
        <w:t>a restraining order made under the Summary Procedure Act 1921 (South Australia) section 99AA(1)(a)(i).</w:t>
      </w:r>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26" w:name="_Toc472089648"/>
      <w:r>
        <w:rPr>
          <w:rStyle w:val="CharSectno"/>
        </w:rPr>
        <w:t>22</w:t>
      </w:r>
      <w:r>
        <w:t>.</w:t>
      </w:r>
      <w:r>
        <w:tab/>
        <w:t>Application for recognition of corresponding protection orders (s. 108(2)(a))</w:t>
      </w:r>
      <w:bookmarkEnd w:id="2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27" w:name="_Toc472089649"/>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28" w:name="_Toc472089650"/>
      <w:r>
        <w:rPr>
          <w:rStyle w:val="CharSectno"/>
        </w:rPr>
        <w:t>24</w:t>
      </w:r>
      <w:r>
        <w:t>.</w:t>
      </w:r>
      <w:r>
        <w:tab/>
        <w:t>Effect of recognition of corresponding protection orders (s. 108(2)(d))</w:t>
      </w:r>
      <w:bookmarkEnd w:id="2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29" w:name="_Toc472089651"/>
      <w:r>
        <w:rPr>
          <w:rStyle w:val="CharSectno"/>
        </w:rPr>
        <w:t>25</w:t>
      </w:r>
      <w:r>
        <w:t>.</w:t>
      </w:r>
      <w:r>
        <w:tab/>
        <w:t>Variation or revocation of recognised order in a foreign jurisdiction</w:t>
      </w:r>
      <w:bookmarkEnd w:id="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30" w:name="_Toc472089652"/>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31" w:name="_Toc472089653"/>
      <w:r>
        <w:rPr>
          <w:rStyle w:val="CharSectno"/>
        </w:rPr>
        <w:t>26B</w:t>
      </w:r>
      <w:r>
        <w:t>.</w:t>
      </w:r>
      <w:r>
        <w:tab/>
        <w:t>Reports by persons providing assessment or administering treatment (s. 94A(5)(c))</w:t>
      </w:r>
      <w:bookmarkEnd w:id="31"/>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32" w:name="_Toc472089654"/>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33" w:name="_Toc472089655"/>
      <w:r>
        <w:rPr>
          <w:rStyle w:val="CharSectno"/>
        </w:rPr>
        <w:t>26D</w:t>
      </w:r>
      <w:r>
        <w:t>.</w:t>
      </w:r>
      <w:r>
        <w:tab/>
        <w:t>Manner of conducting breath test (s. 94B(8)(b))</w:t>
      </w:r>
      <w:bookmarkEnd w:id="3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34" w:name="_Toc472089656"/>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35" w:name="_Toc472089657"/>
      <w:r>
        <w:rPr>
          <w:rStyle w:val="CharSectno"/>
        </w:rPr>
        <w:t>26F</w:t>
      </w:r>
      <w:r>
        <w:t>.</w:t>
      </w:r>
      <w:r>
        <w:tab/>
        <w:t>Manner of taking sample of blood or collecting sample of urine (s. 94B(8)(b))</w:t>
      </w:r>
      <w:bookmarkEnd w:id="35"/>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36" w:name="_Toc472089658"/>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37" w:name="_Toc472089659"/>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38" w:name="_Toc472089660"/>
      <w:r>
        <w:rPr>
          <w:rStyle w:val="CharSectno"/>
        </w:rPr>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39" w:name="_Toc472089661"/>
      <w:r>
        <w:rPr>
          <w:rStyle w:val="CharSectno"/>
        </w:rPr>
        <w:t>26J</w:t>
      </w:r>
      <w:r>
        <w:t>.</w:t>
      </w:r>
      <w:r>
        <w:tab/>
        <w:t>Testing of equipment used in conducting breath tests (s. 94B(8)(g))</w:t>
      </w:r>
      <w:bookmarkEnd w:id="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40" w:name="_Toc472089662"/>
      <w:r>
        <w:rPr>
          <w:rStyle w:val="CharSectno"/>
        </w:rPr>
        <w:t>26K</w:t>
      </w:r>
      <w:r>
        <w:t>.</w:t>
      </w:r>
      <w:r>
        <w:tab/>
        <w:t>Certificate evidence (s. 94B(8)(i))</w:t>
      </w:r>
      <w:bookmarkEnd w:id="40"/>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41" w:name="_Toc472089663"/>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71996620"/>
      <w:bookmarkStart w:id="43" w:name="_Toc472086249"/>
      <w:bookmarkStart w:id="44" w:name="_Toc472089664"/>
      <w:r>
        <w:rPr>
          <w:rStyle w:val="CharSchNo"/>
        </w:rPr>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26]</w:t>
      </w:r>
    </w:p>
    <w:p>
      <w:pPr>
        <w:pStyle w:val="yFootnotesection"/>
      </w:pPr>
      <w:r>
        <w:tab/>
        <w:t>[Heading inserted in Gazette 9 Dec 2005 p. 5888; amended in Gazette 1 Jun 2007 p. 2528.]</w:t>
      </w:r>
    </w:p>
    <w:p>
      <w:pPr>
        <w:pStyle w:val="yHeading5"/>
        <w:spacing w:after="80"/>
      </w:pPr>
      <w:bookmarkStart w:id="45" w:name="_Toc472089665"/>
      <w:r>
        <w:rPr>
          <w:rStyle w:val="CharSClsNo"/>
        </w:rPr>
        <w:t>1</w:t>
      </w:r>
      <w:r>
        <w:t>.</w:t>
      </w:r>
      <w:r>
        <w:tab/>
        <w:t>Summons: Application for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46" w:name="_Toc472089666"/>
      <w:r>
        <w:rPr>
          <w:rStyle w:val="CharSClsNo"/>
        </w:rPr>
        <w:t>2</w:t>
      </w:r>
      <w:r>
        <w:t>.</w:t>
      </w:r>
      <w:r>
        <w:tab/>
        <w:t>Summons: Further hearing after interim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47" w:name="_Toc472089667"/>
      <w:r>
        <w:rPr>
          <w:rStyle w:val="CharSClsNo"/>
        </w:rPr>
        <w:t>3</w:t>
      </w:r>
      <w:r>
        <w:t>.</w:t>
      </w:r>
      <w:r>
        <w:tab/>
        <w:t>Summons: Application to vary or revoke child protection order</w:t>
      </w:r>
      <w:bookmarkEnd w:id="4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48" w:name="_Toc472089668"/>
      <w:r>
        <w:rPr>
          <w:rStyle w:val="CharSClsNo"/>
        </w:rPr>
        <w:t>4</w:t>
      </w:r>
      <w:r>
        <w:t>.</w:t>
      </w:r>
      <w:r>
        <w:tab/>
        <w:t>Certificate of authorised breath tester (r. 26D(8))</w:t>
      </w:r>
      <w:bookmarkEnd w:id="48"/>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49" w:name="_Toc472089669"/>
      <w:r>
        <w:rPr>
          <w:rStyle w:val="CharSClsNo"/>
        </w:rPr>
        <w:t>5</w:t>
      </w:r>
      <w:r>
        <w:t>.</w:t>
      </w:r>
      <w:r>
        <w:tab/>
        <w:t>Request to take sample of blood or urine (r. 26F(2))</w:t>
      </w:r>
      <w:bookmarkEnd w:id="4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50" w:name="_Toc472089670"/>
      <w:r>
        <w:rPr>
          <w:rStyle w:val="CharSClsNo"/>
        </w:rPr>
        <w:t>6</w:t>
      </w:r>
      <w:r>
        <w:t>.</w:t>
      </w:r>
      <w:r>
        <w:tab/>
        <w:t>Certificate of authorised sample collector (r. 26G(5))</w:t>
      </w:r>
      <w:bookmarkEnd w:id="50"/>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51" w:name="_Toc472089671"/>
      <w:r>
        <w:rPr>
          <w:rStyle w:val="CharSClsNo"/>
        </w:rPr>
        <w:t>7</w:t>
      </w:r>
      <w:r>
        <w:t>.</w:t>
      </w:r>
      <w:r>
        <w:tab/>
        <w:t>Certificate of analyst (r. 26I(3))</w:t>
      </w:r>
      <w:bookmarkEnd w:id="51"/>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53" w:name="_Toc471996628"/>
      <w:bookmarkStart w:id="54" w:name="_Toc472086257"/>
      <w:bookmarkStart w:id="55" w:name="_Toc472089672"/>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6" w:name="_Toc472089673"/>
      <w: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tcBorders>
              <w:bottom w:val="single" w:sz="4" w:space="0" w:color="auto"/>
            </w:tcBorders>
            <w:shd w:val="clear" w:color="auto" w:fill="auto"/>
          </w:tcPr>
          <w:p>
            <w:pPr>
              <w:pStyle w:val="nTable"/>
              <w:spacing w:after="40"/>
            </w:pPr>
            <w:r>
              <w:rPr>
                <w:i/>
              </w:rPr>
              <w:t xml:space="preserve">Community Protection (Offender Reporting) Amendment Regulations 2017 </w:t>
            </w:r>
            <w:r>
              <w:t>(other than r. 4(2))</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472089674"/>
      <w:r>
        <w:t>Provisions that have not come into operation</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8" w:space="0" w:color="auto"/>
              <w:right w:val="nil"/>
            </w:tcBorders>
            <w:hideMark/>
          </w:tcPr>
          <w:p>
            <w:pPr>
              <w:pStyle w:val="nTable"/>
              <w:spacing w:after="40"/>
            </w:pPr>
            <w:r>
              <w:rPr>
                <w:i/>
              </w:rPr>
              <w:t xml:space="preserve">Police Service Regulations Amendment (Public Health) Regulations 2016 </w:t>
            </w:r>
            <w:r>
              <w:t>Pt. 2 </w:t>
            </w:r>
            <w:r>
              <w:rPr>
                <w:vertAlign w:val="superscript"/>
              </w:rPr>
              <w:t>4</w:t>
            </w:r>
          </w:p>
        </w:tc>
        <w:tc>
          <w:tcPr>
            <w:tcW w:w="1276" w:type="dxa"/>
            <w:tcBorders>
              <w:top w:val="single" w:sz="8" w:space="0" w:color="auto"/>
              <w:left w:val="nil"/>
              <w:bottom w:val="single" w:sz="8" w:space="0" w:color="auto"/>
              <w:right w:val="nil"/>
            </w:tcBorders>
            <w:hideMark/>
          </w:tcPr>
          <w:p>
            <w:pPr>
              <w:pStyle w:val="nTable"/>
              <w:spacing w:after="40"/>
            </w:pPr>
            <w:r>
              <w:t>10 Jan 2017 p. 221-4</w:t>
            </w:r>
          </w:p>
        </w:tc>
        <w:tc>
          <w:tcPr>
            <w:tcW w:w="2693" w:type="dxa"/>
            <w:tcBorders>
              <w:top w:val="single" w:sz="8" w:space="0" w:color="auto"/>
              <w:left w:val="nil"/>
              <w:bottom w:val="single" w:sz="8" w:space="0" w:color="auto"/>
              <w:right w:val="nil"/>
            </w:tcBorders>
            <w:hideMark/>
          </w:tcPr>
          <w:p>
            <w:pPr>
              <w:pStyle w:val="nTable"/>
              <w:spacing w:after="40"/>
            </w:pPr>
            <w:r>
              <w:t xml:space="preserve">24 Jan 2017 (see r. 2(b) and </w:t>
            </w:r>
            <w:r>
              <w:rPr>
                <w:i/>
              </w:rPr>
              <w:t>Gazette</w:t>
            </w:r>
            <w:r>
              <w:t xml:space="preserve"> 10 Jan 2017 p. 165)</w:t>
            </w:r>
          </w:p>
        </w:tc>
      </w:tr>
      <w:tr>
        <w:tc>
          <w:tcPr>
            <w:tcW w:w="3118" w:type="dxa"/>
            <w:tcBorders>
              <w:top w:val="single" w:sz="8" w:space="0" w:color="auto"/>
              <w:left w:val="nil"/>
              <w:bottom w:val="single" w:sz="4" w:space="0" w:color="auto"/>
              <w:right w:val="nil"/>
            </w:tcBorders>
          </w:tcPr>
          <w:p>
            <w:pPr>
              <w:pStyle w:val="nTable"/>
              <w:spacing w:after="40"/>
              <w:rPr>
                <w:i/>
              </w:rPr>
            </w:pPr>
            <w:r>
              <w:rPr>
                <w:i/>
              </w:rPr>
              <w:t>Community Protection (Offender Reporting) Amendment Regulations 2017 </w:t>
            </w:r>
            <w:r>
              <w:rPr>
                <w:vertAlign w:val="superscript"/>
              </w:rPr>
              <w:t>5</w:t>
            </w:r>
            <w:r>
              <w:t>r. 4(2)</w:t>
            </w:r>
          </w:p>
        </w:tc>
        <w:tc>
          <w:tcPr>
            <w:tcW w:w="1276" w:type="dxa"/>
            <w:tcBorders>
              <w:top w:val="single" w:sz="8" w:space="0" w:color="auto"/>
              <w:left w:val="nil"/>
              <w:bottom w:val="single" w:sz="4" w:space="0" w:color="auto"/>
              <w:right w:val="nil"/>
            </w:tcBorders>
          </w:tcPr>
          <w:p>
            <w:pPr>
              <w:pStyle w:val="nTable"/>
              <w:spacing w:after="40"/>
            </w:pPr>
            <w:r>
              <w:rPr>
                <w:rFonts w:ascii="Times" w:hAnsi="Times"/>
              </w:rPr>
              <w:t>13 Jan 2017 p. 359</w:t>
            </w:r>
            <w:r>
              <w:rPr>
                <w:rFonts w:ascii="Times" w:hAnsi="Times"/>
              </w:rPr>
              <w:noBreakHyphen/>
              <w:t>60</w:t>
            </w:r>
          </w:p>
        </w:tc>
        <w:tc>
          <w:tcPr>
            <w:tcW w:w="2693" w:type="dxa"/>
            <w:tcBorders>
              <w:top w:val="single" w:sz="8" w:space="0" w:color="auto"/>
              <w:left w:val="nil"/>
              <w:bottom w:val="single" w:sz="4" w:space="0" w:color="auto"/>
              <w:right w:val="nil"/>
            </w:tcBorders>
          </w:tcPr>
          <w:p>
            <w:pPr>
              <w:pStyle w:val="nTable"/>
              <w:spacing w:after="40"/>
            </w:pPr>
            <w:r>
              <w:t>1 Feb 2017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Police Service Regulations Amendment (Public Health) Regulations 2016</w:t>
      </w:r>
      <w:r>
        <w:t xml:space="preserve"> Pt. 2</w:t>
      </w:r>
      <w:r>
        <w:rPr>
          <w:snapToGrid w:val="0"/>
        </w:rPr>
        <w:t xml:space="preserve"> had not come into operation.  It reads as follows:</w:t>
      </w:r>
    </w:p>
    <w:p>
      <w:pPr>
        <w:pStyle w:val="BlankOpen"/>
      </w:pPr>
    </w:p>
    <w:p>
      <w:pPr>
        <w:pStyle w:val="nzHeading2"/>
        <w:rPr>
          <w:rStyle w:val="CharDivText"/>
        </w:rPr>
      </w:pPr>
      <w:bookmarkStart w:id="58" w:name="_Toc463357923"/>
      <w:bookmarkStart w:id="59" w:name="_Toc463357937"/>
      <w:bookmarkStart w:id="60" w:name="_Toc463442477"/>
      <w:bookmarkStart w:id="61" w:name="_Toc463442491"/>
      <w:bookmarkStart w:id="62" w:name="_Toc463443151"/>
      <w:bookmarkStart w:id="63" w:name="_Toc463449432"/>
      <w:bookmarkStart w:id="64" w:name="_Toc463449446"/>
      <w:bookmarkStart w:id="65" w:name="_Toc463452591"/>
      <w:bookmarkStart w:id="66" w:name="_Toc463518925"/>
      <w:bookmarkStart w:id="67" w:name="_Toc463526247"/>
      <w:bookmarkStart w:id="68" w:name="_Toc463531919"/>
      <w:bookmarkStart w:id="69" w:name="_Toc463531933"/>
      <w:bookmarkStart w:id="70" w:name="_Toc463533088"/>
      <w:bookmarkStart w:id="71" w:name="_Toc464474549"/>
      <w:bookmarkStart w:id="72" w:name="_Toc464550555"/>
      <w:bookmarkStart w:id="73" w:name="_Toc464555918"/>
      <w:bookmarkStart w:id="74" w:name="_Toc464556358"/>
      <w:bookmarkStart w:id="75" w:name="_Toc465778620"/>
      <w:bookmarkStart w:id="76" w:name="_Toc465778634"/>
      <w:bookmarkStart w:id="77" w:name="_Toc465846796"/>
      <w:r>
        <w:rPr>
          <w:rStyle w:val="CharPartNo"/>
        </w:rPr>
        <w:t>Part 2</w:t>
      </w:r>
      <w:r>
        <w:rPr>
          <w:rStyle w:val="CharDivNo"/>
        </w:rPr>
        <w:t> </w:t>
      </w:r>
      <w:r>
        <w:t>—</w:t>
      </w:r>
      <w:r>
        <w:rPr>
          <w:rStyle w:val="CharDivText"/>
        </w:rPr>
        <w:t> </w:t>
      </w:r>
      <w:r>
        <w:rPr>
          <w:rStyle w:val="CharPartText"/>
          <w:i/>
        </w:rPr>
        <w:t>Community Protection (Offender Reporting) Regulations 2004</w:t>
      </w:r>
      <w:r>
        <w:rPr>
          <w:rStyle w:val="CharPartText"/>
        </w:rPr>
        <w:t xml:space="preserve"> amended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nzHeading5"/>
        <w:rPr>
          <w:snapToGrid w:val="0"/>
        </w:rPr>
      </w:pPr>
      <w:bookmarkStart w:id="78" w:name="_Toc465846797"/>
      <w:r>
        <w:rPr>
          <w:rStyle w:val="CharSectno"/>
        </w:rPr>
        <w:t>3</w:t>
      </w:r>
      <w:r>
        <w:rPr>
          <w:snapToGrid w:val="0"/>
        </w:rPr>
        <w:t>.</w:t>
      </w:r>
      <w:r>
        <w:rPr>
          <w:snapToGrid w:val="0"/>
        </w:rPr>
        <w:tab/>
        <w:t>Regulations amended</w:t>
      </w:r>
      <w:bookmarkEnd w:id="78"/>
    </w:p>
    <w:p>
      <w:pPr>
        <w:pStyle w:val="nzSubsection"/>
      </w:pPr>
      <w:r>
        <w:tab/>
      </w:r>
      <w:r>
        <w:tab/>
        <w:t xml:space="preserve">This </w:t>
      </w:r>
      <w:r>
        <w:rPr>
          <w:spacing w:val="-2"/>
        </w:rPr>
        <w:t>Part amends</w:t>
      </w:r>
      <w:r>
        <w:t xml:space="preserve"> the </w:t>
      </w:r>
      <w:r>
        <w:rPr>
          <w:i/>
        </w:rPr>
        <w:t>Community Protection (Offender Reporting) Regulations 2004</w:t>
      </w:r>
      <w:r>
        <w:t>.</w:t>
      </w:r>
    </w:p>
    <w:p>
      <w:pPr>
        <w:pStyle w:val="nzHeading5"/>
      </w:pPr>
      <w:bookmarkStart w:id="79" w:name="_Toc465846798"/>
      <w:r>
        <w:rPr>
          <w:rStyle w:val="CharSectno"/>
        </w:rPr>
        <w:t>4</w:t>
      </w:r>
      <w:r>
        <w:t>.</w:t>
      </w:r>
      <w:r>
        <w:tab/>
        <w:t>Regulation 7 amended</w:t>
      </w:r>
      <w:bookmarkEnd w:id="79"/>
    </w:p>
    <w:p>
      <w:pPr>
        <w:pStyle w:val="nzSubsection"/>
      </w:pPr>
      <w:r>
        <w:tab/>
      </w:r>
      <w:r>
        <w:tab/>
        <w:t xml:space="preserve">In regulation 7(3) in the definition of </w:t>
      </w:r>
      <w:r>
        <w:rPr>
          <w:b/>
          <w:i/>
        </w:rPr>
        <w:t xml:space="preserve">Department of Health </w:t>
      </w:r>
      <w:r>
        <w:t>delete “</w:t>
      </w:r>
      <w:r>
        <w:rPr>
          <w:i/>
        </w:rPr>
        <w:t>Health Act 1911</w:t>
      </w:r>
      <w:r>
        <w:t>;” and insert:</w:t>
      </w:r>
    </w:p>
    <w:p>
      <w:pPr>
        <w:pStyle w:val="BlankOpen"/>
      </w:pPr>
    </w:p>
    <w:p>
      <w:pPr>
        <w:pStyle w:val="nzSubsection"/>
      </w:pPr>
      <w:r>
        <w:tab/>
      </w:r>
      <w:r>
        <w:tab/>
      </w:r>
      <w:r>
        <w:rPr>
          <w:i/>
        </w:rPr>
        <w:t>Public Health Act 2016</w:t>
      </w:r>
      <w:r>
        <w:t>;</w:t>
      </w:r>
    </w:p>
    <w:p>
      <w:pPr>
        <w:pStyle w:val="BlankClose"/>
      </w:pPr>
    </w:p>
    <w:p>
      <w:pPr>
        <w:pStyle w:val="nSubsection"/>
        <w:spacing w:before="120"/>
        <w:rPr>
          <w:i/>
        </w:rPr>
      </w:pPr>
      <w:r>
        <w:rPr>
          <w:vertAlign w:val="superscript"/>
        </w:rPr>
        <w:t>5</w:t>
      </w:r>
      <w:r>
        <w:tab/>
        <w:t xml:space="preserve">On the date as at which this compilation was prepared, </w:t>
      </w:r>
      <w:r>
        <w:rPr>
          <w:snapToGrid w:val="0"/>
        </w:rPr>
        <w:t xml:space="preserve">the </w:t>
      </w:r>
      <w:r>
        <w:rPr>
          <w:i/>
        </w:rPr>
        <w:t>Community Protection (Offender Reporting) Amendment Regulations 2017</w:t>
      </w:r>
      <w:r>
        <w:t xml:space="preserve"> r. 4(2)</w:t>
      </w:r>
      <w:r>
        <w:rPr>
          <w:snapToGrid w:val="0"/>
        </w:rPr>
        <w:t xml:space="preserve"> had not come into operation.  It reads as follows:</w:t>
      </w:r>
    </w:p>
    <w:p>
      <w:pPr>
        <w:pStyle w:val="BlankOpen"/>
      </w:pPr>
    </w:p>
    <w:p>
      <w:pPr>
        <w:pStyle w:val="nzSubsection"/>
      </w:pPr>
      <w:r>
        <w:tab/>
        <w:t>(2)</w:t>
      </w:r>
      <w:r>
        <w:tab/>
        <w:t>In regulation 21:</w:t>
      </w:r>
    </w:p>
    <w:p>
      <w:pPr>
        <w:pStyle w:val="nzIndenta"/>
      </w:pPr>
      <w:r>
        <w:tab/>
        <w:t>(a)</w:t>
      </w:r>
      <w:r>
        <w:tab/>
        <w:t>in paragraph (f) delete “section 99AA(1)(a)(i).” and insert:</w:t>
      </w:r>
    </w:p>
    <w:p>
      <w:pPr>
        <w:pStyle w:val="BlankOpen"/>
      </w:pPr>
    </w:p>
    <w:p>
      <w:pPr>
        <w:pStyle w:val="nzIndenta"/>
      </w:pPr>
      <w:r>
        <w:tab/>
      </w:r>
      <w:r>
        <w:tab/>
        <w:t>section 99AA(1)(a)(i);</w:t>
      </w:r>
    </w:p>
    <w:p>
      <w:pPr>
        <w:pStyle w:val="BlankClose"/>
      </w:pPr>
    </w:p>
    <w:p>
      <w:pPr>
        <w:pStyle w:val="nzIndenta"/>
      </w:pPr>
      <w:r>
        <w:tab/>
        <w:t>(b)</w:t>
      </w:r>
      <w:r>
        <w:tab/>
        <w:t>after paragraph (f) insert:</w:t>
      </w:r>
    </w:p>
    <w:p>
      <w:pPr>
        <w:pStyle w:val="BlankOpen"/>
      </w:pPr>
    </w:p>
    <w:p>
      <w:pPr>
        <w:pStyle w:val="nzIndenta"/>
      </w:pPr>
      <w:r>
        <w:tab/>
        <w:t>(g)</w:t>
      </w:r>
      <w:r>
        <w:tab/>
        <w:t xml:space="preserve">a prohibition order made under the </w:t>
      </w:r>
      <w:r>
        <w:rPr>
          <w:i/>
        </w:rPr>
        <w:t xml:space="preserve">Sex Offenders Registration Act 2004 </w:t>
      </w:r>
      <w:r>
        <w:t>(Victoria)</w:t>
      </w:r>
      <w:r>
        <w:rPr>
          <w:i/>
        </w:rPr>
        <w:t xml:space="preserve"> </w:t>
      </w:r>
      <w:r>
        <w:t>Part 4A.</w:t>
      </w:r>
    </w:p>
    <w:p>
      <w:pPr>
        <w:pStyle w:val="BlankClose"/>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 w:name="_Toc471996631"/>
      <w:bookmarkStart w:id="82" w:name="_Toc472086260"/>
      <w:bookmarkStart w:id="83" w:name="_Toc472089675"/>
      <w:r>
        <w:rPr>
          <w:sz w:val="28"/>
        </w:rPr>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 w:name="Schedule"/>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0FE3-1745-41E0-8764-7D695608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9185</Words>
  <Characters>50522</Characters>
  <Application>Microsoft Office Word</Application>
  <DocSecurity>0</DocSecurity>
  <Lines>1578</Lines>
  <Paragraphs>995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2004 - 03-e0-01</dc:title>
  <dc:subject/>
  <dc:creator/>
  <cp:keywords/>
  <dc:description/>
  <cp:lastModifiedBy>svcMRProcess</cp:lastModifiedBy>
  <cp:revision>4</cp:revision>
  <cp:lastPrinted>2014-04-04T05:23:00Z</cp:lastPrinted>
  <dcterms:created xsi:type="dcterms:W3CDTF">2017-01-17T04:37:00Z</dcterms:created>
  <dcterms:modified xsi:type="dcterms:W3CDTF">2017-01-17T04:37:00Z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AsAtDate">
    <vt:lpwstr>14 Jan 2017</vt:lpwstr>
  </property>
  <property fmtid="{D5CDD505-2E9C-101B-9397-08002B2CF9AE}" pid="6" name="Suffix">
    <vt:lpwstr>03-e0-01</vt:lpwstr>
  </property>
  <property fmtid="{D5CDD505-2E9C-101B-9397-08002B2CF9AE}" pid="7" name="OWLSUId">
    <vt:i4>9275</vt:i4>
  </property>
  <property fmtid="{D5CDD505-2E9C-101B-9397-08002B2CF9AE}" pid="8" name="DocumentType">
    <vt:lpwstr>Reg</vt:lpwstr>
  </property>
  <property fmtid="{D5CDD505-2E9C-101B-9397-08002B2CF9AE}" pid="9" name="CommencementDate">
    <vt:lpwstr>20170114</vt:lpwstr>
  </property>
</Properties>
</file>