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F61" w:rsidRDefault="007D7692">
      <w:pPr>
        <w:pStyle w:val="WA"/>
      </w:pPr>
      <w:bookmarkStart w:id="0" w:name="_GoBack"/>
      <w:bookmarkEnd w:id="0"/>
      <w:r>
        <w:t>Western Australia</w:t>
      </w:r>
    </w:p>
    <w:p w:rsidR="009D5F61" w:rsidRDefault="007D7692">
      <w:pPr>
        <w:pStyle w:val="NameofActRegPage1"/>
        <w:spacing w:before="3760" w:after="4200"/>
      </w:pPr>
      <w:r>
        <w:fldChar w:fldCharType="begin"/>
      </w:r>
      <w:r>
        <w:instrText xml:space="preserve"> STYLEREF "Name Of Act/Reg"</w:instrText>
      </w:r>
      <w:r>
        <w:fldChar w:fldCharType="separate"/>
      </w:r>
      <w:r w:rsidR="00FD0211">
        <w:rPr>
          <w:noProof/>
        </w:rPr>
        <w:t>Economic Regulation Authority (Transitional) Regulations 2003</w:t>
      </w:r>
      <w:r>
        <w:fldChar w:fldCharType="end"/>
      </w:r>
    </w:p>
    <w:p w:rsidR="009D5F61" w:rsidRDefault="009D5F61">
      <w:pPr>
        <w:jc w:val="center"/>
        <w:rPr>
          <w:b/>
        </w:rPr>
        <w:sectPr w:rsidR="009D5F61">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9D5F61" w:rsidRDefault="007D7692">
      <w:pPr>
        <w:pStyle w:val="WA"/>
      </w:pPr>
      <w:r>
        <w:lastRenderedPageBreak/>
        <w:t>Western Australia</w:t>
      </w:r>
    </w:p>
    <w:p w:rsidR="009D5F61" w:rsidRDefault="007D7692">
      <w:pPr>
        <w:pStyle w:val="NameofActRegPage1"/>
      </w:pPr>
      <w:r>
        <w:fldChar w:fldCharType="begin"/>
      </w:r>
      <w:r>
        <w:instrText xml:space="preserve"> STYLEREF "Name Of Act/Reg"</w:instrText>
      </w:r>
      <w:r>
        <w:fldChar w:fldCharType="separate"/>
      </w:r>
      <w:r w:rsidR="00FD0211">
        <w:rPr>
          <w:noProof/>
        </w:rPr>
        <w:t>Economic Regulation Authority (Transitional) Regulations 2003</w:t>
      </w:r>
      <w:r>
        <w:fldChar w:fldCharType="end"/>
      </w:r>
    </w:p>
    <w:p w:rsidR="009D5F61" w:rsidRDefault="007D7692">
      <w:pPr>
        <w:pStyle w:val="Arrangement"/>
      </w:pPr>
      <w:r>
        <w:t>CONTENTS</w:t>
      </w:r>
    </w:p>
    <w:p w:rsidR="009D5F61" w:rsidRDefault="007D7692">
      <w:pPr>
        <w:pStyle w:val="TOC4"/>
        <w:rPr>
          <w:noProof/>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rPr>
        <w:tab/>
        <w:t>Citation</w:t>
      </w:r>
      <w:r>
        <w:rPr>
          <w:noProof/>
        </w:rPr>
        <w:tab/>
      </w:r>
      <w:r>
        <w:rPr>
          <w:noProof/>
        </w:rPr>
        <w:fldChar w:fldCharType="begin"/>
      </w:r>
      <w:r>
        <w:rPr>
          <w:noProof/>
        </w:rPr>
        <w:instrText xml:space="preserve"> PAGEREF _Toc61063516 \h </w:instrText>
      </w:r>
      <w:r>
        <w:rPr>
          <w:noProof/>
        </w:rPr>
      </w:r>
      <w:r>
        <w:rPr>
          <w:noProof/>
        </w:rPr>
        <w:fldChar w:fldCharType="separate"/>
      </w:r>
      <w:r w:rsidR="00FD0211">
        <w:rPr>
          <w:noProof/>
        </w:rPr>
        <w:t>1</w:t>
      </w:r>
      <w:r>
        <w:rPr>
          <w:noProof/>
        </w:rPr>
        <w:fldChar w:fldCharType="end"/>
      </w:r>
    </w:p>
    <w:p w:rsidR="009D5F61" w:rsidRDefault="007D7692">
      <w:pPr>
        <w:pStyle w:val="TOC4"/>
        <w:rPr>
          <w:noProof/>
        </w:rPr>
      </w:pPr>
      <w:r>
        <w:rPr>
          <w:noProof/>
        </w:rPr>
        <w:t>2</w:t>
      </w:r>
      <w:r>
        <w:rPr>
          <w:noProof/>
          <w:spacing w:val="-2"/>
        </w:rPr>
        <w:t>.</w:t>
      </w:r>
      <w:r>
        <w:rPr>
          <w:noProof/>
        </w:rPr>
        <w:tab/>
      </w:r>
      <w:r>
        <w:rPr>
          <w:noProof/>
          <w:spacing w:val="-2"/>
        </w:rPr>
        <w:t>Commencement</w:t>
      </w:r>
      <w:r>
        <w:rPr>
          <w:noProof/>
        </w:rPr>
        <w:tab/>
      </w:r>
      <w:r>
        <w:rPr>
          <w:noProof/>
        </w:rPr>
        <w:fldChar w:fldCharType="begin"/>
      </w:r>
      <w:r>
        <w:rPr>
          <w:noProof/>
        </w:rPr>
        <w:instrText xml:space="preserve"> PAGEREF _Toc61063517 \h </w:instrText>
      </w:r>
      <w:r>
        <w:rPr>
          <w:noProof/>
        </w:rPr>
      </w:r>
      <w:r>
        <w:rPr>
          <w:noProof/>
        </w:rPr>
        <w:fldChar w:fldCharType="separate"/>
      </w:r>
      <w:r w:rsidR="00FD0211">
        <w:rPr>
          <w:noProof/>
        </w:rPr>
        <w:t>1</w:t>
      </w:r>
      <w:r>
        <w:rPr>
          <w:noProof/>
        </w:rPr>
        <w:fldChar w:fldCharType="end"/>
      </w:r>
    </w:p>
    <w:p w:rsidR="009D5F61" w:rsidRDefault="007D7692">
      <w:pPr>
        <w:pStyle w:val="TOC4"/>
        <w:rPr>
          <w:noProof/>
        </w:rPr>
      </w:pPr>
      <w:r>
        <w:rPr>
          <w:noProof/>
        </w:rPr>
        <w:t>3.</w:t>
      </w:r>
      <w:r>
        <w:rPr>
          <w:noProof/>
        </w:rPr>
        <w:tab/>
        <w:t>Terms used in these regulations</w:t>
      </w:r>
      <w:r>
        <w:rPr>
          <w:noProof/>
        </w:rPr>
        <w:tab/>
      </w:r>
      <w:r>
        <w:rPr>
          <w:noProof/>
        </w:rPr>
        <w:fldChar w:fldCharType="begin"/>
      </w:r>
      <w:r>
        <w:rPr>
          <w:noProof/>
        </w:rPr>
        <w:instrText xml:space="preserve"> PAGEREF _Toc61063518 \h </w:instrText>
      </w:r>
      <w:r>
        <w:rPr>
          <w:noProof/>
        </w:rPr>
      </w:r>
      <w:r>
        <w:rPr>
          <w:noProof/>
        </w:rPr>
        <w:fldChar w:fldCharType="separate"/>
      </w:r>
      <w:r w:rsidR="00FD0211">
        <w:rPr>
          <w:noProof/>
        </w:rPr>
        <w:t>1</w:t>
      </w:r>
      <w:r>
        <w:rPr>
          <w:noProof/>
        </w:rPr>
        <w:fldChar w:fldCharType="end"/>
      </w:r>
    </w:p>
    <w:p w:rsidR="009D5F61" w:rsidRDefault="007D7692">
      <w:pPr>
        <w:pStyle w:val="TOC4"/>
        <w:rPr>
          <w:noProof/>
        </w:rPr>
      </w:pPr>
      <w:r>
        <w:rPr>
          <w:noProof/>
        </w:rPr>
        <w:t>4.</w:t>
      </w:r>
      <w:r>
        <w:rPr>
          <w:noProof/>
        </w:rPr>
        <w:tab/>
        <w:t>Assessment and payment of standing charges for quarter beginning 1 October 2003</w:t>
      </w:r>
      <w:r>
        <w:rPr>
          <w:noProof/>
        </w:rPr>
        <w:tab/>
      </w:r>
      <w:r>
        <w:rPr>
          <w:noProof/>
        </w:rPr>
        <w:fldChar w:fldCharType="begin"/>
      </w:r>
      <w:r>
        <w:rPr>
          <w:noProof/>
        </w:rPr>
        <w:instrText xml:space="preserve"> PAGEREF _Toc61063519 \h </w:instrText>
      </w:r>
      <w:r>
        <w:rPr>
          <w:noProof/>
        </w:rPr>
      </w:r>
      <w:r>
        <w:rPr>
          <w:noProof/>
        </w:rPr>
        <w:fldChar w:fldCharType="separate"/>
      </w:r>
      <w:r w:rsidR="00FD0211">
        <w:rPr>
          <w:noProof/>
        </w:rPr>
        <w:t>2</w:t>
      </w:r>
      <w:r>
        <w:rPr>
          <w:noProof/>
        </w:rPr>
        <w:fldChar w:fldCharType="end"/>
      </w:r>
    </w:p>
    <w:p w:rsidR="009D5F61" w:rsidRDefault="007D7692">
      <w:pPr>
        <w:pStyle w:val="TOC4"/>
        <w:rPr>
          <w:noProof/>
        </w:rPr>
      </w:pPr>
      <w:r>
        <w:rPr>
          <w:noProof/>
        </w:rPr>
        <w:t>5.</w:t>
      </w:r>
      <w:r>
        <w:rPr>
          <w:noProof/>
        </w:rPr>
        <w:tab/>
        <w:t>Service charges in respect of functions performed by the Regulator</w:t>
      </w:r>
      <w:r>
        <w:rPr>
          <w:noProof/>
        </w:rPr>
        <w:tab/>
      </w:r>
      <w:r>
        <w:rPr>
          <w:noProof/>
        </w:rPr>
        <w:fldChar w:fldCharType="begin"/>
      </w:r>
      <w:r>
        <w:rPr>
          <w:noProof/>
        </w:rPr>
        <w:instrText xml:space="preserve"> PAGEREF _Toc61063520 \h </w:instrText>
      </w:r>
      <w:r>
        <w:rPr>
          <w:noProof/>
        </w:rPr>
      </w:r>
      <w:r>
        <w:rPr>
          <w:noProof/>
        </w:rPr>
        <w:fldChar w:fldCharType="separate"/>
      </w:r>
      <w:r w:rsidR="00FD0211">
        <w:rPr>
          <w:noProof/>
        </w:rPr>
        <w:t>3</w:t>
      </w:r>
      <w:r>
        <w:rPr>
          <w:noProof/>
        </w:rPr>
        <w:fldChar w:fldCharType="end"/>
      </w:r>
    </w:p>
    <w:p w:rsidR="009D5F61" w:rsidRDefault="007D7692">
      <w:pPr>
        <w:pStyle w:val="TOC4"/>
        <w:rPr>
          <w:noProof/>
        </w:rPr>
      </w:pPr>
      <w:r>
        <w:rPr>
          <w:noProof/>
        </w:rPr>
        <w:t>6.</w:t>
      </w:r>
      <w:r>
        <w:rPr>
          <w:noProof/>
        </w:rPr>
        <w:tab/>
        <w:t>Recovery of unpaid amounts</w:t>
      </w:r>
      <w:r>
        <w:rPr>
          <w:noProof/>
        </w:rPr>
        <w:tab/>
      </w:r>
      <w:r>
        <w:rPr>
          <w:noProof/>
        </w:rPr>
        <w:fldChar w:fldCharType="begin"/>
      </w:r>
      <w:r>
        <w:rPr>
          <w:noProof/>
        </w:rPr>
        <w:instrText xml:space="preserve"> PAGEREF _Toc61063521 \h </w:instrText>
      </w:r>
      <w:r>
        <w:rPr>
          <w:noProof/>
        </w:rPr>
      </w:r>
      <w:r>
        <w:rPr>
          <w:noProof/>
        </w:rPr>
        <w:fldChar w:fldCharType="separate"/>
      </w:r>
      <w:r w:rsidR="00FD0211">
        <w:rPr>
          <w:noProof/>
        </w:rPr>
        <w:t>4</w:t>
      </w:r>
      <w:r>
        <w:rPr>
          <w:noProof/>
        </w:rPr>
        <w:fldChar w:fldCharType="end"/>
      </w:r>
    </w:p>
    <w:p w:rsidR="009D5F61" w:rsidRDefault="007D7692">
      <w:pPr>
        <w:pStyle w:val="TOC4"/>
        <w:rPr>
          <w:noProof/>
        </w:rPr>
      </w:pPr>
      <w:r>
        <w:rPr>
          <w:noProof/>
        </w:rPr>
        <w:t>7.</w:t>
      </w:r>
      <w:r>
        <w:rPr>
          <w:noProof/>
        </w:rPr>
        <w:tab/>
        <w:t>Matters to be included in Authority’s report</w:t>
      </w:r>
      <w:r>
        <w:rPr>
          <w:noProof/>
        </w:rPr>
        <w:tab/>
      </w:r>
      <w:r>
        <w:rPr>
          <w:noProof/>
        </w:rPr>
        <w:fldChar w:fldCharType="begin"/>
      </w:r>
      <w:r>
        <w:rPr>
          <w:noProof/>
        </w:rPr>
        <w:instrText xml:space="preserve"> PAGEREF _Toc61063522 \h </w:instrText>
      </w:r>
      <w:r>
        <w:rPr>
          <w:noProof/>
        </w:rPr>
      </w:r>
      <w:r>
        <w:rPr>
          <w:noProof/>
        </w:rPr>
        <w:fldChar w:fldCharType="separate"/>
      </w:r>
      <w:r w:rsidR="00FD0211">
        <w:rPr>
          <w:noProof/>
        </w:rPr>
        <w:t>4</w:t>
      </w:r>
      <w:r>
        <w:rPr>
          <w:noProof/>
        </w:rPr>
        <w:fldChar w:fldCharType="end"/>
      </w:r>
    </w:p>
    <w:p w:rsidR="009D5F61" w:rsidRDefault="007D7692">
      <w:pPr>
        <w:pStyle w:val="TOC2"/>
        <w:tabs>
          <w:tab w:val="right" w:leader="dot" w:pos="7086"/>
        </w:tabs>
        <w:rPr>
          <w:noProof/>
        </w:rPr>
      </w:pPr>
      <w:r>
        <w:rPr>
          <w:noProof/>
        </w:rPr>
        <w:t>Notes</w:t>
      </w:r>
    </w:p>
    <w:p w:rsidR="009D5F61" w:rsidRDefault="007D7692">
      <w:pPr>
        <w:pStyle w:val="TOC4"/>
        <w:rPr>
          <w:noProof/>
        </w:rPr>
      </w:pPr>
      <w:r>
        <w:rPr>
          <w:noProof/>
        </w:rPr>
        <w:t>Compilation table</w:t>
      </w:r>
      <w:r>
        <w:rPr>
          <w:noProof/>
        </w:rPr>
        <w:tab/>
      </w:r>
      <w:r>
        <w:rPr>
          <w:noProof/>
        </w:rPr>
        <w:fldChar w:fldCharType="begin"/>
      </w:r>
      <w:r>
        <w:rPr>
          <w:noProof/>
        </w:rPr>
        <w:instrText xml:space="preserve"> PAGEREF _Toc61063523 \h </w:instrText>
      </w:r>
      <w:r>
        <w:rPr>
          <w:noProof/>
        </w:rPr>
      </w:r>
      <w:r>
        <w:rPr>
          <w:noProof/>
        </w:rPr>
        <w:fldChar w:fldCharType="separate"/>
      </w:r>
      <w:r w:rsidR="00FD0211">
        <w:rPr>
          <w:noProof/>
        </w:rPr>
        <w:t>5</w:t>
      </w:r>
      <w:r>
        <w:rPr>
          <w:noProof/>
        </w:rPr>
        <w:fldChar w:fldCharType="end"/>
      </w:r>
    </w:p>
    <w:p w:rsidR="009D5F61" w:rsidRDefault="007D7692">
      <w:pPr>
        <w:pStyle w:val="TOC2"/>
      </w:pPr>
      <w:r>
        <w:fldChar w:fldCharType="end"/>
      </w:r>
    </w:p>
    <w:p w:rsidR="009D5F61" w:rsidRDefault="007D769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9D5F61" w:rsidRDefault="009D5F61">
      <w:pPr>
        <w:pStyle w:val="NoteHeading"/>
        <w:sectPr w:rsidR="009D5F61">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9D5F61" w:rsidRDefault="009D5F61">
      <w:pPr>
        <w:tabs>
          <w:tab w:val="left" w:pos="2835"/>
        </w:tabs>
        <w:jc w:val="center"/>
      </w:pPr>
    </w:p>
    <w:p w:rsidR="009D5F61" w:rsidRDefault="007D7692">
      <w:pPr>
        <w:pStyle w:val="PrincipalActReg"/>
      </w:pPr>
      <w:r>
        <w:t>Economic Regulation Authority Act 2003</w:t>
      </w:r>
    </w:p>
    <w:p w:rsidR="009D5F61" w:rsidRDefault="007D7692">
      <w:pPr>
        <w:pStyle w:val="NameofActReg"/>
      </w:pPr>
      <w:r>
        <w:t>Economic Regulation Authority (Transitional) Regulations 2003</w:t>
      </w:r>
    </w:p>
    <w:p w:rsidR="009D5F61" w:rsidRDefault="007D7692">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8819960"/>
      <w:bookmarkStart w:id="8" w:name="_Toc61063516"/>
      <w:r>
        <w:rPr>
          <w:rStyle w:val="CharSectno"/>
        </w:rPr>
        <w:t>1</w:t>
      </w:r>
      <w:r>
        <w:t>.</w:t>
      </w:r>
      <w:r>
        <w:tab/>
        <w:t>Citation</w:t>
      </w:r>
      <w:bookmarkEnd w:id="1"/>
      <w:bookmarkEnd w:id="2"/>
      <w:bookmarkEnd w:id="3"/>
      <w:bookmarkEnd w:id="4"/>
      <w:bookmarkEnd w:id="5"/>
      <w:bookmarkEnd w:id="6"/>
      <w:bookmarkEnd w:id="7"/>
      <w:bookmarkEnd w:id="8"/>
    </w:p>
    <w:p w:rsidR="009D5F61" w:rsidRDefault="007D7692">
      <w:pPr>
        <w:pStyle w:val="Subsection"/>
        <w:rPr>
          <w:i/>
        </w:rPr>
      </w:pPr>
      <w:r>
        <w:tab/>
      </w:r>
      <w:r>
        <w:tab/>
      </w:r>
      <w:r>
        <w:rPr>
          <w:spacing w:val="-2"/>
        </w:rPr>
        <w:t>These</w:t>
      </w:r>
      <w:r>
        <w:t xml:space="preserve"> </w:t>
      </w:r>
      <w:r>
        <w:rPr>
          <w:spacing w:val="-2"/>
        </w:rPr>
        <w:t>regulations</w:t>
      </w:r>
      <w:r>
        <w:t xml:space="preserve"> may be cited as the </w:t>
      </w:r>
      <w:r>
        <w:rPr>
          <w:i/>
        </w:rPr>
        <w:t>Economic Regulation Authority (Transitional) Regulations 2003</w:t>
      </w:r>
      <w:r>
        <w:t>.</w:t>
      </w:r>
    </w:p>
    <w:p w:rsidR="009D5F61" w:rsidRDefault="007D7692">
      <w:pPr>
        <w:pStyle w:val="Heading5"/>
        <w:rPr>
          <w:spacing w:val="-2"/>
        </w:rPr>
      </w:pPr>
      <w:bookmarkStart w:id="9" w:name="_Toc423332723"/>
      <w:bookmarkStart w:id="10" w:name="_Toc425219442"/>
      <w:bookmarkStart w:id="11" w:name="_Toc426249309"/>
      <w:bookmarkStart w:id="12" w:name="_Toc449924705"/>
      <w:bookmarkStart w:id="13" w:name="_Toc449947723"/>
      <w:bookmarkStart w:id="14" w:name="_Toc454185714"/>
      <w:bookmarkStart w:id="15" w:name="_Toc58819961"/>
      <w:bookmarkStart w:id="16" w:name="_Toc61063517"/>
      <w:r>
        <w:rPr>
          <w:rStyle w:val="CharSectno"/>
        </w:rPr>
        <w:t>2</w:t>
      </w:r>
      <w:r>
        <w:rPr>
          <w:spacing w:val="-2"/>
        </w:rPr>
        <w:t>.</w:t>
      </w:r>
      <w:r>
        <w:rPr>
          <w:spacing w:val="-2"/>
        </w:rPr>
        <w:tab/>
        <w:t>Commencement</w:t>
      </w:r>
      <w:bookmarkEnd w:id="9"/>
      <w:bookmarkEnd w:id="10"/>
      <w:bookmarkEnd w:id="11"/>
      <w:bookmarkEnd w:id="12"/>
      <w:bookmarkEnd w:id="13"/>
      <w:bookmarkEnd w:id="14"/>
      <w:bookmarkEnd w:id="15"/>
      <w:bookmarkEnd w:id="16"/>
    </w:p>
    <w:p w:rsidR="009D5F61" w:rsidRDefault="007D7692">
      <w:pPr>
        <w:pStyle w:val="Subsection"/>
      </w:pPr>
      <w:r>
        <w:rPr>
          <w:spacing w:val="-2"/>
        </w:rPr>
        <w:tab/>
      </w:r>
      <w:r>
        <w:rPr>
          <w:spacing w:val="-2"/>
        </w:rPr>
        <w:tab/>
        <w:t>These regulations come into operation on 1 January 2004.</w:t>
      </w:r>
    </w:p>
    <w:p w:rsidR="009D5F61" w:rsidRDefault="007D7692">
      <w:pPr>
        <w:pStyle w:val="Heading5"/>
      </w:pPr>
      <w:bookmarkStart w:id="17" w:name="_Toc58819962"/>
      <w:bookmarkStart w:id="18" w:name="_Toc61063518"/>
      <w:r>
        <w:rPr>
          <w:rStyle w:val="CharSectno"/>
        </w:rPr>
        <w:t>3</w:t>
      </w:r>
      <w:r>
        <w:t>.</w:t>
      </w:r>
      <w:r>
        <w:tab/>
        <w:t>Terms used in these regulations</w:t>
      </w:r>
      <w:bookmarkEnd w:id="17"/>
      <w:bookmarkEnd w:id="18"/>
    </w:p>
    <w:p w:rsidR="009D5F61" w:rsidRDefault="007D7692">
      <w:pPr>
        <w:pStyle w:val="Subsection"/>
      </w:pPr>
      <w:r>
        <w:tab/>
        <w:t>(1)</w:t>
      </w:r>
      <w:r>
        <w:tab/>
        <w:t xml:space="preserve">In these regulations, unless the contrary intention appears — </w:t>
      </w:r>
    </w:p>
    <w:p w:rsidR="009D5F61" w:rsidRDefault="007D7692">
      <w:pPr>
        <w:pStyle w:val="Defstart"/>
      </w:pPr>
      <w:r>
        <w:rPr>
          <w:b/>
        </w:rPr>
        <w:tab/>
      </w:r>
      <w:r>
        <w:rPr>
          <w:rStyle w:val="CharDefText"/>
        </w:rPr>
        <w:t>allowed period</w:t>
      </w:r>
      <w:r>
        <w:t xml:space="preserve"> means the period referred to in regulation 4(2) or 5(6), as the case requires, or such further period as the Authority may allow;</w:t>
      </w:r>
    </w:p>
    <w:p w:rsidR="009D5F61" w:rsidRDefault="007D7692">
      <w:pPr>
        <w:pStyle w:val="Defstart"/>
      </w:pPr>
      <w:r>
        <w:rPr>
          <w:b/>
        </w:rPr>
        <w:tab/>
      </w:r>
      <w:r>
        <w:rPr>
          <w:rStyle w:val="CharDefText"/>
        </w:rPr>
        <w:t>assessment amount</w:t>
      </w:r>
      <w:r>
        <w:t xml:space="preserve"> means the total amount payable as specified in a notice of assessment under regulation 4(1)(b)(i);</w:t>
      </w:r>
    </w:p>
    <w:p w:rsidR="009D5F61" w:rsidRDefault="007D7692">
      <w:pPr>
        <w:pStyle w:val="Defstart"/>
      </w:pPr>
      <w:r>
        <w:rPr>
          <w:b/>
        </w:rPr>
        <w:tab/>
      </w:r>
      <w:r>
        <w:rPr>
          <w:rStyle w:val="CharDefText"/>
        </w:rPr>
        <w:t>commencement day</w:t>
      </w:r>
      <w:r>
        <w:t xml:space="preserve"> means 1 January 2004;</w:t>
      </w:r>
    </w:p>
    <w:p w:rsidR="009D5F61" w:rsidRDefault="007D7692">
      <w:pPr>
        <w:pStyle w:val="Defstart"/>
      </w:pPr>
      <w:r>
        <w:tab/>
      </w:r>
      <w:r>
        <w:rPr>
          <w:rStyle w:val="CharDefText"/>
        </w:rPr>
        <w:t>Gas Pipelines Access (Funding) Regulations</w:t>
      </w:r>
      <w:r>
        <w:t xml:space="preserve"> means the </w:t>
      </w:r>
      <w:r>
        <w:rPr>
          <w:i/>
        </w:rPr>
        <w:t>Gas Pipelines Access (Western Australia) (Funding) Regulations 1999</w:t>
      </w:r>
      <w:r>
        <w:t xml:space="preserve"> as in force immediately before the commencement day;</w:t>
      </w:r>
    </w:p>
    <w:p w:rsidR="009D5F61" w:rsidRDefault="007D7692">
      <w:pPr>
        <w:pStyle w:val="Defstart"/>
      </w:pPr>
      <w:r>
        <w:tab/>
      </w:r>
      <w:r>
        <w:rPr>
          <w:rStyle w:val="CharDefText"/>
        </w:rPr>
        <w:t>prescribed rate</w:t>
      </w:r>
      <w:r>
        <w:t xml:space="preserve"> means an interest rate that is 5 percentage points higher than the bank bill rate, where the bank bill rate is —</w:t>
      </w:r>
    </w:p>
    <w:p w:rsidR="009D5F61" w:rsidRDefault="007D7692">
      <w:pPr>
        <w:pStyle w:val="Defpara"/>
      </w:pPr>
      <w:r>
        <w:tab/>
        <w:t>(a)</w:t>
      </w:r>
      <w:r>
        <w:tab/>
        <w:t>the rate quoted on Telerate page 39373 as the Bank Bill Reference Rate (Mid</w:t>
      </w:r>
      <w:r>
        <w:noBreakHyphen/>
        <w:t>Rate) for a one month bill at or about 10:00 hours (Sydney time) on the first day after the allowed period; or</w:t>
      </w:r>
    </w:p>
    <w:p w:rsidR="009D5F61" w:rsidRDefault="007D7692">
      <w:pPr>
        <w:pStyle w:val="Defpara"/>
      </w:pPr>
      <w:r>
        <w:tab/>
        <w:t>(b)</w:t>
      </w:r>
      <w:r>
        <w:tab/>
        <w:t>if a rate is not quoted as described in paragraph (a), the rate determined by the Authority having regard to comparable indices then available;</w:t>
      </w:r>
    </w:p>
    <w:p w:rsidR="009D5F61" w:rsidRDefault="007D7692">
      <w:pPr>
        <w:pStyle w:val="Defstart"/>
      </w:pPr>
      <w:r>
        <w:rPr>
          <w:b/>
        </w:rPr>
        <w:tab/>
      </w:r>
      <w:r>
        <w:rPr>
          <w:rStyle w:val="CharDefText"/>
        </w:rPr>
        <w:t>service charge</w:t>
      </w:r>
      <w:r>
        <w:t xml:space="preserve"> means a charge referred to in regulation 5(1).</w:t>
      </w:r>
    </w:p>
    <w:p w:rsidR="009D5F61" w:rsidRDefault="007D7692">
      <w:pPr>
        <w:pStyle w:val="Subsection"/>
      </w:pPr>
      <w:r>
        <w:tab/>
        <w:t>(2)</w:t>
      </w:r>
      <w:r>
        <w:tab/>
        <w:t>If these regulations use a term that is used in the Gas Pipelines Access (Funding) Regulations, the term has the same meaning in these regulations as it has in the Gas Pipelines Access (Funding) Regulations, unless the contrary intention appears in these regulations.</w:t>
      </w:r>
    </w:p>
    <w:p w:rsidR="009D5F61" w:rsidRDefault="007D7692">
      <w:pPr>
        <w:pStyle w:val="Heading5"/>
      </w:pPr>
      <w:bookmarkStart w:id="19" w:name="_Toc58819963"/>
      <w:bookmarkStart w:id="20" w:name="_Toc61063519"/>
      <w:r>
        <w:rPr>
          <w:rStyle w:val="CharSectno"/>
        </w:rPr>
        <w:t>4</w:t>
      </w:r>
      <w:r>
        <w:t>.</w:t>
      </w:r>
      <w:r>
        <w:tab/>
        <w:t>Assessment and payment of standing charges for quarter beginning 1 October 2003</w:t>
      </w:r>
      <w:bookmarkEnd w:id="19"/>
      <w:bookmarkEnd w:id="20"/>
    </w:p>
    <w:p w:rsidR="009D5F61" w:rsidRDefault="007D7692">
      <w:pPr>
        <w:pStyle w:val="Subsection"/>
      </w:pPr>
      <w:r>
        <w:tab/>
        <w:t>(1)</w:t>
      </w:r>
      <w:r>
        <w:tab/>
        <w:t xml:space="preserve">As soon as practicable after the commencement day the Authority is to — </w:t>
      </w:r>
    </w:p>
    <w:p w:rsidR="009D5F61" w:rsidRDefault="007D7692">
      <w:pPr>
        <w:pStyle w:val="Indenta"/>
      </w:pPr>
      <w:r>
        <w:tab/>
        <w:t>(a)</w:t>
      </w:r>
      <w:r>
        <w:tab/>
        <w:t>assess the standing charges payable by a person under the Gas Pipelines Access (Funding) Regulations regulation 3(1) in respect of the quarter beginning on 1 October 2003; and</w:t>
      </w:r>
    </w:p>
    <w:p w:rsidR="009D5F61" w:rsidRDefault="007D7692">
      <w:pPr>
        <w:pStyle w:val="Indenta"/>
      </w:pPr>
      <w:r>
        <w:tab/>
        <w:t>(b)</w:t>
      </w:r>
      <w:r>
        <w:tab/>
        <w:t xml:space="preserve">give a notice of assessment to the person specifying — </w:t>
      </w:r>
    </w:p>
    <w:p w:rsidR="009D5F61" w:rsidRDefault="007D7692">
      <w:pPr>
        <w:pStyle w:val="Indenti"/>
      </w:pPr>
      <w:r>
        <w:tab/>
      </w:r>
      <w:bookmarkStart w:id="21" w:name="_Hlt58909503"/>
      <w:bookmarkEnd w:id="21"/>
      <w:r>
        <w:t>(i)</w:t>
      </w:r>
      <w:r>
        <w:tab/>
        <w:t>the amount of each of those charges and the total amount payable;</w:t>
      </w:r>
    </w:p>
    <w:p w:rsidR="009D5F61" w:rsidRDefault="007D7692">
      <w:pPr>
        <w:pStyle w:val="Indenti"/>
      </w:pPr>
      <w:r>
        <w:tab/>
        <w:t>(ii)</w:t>
      </w:r>
      <w:r>
        <w:tab/>
        <w:t>the amount of the core function costs used in calculating those charges; and</w:t>
      </w:r>
    </w:p>
    <w:p w:rsidR="009D5F61" w:rsidRDefault="007D7692">
      <w:pPr>
        <w:pStyle w:val="Indenti"/>
      </w:pPr>
      <w:r>
        <w:tab/>
      </w:r>
      <w:bookmarkStart w:id="22" w:name="_Hlt58909566"/>
      <w:bookmarkEnd w:id="22"/>
      <w:r>
        <w:t>(iii)</w:t>
      </w:r>
      <w:r>
        <w:tab/>
        <w:t>the day on wh</w:t>
      </w:r>
      <w:bookmarkStart w:id="23" w:name="_Hlt58909557"/>
      <w:bookmarkEnd w:id="23"/>
      <w:r>
        <w:t>ich the notice of assessment was issued.</w:t>
      </w:r>
    </w:p>
    <w:p w:rsidR="009D5F61" w:rsidRDefault="007D7692">
      <w:pPr>
        <w:pStyle w:val="Subsection"/>
      </w:pPr>
      <w:r>
        <w:tab/>
      </w:r>
      <w:bookmarkStart w:id="24" w:name="_Hlt58909484"/>
      <w:bookmarkEnd w:id="24"/>
      <w:r>
        <w:t>(2)</w:t>
      </w:r>
      <w:r>
        <w:tab/>
        <w:t>The assessment amount is payable to the Authority within 30 days after the day specified under subregulation (1)(b)(iii).</w:t>
      </w:r>
    </w:p>
    <w:p w:rsidR="009D5F61" w:rsidRDefault="007D7692">
      <w:pPr>
        <w:pStyle w:val="Subsection"/>
      </w:pPr>
      <w:r>
        <w:tab/>
        <w:t>(3)</w:t>
      </w:r>
      <w:r>
        <w:tab/>
        <w:t>If the assessment amount is not paid in full within the allowed period, interest on the outstanding amount is payable to the Authority at the prescribed rate calculated daily.</w:t>
      </w:r>
    </w:p>
    <w:p w:rsidR="009D5F61" w:rsidRDefault="007D7692">
      <w:pPr>
        <w:pStyle w:val="Heading5"/>
      </w:pPr>
      <w:bookmarkStart w:id="25" w:name="_Toc58819964"/>
      <w:bookmarkStart w:id="26" w:name="_Toc61063520"/>
      <w:r>
        <w:rPr>
          <w:rStyle w:val="CharSectno"/>
        </w:rPr>
        <w:t>5</w:t>
      </w:r>
      <w:r>
        <w:t>.</w:t>
      </w:r>
      <w:r>
        <w:tab/>
        <w:t>Service charges in respect of functions performed by the Regulator</w:t>
      </w:r>
      <w:bookmarkEnd w:id="25"/>
      <w:bookmarkEnd w:id="26"/>
    </w:p>
    <w:p w:rsidR="009D5F61" w:rsidRDefault="007D7692">
      <w:pPr>
        <w:pStyle w:val="Subsection"/>
      </w:pPr>
      <w:r>
        <w:tab/>
      </w:r>
      <w:bookmarkStart w:id="27" w:name="_Hlt58909524"/>
      <w:bookmarkEnd w:id="27"/>
      <w:r>
        <w:t>(1)</w:t>
      </w:r>
      <w:r>
        <w:tab/>
        <w:t>The Authority may give written notice to a person described in the Gas Pipelines Access (Funding) Regulations Schedule 2 requiring the person to pay a charge in connection with the performance by the Regulator before the commencement day of the corresponding function described in that Schedule or the doing of anything before the commencement day that was necessary or convenient to be done for or in connection with the performance of that function.</w:t>
      </w:r>
    </w:p>
    <w:p w:rsidR="009D5F61" w:rsidRDefault="007D7692">
      <w:pPr>
        <w:pStyle w:val="Subsection"/>
      </w:pPr>
      <w:r>
        <w:tab/>
        <w:t>(2)</w:t>
      </w:r>
      <w:r>
        <w:tab/>
        <w:t>The Authority is not to require payment of a charge under subregulation (1) in respect of a matter if payment of a charge in respect of the same matter has been required under the Gas Pipelines Access (Funding) Regulations regulation 5(1).</w:t>
      </w:r>
    </w:p>
    <w:p w:rsidR="009D5F61" w:rsidRDefault="007D7692">
      <w:pPr>
        <w:pStyle w:val="Subsection"/>
      </w:pPr>
      <w:r>
        <w:tab/>
        <w:t>(3)</w:t>
      </w:r>
      <w:r>
        <w:tab/>
        <w:t>The notice referred to in subregulation </w:t>
      </w:r>
      <w:bookmarkStart w:id="28" w:name="_Hlt58909584"/>
      <w:r>
        <w:t>(1)</w:t>
      </w:r>
      <w:bookmarkEnd w:id="28"/>
      <w:r>
        <w:t xml:space="preserve"> is to specify — </w:t>
      </w:r>
    </w:p>
    <w:p w:rsidR="009D5F61" w:rsidRDefault="007D7692">
      <w:pPr>
        <w:pStyle w:val="Indenta"/>
      </w:pPr>
      <w:r>
        <w:tab/>
        <w:t>(a)</w:t>
      </w:r>
      <w:r>
        <w:tab/>
        <w:t>the amount of the service charge; and</w:t>
      </w:r>
    </w:p>
    <w:p w:rsidR="009D5F61" w:rsidRDefault="007D7692">
      <w:pPr>
        <w:pStyle w:val="Indenta"/>
      </w:pPr>
      <w:r>
        <w:tab/>
      </w:r>
      <w:bookmarkStart w:id="29" w:name="_Hlt58909603"/>
      <w:bookmarkEnd w:id="29"/>
      <w:r>
        <w:t>(b)</w:t>
      </w:r>
      <w:r>
        <w:tab/>
        <w:t>the day on which the notice was issued.</w:t>
      </w:r>
    </w:p>
    <w:p w:rsidR="009D5F61" w:rsidRDefault="007D7692">
      <w:pPr>
        <w:pStyle w:val="Subsection"/>
      </w:pPr>
      <w:r>
        <w:tab/>
        <w:t>(4)</w:t>
      </w:r>
      <w:r>
        <w:tab/>
        <w:t>The Gas Pipelines Access (Funding) Regulations regulation 5(3) and (4) apply for the purposes of determining the amount of the service charge.</w:t>
      </w:r>
    </w:p>
    <w:p w:rsidR="009D5F61" w:rsidRDefault="007D7692">
      <w:pPr>
        <w:pStyle w:val="Subsection"/>
      </w:pPr>
      <w:r>
        <w:tab/>
        <w:t>(5)</w:t>
      </w:r>
      <w:r>
        <w:tab/>
        <w:t>The Authority is to provide the person liable to pay a service charge with an itemised account of the costs covered by the charge if the person so requests.</w:t>
      </w:r>
    </w:p>
    <w:p w:rsidR="009D5F61" w:rsidRDefault="007D7692">
      <w:pPr>
        <w:pStyle w:val="Subsection"/>
      </w:pPr>
      <w:r>
        <w:tab/>
      </w:r>
      <w:bookmarkStart w:id="30" w:name="_Hlt58909490"/>
      <w:bookmarkEnd w:id="30"/>
      <w:r>
        <w:t>(6)</w:t>
      </w:r>
      <w:r>
        <w:tab/>
        <w:t>The amount of a service charge is payable to the Authority within 30 days after the day specified under subregulation (3)(b).</w:t>
      </w:r>
    </w:p>
    <w:p w:rsidR="009D5F61" w:rsidRDefault="007D7692">
      <w:pPr>
        <w:pStyle w:val="Subsection"/>
      </w:pPr>
      <w:r>
        <w:tab/>
        <w:t>(7)</w:t>
      </w:r>
      <w:r>
        <w:tab/>
        <w:t>If the amount of a service charge is not paid in full within the allowed period, interest on the outstanding amount is payable to the Authority at the prescribed rate calculated daily.</w:t>
      </w:r>
    </w:p>
    <w:p w:rsidR="009D5F61" w:rsidRDefault="007D7692">
      <w:pPr>
        <w:pStyle w:val="Heading5"/>
      </w:pPr>
      <w:bookmarkStart w:id="31" w:name="_Toc58819965"/>
      <w:bookmarkStart w:id="32" w:name="_Toc61063521"/>
      <w:r>
        <w:rPr>
          <w:rStyle w:val="CharSectno"/>
        </w:rPr>
        <w:t>6</w:t>
      </w:r>
      <w:r>
        <w:t>.</w:t>
      </w:r>
      <w:r>
        <w:tab/>
        <w:t>Recovery of unpaid amounts</w:t>
      </w:r>
      <w:bookmarkEnd w:id="31"/>
      <w:bookmarkEnd w:id="32"/>
    </w:p>
    <w:p w:rsidR="009D5F61" w:rsidRDefault="007D7692">
      <w:pPr>
        <w:pStyle w:val="Subsection"/>
      </w:pPr>
      <w:r>
        <w:tab/>
        <w:t>(1)</w:t>
      </w:r>
      <w:r>
        <w:tab/>
        <w:t>The Authority may recover any unpaid assessment amount or service charge, together with any interest payable under these regulations, in a court of competent jurisdiction as if it were a debt due to the Authority.</w:t>
      </w:r>
    </w:p>
    <w:p w:rsidR="009D5F61" w:rsidRDefault="007D7692">
      <w:pPr>
        <w:pStyle w:val="Subsection"/>
      </w:pPr>
      <w:r>
        <w:tab/>
        <w:t>(2)</w:t>
      </w:r>
      <w:r>
        <w:tab/>
        <w:t xml:space="preserve">In proceedings under this regulation a certificate — </w:t>
      </w:r>
    </w:p>
    <w:p w:rsidR="009D5F61" w:rsidRDefault="007D7692">
      <w:pPr>
        <w:pStyle w:val="Indenta"/>
      </w:pPr>
      <w:r>
        <w:tab/>
        <w:t>(a)</w:t>
      </w:r>
      <w:r>
        <w:tab/>
        <w:t>purporting to be signed by the chairman;</w:t>
      </w:r>
    </w:p>
    <w:p w:rsidR="009D5F61" w:rsidRDefault="007D7692">
      <w:pPr>
        <w:pStyle w:val="Indenta"/>
      </w:pPr>
      <w:r>
        <w:tab/>
        <w:t>(b)</w:t>
      </w:r>
      <w:r>
        <w:tab/>
        <w:t>specifying an amount as being an assessment amount or service charge;</w:t>
      </w:r>
    </w:p>
    <w:p w:rsidR="009D5F61" w:rsidRDefault="007D7692">
      <w:pPr>
        <w:pStyle w:val="Indenta"/>
      </w:pPr>
      <w:r>
        <w:tab/>
        <w:t>(c)</w:t>
      </w:r>
      <w:r>
        <w:tab/>
        <w:t>specifying a person as being liable to pay the amount; and</w:t>
      </w:r>
    </w:p>
    <w:p w:rsidR="009D5F61" w:rsidRDefault="007D7692">
      <w:pPr>
        <w:pStyle w:val="Indenta"/>
      </w:pPr>
      <w:r>
        <w:tab/>
        <w:t>(d)</w:t>
      </w:r>
      <w:r>
        <w:tab/>
        <w:t>stating that the amount is unpaid,</w:t>
      </w:r>
    </w:p>
    <w:p w:rsidR="009D5F61" w:rsidRDefault="007D7692">
      <w:pPr>
        <w:pStyle w:val="Subsection"/>
      </w:pPr>
      <w:r>
        <w:tab/>
      </w:r>
      <w:r>
        <w:tab/>
        <w:t>is, without proof of the appointment of the chairman or of the authenticity of the signature, sufficient evidence of the matters specified or stated.</w:t>
      </w:r>
    </w:p>
    <w:p w:rsidR="009D5F61" w:rsidRDefault="007D7692">
      <w:pPr>
        <w:pStyle w:val="Heading5"/>
      </w:pPr>
      <w:bookmarkStart w:id="33" w:name="_Toc58819966"/>
      <w:bookmarkStart w:id="34" w:name="_Toc61063522"/>
      <w:r>
        <w:rPr>
          <w:rStyle w:val="CharSectno"/>
        </w:rPr>
        <w:t>7</w:t>
      </w:r>
      <w:r>
        <w:t>.</w:t>
      </w:r>
      <w:r>
        <w:tab/>
        <w:t>Matters to be included in Authority’s report</w:t>
      </w:r>
      <w:bookmarkEnd w:id="33"/>
      <w:bookmarkEnd w:id="34"/>
    </w:p>
    <w:p w:rsidR="009D5F61" w:rsidRDefault="007D7692">
      <w:pPr>
        <w:pStyle w:val="Subsection"/>
      </w:pPr>
      <w:r>
        <w:tab/>
      </w:r>
      <w:r>
        <w:tab/>
        <w:t xml:space="preserve">The annual report submitted by the Authority under the </w:t>
      </w:r>
      <w:r>
        <w:rPr>
          <w:i/>
        </w:rPr>
        <w:t>Financial Administration and Audit Act 1985</w:t>
      </w:r>
      <w:r>
        <w:t xml:space="preserve"> section 66 for the financial year ending on 30 June 2004 is to include — </w:t>
      </w:r>
    </w:p>
    <w:p w:rsidR="009D5F61" w:rsidRDefault="007D7692">
      <w:pPr>
        <w:pStyle w:val="Indenta"/>
      </w:pPr>
      <w:r>
        <w:tab/>
        <w:t>(a)</w:t>
      </w:r>
      <w:r>
        <w:tab/>
        <w:t>the total amount of standing charges paid by each person under these regulations; and</w:t>
      </w:r>
    </w:p>
    <w:p w:rsidR="009D5F61" w:rsidRDefault="007D7692">
      <w:pPr>
        <w:pStyle w:val="Indenta"/>
      </w:pPr>
      <w:r>
        <w:tab/>
        <w:t>(b)</w:t>
      </w:r>
      <w:r>
        <w:tab/>
        <w:t>the total amount of service charges paid by each service provider under these regulations.</w:t>
      </w:r>
    </w:p>
    <w:p w:rsidR="009D5F61" w:rsidRDefault="009D5F61">
      <w:pPr>
        <w:sectPr w:rsidR="009D5F61">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9D5F61" w:rsidRDefault="007D7692">
      <w:pPr>
        <w:pStyle w:val="nHeading2"/>
      </w:pPr>
      <w:r>
        <w:t>Notes</w:t>
      </w:r>
    </w:p>
    <w:p w:rsidR="009D5F61" w:rsidRDefault="007D7692">
      <w:pPr>
        <w:pStyle w:val="nSubsection"/>
        <w:rPr>
          <w:snapToGrid w:val="0"/>
        </w:rPr>
      </w:pPr>
      <w:r>
        <w:rPr>
          <w:snapToGrid w:val="0"/>
          <w:vertAlign w:val="superscript"/>
        </w:rPr>
        <w:t>1</w:t>
      </w:r>
      <w:r>
        <w:rPr>
          <w:snapToGrid w:val="0"/>
        </w:rPr>
        <w:tab/>
        <w:t xml:space="preserve">This is a compilation of the </w:t>
      </w:r>
      <w:r>
        <w:rPr>
          <w:i/>
          <w:noProof/>
          <w:snapToGrid w:val="0"/>
        </w:rPr>
        <w:t>Economic Regulation Authority (Transitional) Regulations 2003</w:t>
      </w:r>
      <w:r>
        <w:rPr>
          <w:snapToGrid w:val="0"/>
        </w:rPr>
        <w:t xml:space="preserve">.  The following table contains information about that regulation. </w:t>
      </w:r>
    </w:p>
    <w:p w:rsidR="009D5F61" w:rsidRDefault="007D7692">
      <w:pPr>
        <w:pStyle w:val="nHeading3"/>
      </w:pPr>
      <w:bookmarkStart w:id="35" w:name="_Toc61063523"/>
      <w:r>
        <w:t>Compilation table</w:t>
      </w:r>
      <w:bookmarkEnd w:id="3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9D5F61">
        <w:trPr>
          <w:tblHeader/>
        </w:trPr>
        <w:tc>
          <w:tcPr>
            <w:tcW w:w="3118" w:type="dxa"/>
            <w:tcBorders>
              <w:top w:val="single" w:sz="8" w:space="0" w:color="auto"/>
            </w:tcBorders>
          </w:tcPr>
          <w:p w:rsidR="009D5F61" w:rsidRDefault="007D7692">
            <w:pPr>
              <w:pStyle w:val="nTable"/>
              <w:spacing w:before="60" w:after="60"/>
              <w:rPr>
                <w:b/>
                <w:sz w:val="19"/>
              </w:rPr>
            </w:pPr>
            <w:r>
              <w:rPr>
                <w:b/>
                <w:sz w:val="19"/>
              </w:rPr>
              <w:t>Citation</w:t>
            </w:r>
          </w:p>
        </w:tc>
        <w:tc>
          <w:tcPr>
            <w:tcW w:w="1276" w:type="dxa"/>
            <w:tcBorders>
              <w:top w:val="single" w:sz="8" w:space="0" w:color="auto"/>
            </w:tcBorders>
          </w:tcPr>
          <w:p w:rsidR="009D5F61" w:rsidRDefault="007D7692">
            <w:pPr>
              <w:pStyle w:val="nTable"/>
              <w:spacing w:before="60" w:after="60"/>
              <w:rPr>
                <w:b/>
                <w:sz w:val="19"/>
              </w:rPr>
            </w:pPr>
            <w:r>
              <w:rPr>
                <w:b/>
                <w:sz w:val="19"/>
              </w:rPr>
              <w:t>Gazettal</w:t>
            </w:r>
          </w:p>
        </w:tc>
        <w:tc>
          <w:tcPr>
            <w:tcW w:w="2693" w:type="dxa"/>
            <w:tcBorders>
              <w:top w:val="single" w:sz="8" w:space="0" w:color="auto"/>
            </w:tcBorders>
          </w:tcPr>
          <w:p w:rsidR="009D5F61" w:rsidRDefault="009D5F61">
            <w:pPr>
              <w:pStyle w:val="nTable"/>
              <w:spacing w:before="60" w:after="60"/>
              <w:rPr>
                <w:b/>
                <w:sz w:val="19"/>
              </w:rPr>
            </w:pPr>
          </w:p>
        </w:tc>
      </w:tr>
      <w:tr w:rsidR="009D5F61">
        <w:tc>
          <w:tcPr>
            <w:tcW w:w="3118" w:type="dxa"/>
            <w:tcBorders>
              <w:top w:val="single" w:sz="8" w:space="0" w:color="auto"/>
              <w:bottom w:val="single" w:sz="8" w:space="0" w:color="auto"/>
            </w:tcBorders>
          </w:tcPr>
          <w:p w:rsidR="009D5F61" w:rsidRDefault="007D7692">
            <w:pPr>
              <w:pStyle w:val="nTable"/>
              <w:rPr>
                <w:sz w:val="19"/>
              </w:rPr>
            </w:pPr>
            <w:r>
              <w:rPr>
                <w:i/>
                <w:noProof/>
                <w:snapToGrid w:val="0"/>
                <w:sz w:val="19"/>
              </w:rPr>
              <w:t>Economic Regulation Authority (Transitional) Regulations 2003</w:t>
            </w:r>
          </w:p>
        </w:tc>
        <w:tc>
          <w:tcPr>
            <w:tcW w:w="1276" w:type="dxa"/>
            <w:tcBorders>
              <w:top w:val="single" w:sz="8" w:space="0" w:color="auto"/>
              <w:bottom w:val="single" w:sz="8" w:space="0" w:color="auto"/>
            </w:tcBorders>
          </w:tcPr>
          <w:p w:rsidR="009D5F61" w:rsidRDefault="007D7692">
            <w:pPr>
              <w:pStyle w:val="nTable"/>
              <w:rPr>
                <w:sz w:val="19"/>
              </w:rPr>
            </w:pPr>
            <w:r>
              <w:rPr>
                <w:sz w:val="19"/>
              </w:rPr>
              <w:t>30 Dec 2003 p. 5731</w:t>
            </w:r>
            <w:r>
              <w:rPr>
                <w:sz w:val="19"/>
              </w:rPr>
              <w:noBreakHyphen/>
              <w:t>3</w:t>
            </w:r>
          </w:p>
        </w:tc>
        <w:tc>
          <w:tcPr>
            <w:tcW w:w="2693" w:type="dxa"/>
            <w:tcBorders>
              <w:top w:val="single" w:sz="8" w:space="0" w:color="auto"/>
              <w:bottom w:val="single" w:sz="8" w:space="0" w:color="auto"/>
            </w:tcBorders>
          </w:tcPr>
          <w:p w:rsidR="009D5F61" w:rsidRDefault="007D7692">
            <w:pPr>
              <w:pStyle w:val="nTable"/>
              <w:rPr>
                <w:sz w:val="19"/>
              </w:rPr>
            </w:pPr>
            <w:r>
              <w:rPr>
                <w:sz w:val="19"/>
              </w:rPr>
              <w:t>1 Jan 2004 (see r. 2)</w:t>
            </w:r>
          </w:p>
        </w:tc>
      </w:tr>
    </w:tbl>
    <w:p w:rsidR="009D5F61" w:rsidRDefault="009D5F61"/>
    <w:p w:rsidR="009D5F61" w:rsidRDefault="009D5F61">
      <w:pPr>
        <w:sectPr w:rsidR="009D5F61">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rsidR="009D5F61" w:rsidRDefault="009D5F61"/>
    <w:sectPr w:rsidR="009D5F61">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F61" w:rsidRDefault="007D7692">
      <w:pPr>
        <w:rPr>
          <w:b/>
          <w:sz w:val="28"/>
        </w:rPr>
      </w:pPr>
      <w:r>
        <w:rPr>
          <w:b/>
          <w:sz w:val="28"/>
        </w:rPr>
        <w:t>Endnotes</w:t>
      </w:r>
    </w:p>
    <w:p w:rsidR="009D5F61" w:rsidRDefault="007D7692">
      <w:pPr>
        <w:spacing w:after="240"/>
        <w:rPr>
          <w:rFonts w:ascii="Times" w:hAnsi="Times"/>
          <w:sz w:val="18"/>
        </w:rPr>
      </w:pPr>
      <w:r>
        <w:rPr>
          <w:sz w:val="20"/>
        </w:rPr>
        <w:t>[For ease of reference detach these notes and read them alongside the draft.]</w:t>
      </w:r>
    </w:p>
  </w:endnote>
  <w:endnote w:type="continuationSeparator" w:id="0">
    <w:p w:rsidR="009D5F61" w:rsidRDefault="009D5F6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F61" w:rsidRDefault="009D5F61">
    <w:pPr>
      <w:pStyle w:val="Footer"/>
      <w:tabs>
        <w:tab w:val="clear" w:pos="4153"/>
        <w:tab w:val="right" w:pos="7088"/>
      </w:tabs>
      <w:rPr>
        <w:rStyle w:val="PageNumber"/>
      </w:rPr>
    </w:pPr>
  </w:p>
  <w:p w:rsidR="009D5F61" w:rsidRDefault="007D769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0211">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0211">
      <w:rPr>
        <w:rFonts w:ascii="Arial" w:hAnsi="Arial" w:cs="Arial"/>
        <w:sz w:val="20"/>
        <w:lang w:val="en-US"/>
      </w:rPr>
      <w:t>01 Jan 2004</w:t>
    </w:r>
    <w:r>
      <w:rPr>
        <w:rFonts w:ascii="Arial" w:hAnsi="Arial" w:cs="Arial"/>
        <w:sz w:val="20"/>
        <w:lang w:val="en-US"/>
      </w:rPr>
      <w:fldChar w:fldCharType="end"/>
    </w:r>
  </w:p>
  <w:p w:rsidR="009D5F61" w:rsidRDefault="007D769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F61" w:rsidRDefault="009D5F61">
    <w:pPr>
      <w:pStyle w:val="Footer"/>
      <w:tabs>
        <w:tab w:val="clear" w:pos="4153"/>
        <w:tab w:val="right" w:pos="7088"/>
      </w:tabs>
      <w:rPr>
        <w:rStyle w:val="PageNumber"/>
      </w:rPr>
    </w:pPr>
  </w:p>
  <w:p w:rsidR="009D5F61" w:rsidRDefault="007D769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0211">
      <w:rPr>
        <w:rFonts w:ascii="Arial" w:hAnsi="Arial" w:cs="Arial"/>
        <w:sz w:val="20"/>
        <w:lang w:val="en-US"/>
      </w:rPr>
      <w:t>01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0211">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r>
  </w:p>
  <w:p w:rsidR="009D5F61" w:rsidRDefault="007D769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F61" w:rsidRDefault="009D5F61">
    <w:pPr>
      <w:pStyle w:val="Footer"/>
      <w:tabs>
        <w:tab w:val="clear" w:pos="4153"/>
        <w:tab w:val="right" w:pos="7088"/>
      </w:tabs>
      <w:rPr>
        <w:rStyle w:val="PageNumber"/>
      </w:rPr>
    </w:pPr>
  </w:p>
  <w:p w:rsidR="009D5F61" w:rsidRDefault="007D769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0211">
      <w:rPr>
        <w:rFonts w:ascii="Arial" w:hAnsi="Arial" w:cs="Arial"/>
        <w:sz w:val="20"/>
        <w:lang w:val="en-US"/>
      </w:rPr>
      <w:t>01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0211">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r>
  </w:p>
  <w:p w:rsidR="009D5F61" w:rsidRDefault="007D769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F61" w:rsidRDefault="009D5F61">
    <w:pPr>
      <w:pStyle w:val="Footer"/>
      <w:tabs>
        <w:tab w:val="clear" w:pos="4153"/>
        <w:tab w:val="right" w:pos="7088"/>
      </w:tabs>
      <w:rPr>
        <w:rStyle w:val="PageNumber"/>
      </w:rPr>
    </w:pPr>
  </w:p>
  <w:p w:rsidR="009D5F61" w:rsidRDefault="007D769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0211">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0211">
      <w:rPr>
        <w:rFonts w:ascii="Arial" w:hAnsi="Arial" w:cs="Arial"/>
        <w:sz w:val="20"/>
        <w:lang w:val="en-US"/>
      </w:rPr>
      <w:t>01 Jan 2004</w:t>
    </w:r>
    <w:r>
      <w:rPr>
        <w:rFonts w:ascii="Arial" w:hAnsi="Arial" w:cs="Arial"/>
        <w:sz w:val="20"/>
        <w:lang w:val="en-US"/>
      </w:rPr>
      <w:fldChar w:fldCharType="end"/>
    </w:r>
  </w:p>
  <w:p w:rsidR="009D5F61" w:rsidRDefault="007D769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F61" w:rsidRDefault="009D5F61">
    <w:pPr>
      <w:pStyle w:val="Footer"/>
      <w:tabs>
        <w:tab w:val="clear" w:pos="4153"/>
        <w:tab w:val="right" w:pos="7088"/>
      </w:tabs>
      <w:rPr>
        <w:rStyle w:val="PageNumber"/>
      </w:rPr>
    </w:pPr>
  </w:p>
  <w:p w:rsidR="009D5F61" w:rsidRDefault="007D769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0211">
      <w:rPr>
        <w:rFonts w:ascii="Arial" w:hAnsi="Arial" w:cs="Arial"/>
        <w:sz w:val="20"/>
        <w:lang w:val="en-US"/>
      </w:rPr>
      <w:t>01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0211">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rsidR="009D5F61" w:rsidRDefault="007D7692">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F61" w:rsidRDefault="009D5F61">
    <w:pPr>
      <w:pStyle w:val="Footer"/>
      <w:tabs>
        <w:tab w:val="clear" w:pos="4153"/>
        <w:tab w:val="right" w:pos="7088"/>
      </w:tabs>
      <w:rPr>
        <w:rStyle w:val="PageNumber"/>
      </w:rPr>
    </w:pPr>
  </w:p>
  <w:p w:rsidR="009D5F61" w:rsidRDefault="007D769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0211">
      <w:rPr>
        <w:rFonts w:ascii="Arial" w:hAnsi="Arial" w:cs="Arial"/>
        <w:sz w:val="20"/>
        <w:lang w:val="en-US"/>
      </w:rPr>
      <w:t>01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0211">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D0211">
      <w:rPr>
        <w:rStyle w:val="PageNumber"/>
        <w:rFonts w:ascii="Arial" w:hAnsi="Arial" w:cs="Arial"/>
        <w:noProof/>
      </w:rPr>
      <w:t>i</w:t>
    </w:r>
    <w:r>
      <w:rPr>
        <w:rStyle w:val="PageNumber"/>
        <w:rFonts w:ascii="Arial" w:hAnsi="Arial" w:cs="Arial"/>
      </w:rPr>
      <w:fldChar w:fldCharType="end"/>
    </w:r>
  </w:p>
  <w:p w:rsidR="009D5F61" w:rsidRDefault="007D7692">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F61" w:rsidRDefault="009D5F61">
    <w:pPr>
      <w:pStyle w:val="Footer"/>
      <w:tabs>
        <w:tab w:val="clear" w:pos="4153"/>
        <w:tab w:val="right" w:pos="7088"/>
      </w:tabs>
      <w:rPr>
        <w:rStyle w:val="PageNumber"/>
      </w:rPr>
    </w:pPr>
  </w:p>
  <w:p w:rsidR="009D5F61" w:rsidRDefault="007D769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D0211">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0211">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0211">
      <w:rPr>
        <w:rFonts w:ascii="Arial" w:hAnsi="Arial" w:cs="Arial"/>
        <w:sz w:val="20"/>
        <w:lang w:val="en-US"/>
      </w:rPr>
      <w:t>01 Jan 2004</w:t>
    </w:r>
    <w:r>
      <w:rPr>
        <w:rFonts w:ascii="Arial" w:hAnsi="Arial" w:cs="Arial"/>
        <w:sz w:val="20"/>
        <w:lang w:val="en-US"/>
      </w:rPr>
      <w:fldChar w:fldCharType="end"/>
    </w:r>
    <w:r>
      <w:rPr>
        <w:rFonts w:ascii="Arial" w:hAnsi="Arial" w:cs="Arial"/>
        <w:sz w:val="20"/>
        <w:lang w:val="en-US"/>
      </w:rPr>
      <w:t xml:space="preserve"> </w:t>
    </w:r>
  </w:p>
  <w:p w:rsidR="009D5F61" w:rsidRDefault="007D769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F61" w:rsidRDefault="009D5F61">
    <w:pPr>
      <w:pStyle w:val="Footer"/>
      <w:tabs>
        <w:tab w:val="clear" w:pos="4153"/>
        <w:tab w:val="right" w:pos="7088"/>
      </w:tabs>
      <w:rPr>
        <w:rStyle w:val="PageNumber"/>
      </w:rPr>
    </w:pPr>
  </w:p>
  <w:p w:rsidR="009D5F61" w:rsidRDefault="007D769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0211">
      <w:rPr>
        <w:rFonts w:ascii="Arial" w:hAnsi="Arial" w:cs="Arial"/>
        <w:sz w:val="20"/>
        <w:lang w:val="en-US"/>
      </w:rPr>
      <w:t>01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0211">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D0211">
      <w:rPr>
        <w:rStyle w:val="CharPageNo"/>
        <w:rFonts w:ascii="Arial" w:hAnsi="Arial"/>
        <w:noProof/>
      </w:rPr>
      <w:t>5</w:t>
    </w:r>
    <w:r>
      <w:rPr>
        <w:rStyle w:val="CharPageNo"/>
        <w:rFonts w:ascii="Arial" w:hAnsi="Arial"/>
      </w:rPr>
      <w:fldChar w:fldCharType="end"/>
    </w:r>
  </w:p>
  <w:p w:rsidR="009D5F61" w:rsidRDefault="007D7692">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F61" w:rsidRDefault="009D5F61">
    <w:pPr>
      <w:pStyle w:val="Footer"/>
      <w:tabs>
        <w:tab w:val="clear" w:pos="4153"/>
        <w:tab w:val="right" w:pos="7088"/>
      </w:tabs>
      <w:rPr>
        <w:rStyle w:val="PageNumber"/>
      </w:rPr>
    </w:pPr>
  </w:p>
  <w:p w:rsidR="009D5F61" w:rsidRDefault="007D769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0211">
      <w:rPr>
        <w:rFonts w:ascii="Arial" w:hAnsi="Arial" w:cs="Arial"/>
        <w:sz w:val="20"/>
        <w:lang w:val="en-US"/>
      </w:rPr>
      <w:t>01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0211">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D0211">
      <w:rPr>
        <w:rStyle w:val="CharPageNo"/>
        <w:rFonts w:ascii="Arial" w:hAnsi="Arial"/>
        <w:noProof/>
      </w:rPr>
      <w:t>1</w:t>
    </w:r>
    <w:r>
      <w:rPr>
        <w:rStyle w:val="CharPageNo"/>
        <w:rFonts w:ascii="Arial" w:hAnsi="Arial"/>
      </w:rPr>
      <w:fldChar w:fldCharType="end"/>
    </w:r>
  </w:p>
  <w:p w:rsidR="009D5F61" w:rsidRDefault="007D7692">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F61" w:rsidRDefault="007D7692">
      <w:r>
        <w:separator/>
      </w:r>
    </w:p>
  </w:footnote>
  <w:footnote w:type="continuationSeparator" w:id="0">
    <w:p w:rsidR="009D5F61" w:rsidRDefault="007D76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F61" w:rsidRDefault="007D7692">
    <w:pPr>
      <w:pStyle w:val="headerpartodd"/>
      <w:ind w:left="0" w:firstLine="0"/>
      <w:rPr>
        <w:i/>
      </w:rPr>
    </w:pPr>
    <w:r>
      <w:rPr>
        <w:i/>
      </w:rPr>
      <w:fldChar w:fldCharType="begin"/>
    </w:r>
    <w:r>
      <w:rPr>
        <w:i/>
      </w:rPr>
      <w:instrText xml:space="preserve"> Styleref "Name of Act/Reg" </w:instrText>
    </w:r>
    <w:r>
      <w:rPr>
        <w:i/>
      </w:rPr>
      <w:fldChar w:fldCharType="separate"/>
    </w:r>
    <w:r w:rsidR="00FD0211">
      <w:rPr>
        <w:i/>
        <w:noProof/>
      </w:rPr>
      <w:t>Economic Regulation Authority (Transitional) Regulations 2003</w:t>
    </w:r>
    <w:r>
      <w:rPr>
        <w:i/>
      </w:rPr>
      <w:fldChar w:fldCharType="end"/>
    </w:r>
  </w:p>
  <w:p w:rsidR="009D5F61" w:rsidRDefault="007D7692">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9D5F61" w:rsidRDefault="007D7692">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9D5F61" w:rsidRDefault="009D5F61">
    <w:pPr>
      <w:pStyle w:val="headerpart"/>
    </w:pPr>
  </w:p>
  <w:p w:rsidR="009D5F61" w:rsidRDefault="009D5F61">
    <w:pPr>
      <w:pBdr>
        <w:bottom w:val="single" w:sz="6" w:space="1" w:color="auto"/>
      </w:pBdr>
      <w:rPr>
        <w:b/>
      </w:rPr>
    </w:pPr>
  </w:p>
  <w:p w:rsidR="009D5F61" w:rsidRDefault="009D5F6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D5F61">
      <w:trPr>
        <w:cantSplit/>
      </w:trPr>
      <w:tc>
        <w:tcPr>
          <w:tcW w:w="7258" w:type="dxa"/>
          <w:gridSpan w:val="2"/>
        </w:tcPr>
        <w:p w:rsidR="009D5F61" w:rsidRDefault="007D7692">
          <w:pPr>
            <w:pStyle w:val="HeaderActNameRight"/>
            <w:ind w:right="17"/>
          </w:pPr>
          <w:fldSimple w:instr=" Styleref &quot;Name of Act/Reg&quot; ">
            <w:r w:rsidR="00FD0211">
              <w:rPr>
                <w:noProof/>
              </w:rPr>
              <w:t>Economic Regulation Authority (Transitional) Regulations 2003</w:t>
            </w:r>
          </w:fldSimple>
        </w:p>
      </w:tc>
    </w:tr>
    <w:tr w:rsidR="009D5F61">
      <w:tc>
        <w:tcPr>
          <w:tcW w:w="5715" w:type="dxa"/>
        </w:tcPr>
        <w:p w:rsidR="009D5F61" w:rsidRDefault="009D5F61">
          <w:pPr>
            <w:pStyle w:val="HeaderTextRight"/>
          </w:pPr>
        </w:p>
      </w:tc>
      <w:tc>
        <w:tcPr>
          <w:tcW w:w="1548" w:type="dxa"/>
        </w:tcPr>
        <w:p w:rsidR="009D5F61" w:rsidRDefault="009D5F61">
          <w:pPr>
            <w:pStyle w:val="HeaderNumberRight"/>
            <w:ind w:right="17"/>
          </w:pPr>
        </w:p>
      </w:tc>
    </w:tr>
    <w:tr w:rsidR="009D5F61">
      <w:tc>
        <w:tcPr>
          <w:tcW w:w="5715" w:type="dxa"/>
        </w:tcPr>
        <w:p w:rsidR="009D5F61" w:rsidRDefault="009D5F61">
          <w:pPr>
            <w:pStyle w:val="HeaderTextRight"/>
          </w:pPr>
        </w:p>
      </w:tc>
      <w:tc>
        <w:tcPr>
          <w:tcW w:w="1548" w:type="dxa"/>
        </w:tcPr>
        <w:p w:rsidR="009D5F61" w:rsidRDefault="009D5F61">
          <w:pPr>
            <w:pStyle w:val="HeaderNumberRight"/>
            <w:ind w:right="17"/>
          </w:pPr>
        </w:p>
      </w:tc>
    </w:tr>
    <w:tr w:rsidR="009D5F61">
      <w:trPr>
        <w:cantSplit/>
      </w:trPr>
      <w:tc>
        <w:tcPr>
          <w:tcW w:w="7258" w:type="dxa"/>
          <w:gridSpan w:val="2"/>
        </w:tcPr>
        <w:p w:rsidR="009D5F61" w:rsidRDefault="009D5F61">
          <w:pPr>
            <w:pStyle w:val="HeaderSectionRight"/>
            <w:ind w:right="17"/>
          </w:pPr>
        </w:p>
      </w:tc>
    </w:tr>
  </w:tbl>
  <w:p w:rsidR="009D5F61" w:rsidRDefault="009D5F6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F61" w:rsidRDefault="009D5F6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D5F61">
      <w:trPr>
        <w:cantSplit/>
      </w:trPr>
      <w:tc>
        <w:tcPr>
          <w:tcW w:w="7312" w:type="dxa"/>
          <w:gridSpan w:val="2"/>
        </w:tcPr>
        <w:p w:rsidR="009D5F61" w:rsidRDefault="007D7692">
          <w:pPr>
            <w:pStyle w:val="HeaderActNameLeft"/>
          </w:pPr>
          <w:fldSimple w:instr=" Styleref &quot;Name of Act/Reg&quot; ">
            <w:r w:rsidR="00FD0211">
              <w:rPr>
                <w:noProof/>
              </w:rPr>
              <w:t>Economic Regulation Authority (Transitional) Regulations 2003</w:t>
            </w:r>
          </w:fldSimple>
        </w:p>
      </w:tc>
    </w:tr>
    <w:tr w:rsidR="009D5F61">
      <w:tc>
        <w:tcPr>
          <w:tcW w:w="1548" w:type="dxa"/>
        </w:tcPr>
        <w:p w:rsidR="009D5F61" w:rsidRDefault="009D5F61">
          <w:pPr>
            <w:pStyle w:val="HeaderNumberLeft"/>
          </w:pPr>
        </w:p>
      </w:tc>
      <w:tc>
        <w:tcPr>
          <w:tcW w:w="5764" w:type="dxa"/>
        </w:tcPr>
        <w:p w:rsidR="009D5F61" w:rsidRDefault="009D5F61">
          <w:pPr>
            <w:pStyle w:val="HeaderTextLeft"/>
          </w:pPr>
        </w:p>
      </w:tc>
    </w:tr>
    <w:tr w:rsidR="009D5F61">
      <w:tc>
        <w:tcPr>
          <w:tcW w:w="1548" w:type="dxa"/>
        </w:tcPr>
        <w:p w:rsidR="009D5F61" w:rsidRDefault="009D5F61">
          <w:pPr>
            <w:pStyle w:val="HeaderNumberLeft"/>
          </w:pPr>
        </w:p>
      </w:tc>
      <w:tc>
        <w:tcPr>
          <w:tcW w:w="5764" w:type="dxa"/>
        </w:tcPr>
        <w:p w:rsidR="009D5F61" w:rsidRDefault="009D5F61">
          <w:pPr>
            <w:pStyle w:val="HeaderTextLeft"/>
          </w:pPr>
        </w:p>
      </w:tc>
    </w:tr>
    <w:tr w:rsidR="009D5F61">
      <w:trPr>
        <w:cantSplit/>
      </w:trPr>
      <w:tc>
        <w:tcPr>
          <w:tcW w:w="7312" w:type="dxa"/>
          <w:gridSpan w:val="2"/>
        </w:tcPr>
        <w:p w:rsidR="009D5F61" w:rsidRDefault="009D5F61">
          <w:pPr>
            <w:pStyle w:val="HeaderSectionLeft"/>
          </w:pPr>
        </w:p>
      </w:tc>
    </w:tr>
  </w:tbl>
  <w:p w:rsidR="009D5F61" w:rsidRDefault="009D5F61">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F61" w:rsidRDefault="009D5F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F61" w:rsidRDefault="009D5F6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D5F61">
      <w:trPr>
        <w:cantSplit/>
      </w:trPr>
      <w:tc>
        <w:tcPr>
          <w:tcW w:w="7258" w:type="dxa"/>
          <w:gridSpan w:val="2"/>
        </w:tcPr>
        <w:p w:rsidR="009D5F61" w:rsidRDefault="007D7692">
          <w:pPr>
            <w:pStyle w:val="HeaderActNameLeft"/>
          </w:pPr>
          <w:fldSimple w:instr=" Styleref &quot;Name of Act/Reg&quot; ">
            <w:r w:rsidR="00FD0211">
              <w:rPr>
                <w:noProof/>
              </w:rPr>
              <w:t>Economic Regulation Authority (Transitional) Regulations 2003</w:t>
            </w:r>
          </w:fldSimple>
        </w:p>
      </w:tc>
    </w:tr>
    <w:tr w:rsidR="009D5F61">
      <w:tc>
        <w:tcPr>
          <w:tcW w:w="1548" w:type="dxa"/>
        </w:tcPr>
        <w:p w:rsidR="009D5F61" w:rsidRDefault="009D5F61">
          <w:pPr>
            <w:pStyle w:val="HeaderNumberLeft"/>
          </w:pPr>
        </w:p>
      </w:tc>
      <w:tc>
        <w:tcPr>
          <w:tcW w:w="5715" w:type="dxa"/>
        </w:tcPr>
        <w:p w:rsidR="009D5F61" w:rsidRDefault="009D5F61">
          <w:pPr>
            <w:pStyle w:val="HeaderTextLeft"/>
          </w:pPr>
        </w:p>
      </w:tc>
    </w:tr>
    <w:tr w:rsidR="009D5F61">
      <w:tc>
        <w:tcPr>
          <w:tcW w:w="1548" w:type="dxa"/>
        </w:tcPr>
        <w:p w:rsidR="009D5F61" w:rsidRDefault="009D5F61">
          <w:pPr>
            <w:pStyle w:val="HeaderNumberLeft"/>
          </w:pPr>
        </w:p>
      </w:tc>
      <w:tc>
        <w:tcPr>
          <w:tcW w:w="5715" w:type="dxa"/>
        </w:tcPr>
        <w:p w:rsidR="009D5F61" w:rsidRDefault="009D5F61">
          <w:pPr>
            <w:pStyle w:val="HeaderTextLeft"/>
          </w:pPr>
        </w:p>
      </w:tc>
    </w:tr>
    <w:tr w:rsidR="009D5F61">
      <w:trPr>
        <w:cantSplit/>
      </w:trPr>
      <w:tc>
        <w:tcPr>
          <w:tcW w:w="7258" w:type="dxa"/>
          <w:gridSpan w:val="2"/>
        </w:tcPr>
        <w:p w:rsidR="009D5F61" w:rsidRDefault="007D7692">
          <w:pPr>
            <w:pStyle w:val="HeaderSectionLeft"/>
            <w:rPr>
              <w:b w:val="0"/>
            </w:rPr>
          </w:pPr>
          <w:r>
            <w:rPr>
              <w:b w:val="0"/>
            </w:rPr>
            <w:t>Contents</w:t>
          </w:r>
        </w:p>
      </w:tc>
    </w:tr>
  </w:tbl>
  <w:p w:rsidR="009D5F61" w:rsidRDefault="009D5F6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D5F61">
      <w:trPr>
        <w:cantSplit/>
      </w:trPr>
      <w:tc>
        <w:tcPr>
          <w:tcW w:w="7258" w:type="dxa"/>
          <w:gridSpan w:val="2"/>
        </w:tcPr>
        <w:p w:rsidR="009D5F61" w:rsidRDefault="007D7692">
          <w:pPr>
            <w:pStyle w:val="HeaderActNameRight"/>
            <w:ind w:right="17"/>
          </w:pPr>
          <w:fldSimple w:instr=" Styleref &quot;Name of Act/Reg&quot; ">
            <w:r w:rsidR="00FD0211">
              <w:rPr>
                <w:noProof/>
              </w:rPr>
              <w:t>Economic Regulation Authority (Transitional) Regulations 2003</w:t>
            </w:r>
          </w:fldSimple>
        </w:p>
      </w:tc>
    </w:tr>
    <w:tr w:rsidR="009D5F61">
      <w:tc>
        <w:tcPr>
          <w:tcW w:w="5715" w:type="dxa"/>
        </w:tcPr>
        <w:p w:rsidR="009D5F61" w:rsidRDefault="009D5F61">
          <w:pPr>
            <w:pStyle w:val="HeaderTextRight"/>
          </w:pPr>
        </w:p>
      </w:tc>
      <w:tc>
        <w:tcPr>
          <w:tcW w:w="1548" w:type="dxa"/>
        </w:tcPr>
        <w:p w:rsidR="009D5F61" w:rsidRDefault="009D5F61">
          <w:pPr>
            <w:pStyle w:val="HeaderNumberRight"/>
            <w:ind w:right="17"/>
          </w:pPr>
        </w:p>
      </w:tc>
    </w:tr>
    <w:tr w:rsidR="009D5F61">
      <w:tc>
        <w:tcPr>
          <w:tcW w:w="5715" w:type="dxa"/>
        </w:tcPr>
        <w:p w:rsidR="009D5F61" w:rsidRDefault="009D5F61">
          <w:pPr>
            <w:pStyle w:val="HeaderTextRight"/>
          </w:pPr>
        </w:p>
      </w:tc>
      <w:tc>
        <w:tcPr>
          <w:tcW w:w="1548" w:type="dxa"/>
        </w:tcPr>
        <w:p w:rsidR="009D5F61" w:rsidRDefault="009D5F61">
          <w:pPr>
            <w:pStyle w:val="HeaderNumberRight"/>
            <w:ind w:right="17"/>
          </w:pPr>
        </w:p>
      </w:tc>
    </w:tr>
    <w:tr w:rsidR="009D5F61">
      <w:trPr>
        <w:cantSplit/>
      </w:trPr>
      <w:tc>
        <w:tcPr>
          <w:tcW w:w="7258" w:type="dxa"/>
          <w:gridSpan w:val="2"/>
        </w:tcPr>
        <w:p w:rsidR="009D5F61" w:rsidRDefault="007D7692">
          <w:pPr>
            <w:pStyle w:val="HeaderSectionRight"/>
            <w:ind w:right="17"/>
            <w:rPr>
              <w:b w:val="0"/>
            </w:rPr>
          </w:pPr>
          <w:r>
            <w:rPr>
              <w:b w:val="0"/>
            </w:rPr>
            <w:t>Contents</w:t>
          </w:r>
        </w:p>
      </w:tc>
    </w:tr>
  </w:tbl>
  <w:p w:rsidR="009D5F61" w:rsidRDefault="009D5F6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D5F61">
      <w:trPr>
        <w:cantSplit/>
      </w:trPr>
      <w:tc>
        <w:tcPr>
          <w:tcW w:w="7258" w:type="dxa"/>
          <w:gridSpan w:val="2"/>
        </w:tcPr>
        <w:p w:rsidR="009D5F61" w:rsidRDefault="007D7692">
          <w:pPr>
            <w:pStyle w:val="HeaderActNameLeft"/>
          </w:pPr>
          <w:fldSimple w:instr=" Styleref &quot;Name of Act/Reg&quot; ">
            <w:r w:rsidR="00FD0211">
              <w:rPr>
                <w:noProof/>
              </w:rPr>
              <w:t>Economic Regulation Authority (Transitional) Regulations 2003</w:t>
            </w:r>
          </w:fldSimple>
        </w:p>
      </w:tc>
    </w:tr>
    <w:tr w:rsidR="009D5F61">
      <w:tc>
        <w:tcPr>
          <w:tcW w:w="1548" w:type="dxa"/>
        </w:tcPr>
        <w:p w:rsidR="009D5F61" w:rsidRDefault="007D7692">
          <w:pPr>
            <w:pStyle w:val="HeaderNumberLeft"/>
          </w:pPr>
          <w:r>
            <w:fldChar w:fldCharType="begin"/>
          </w:r>
          <w:r>
            <w:instrText xml:space="preserve"> styleref CharPartNo </w:instrText>
          </w:r>
          <w:r>
            <w:fldChar w:fldCharType="end"/>
          </w:r>
        </w:p>
      </w:tc>
      <w:tc>
        <w:tcPr>
          <w:tcW w:w="5715" w:type="dxa"/>
        </w:tcPr>
        <w:p w:rsidR="009D5F61" w:rsidRDefault="007D7692">
          <w:pPr>
            <w:pStyle w:val="HeaderTextLeft"/>
          </w:pPr>
          <w:r>
            <w:fldChar w:fldCharType="begin"/>
          </w:r>
          <w:r>
            <w:instrText xml:space="preserve"> styleref CharPartText </w:instrText>
          </w:r>
          <w:r>
            <w:fldChar w:fldCharType="end"/>
          </w:r>
        </w:p>
      </w:tc>
    </w:tr>
    <w:tr w:rsidR="009D5F61">
      <w:tc>
        <w:tcPr>
          <w:tcW w:w="1548" w:type="dxa"/>
        </w:tcPr>
        <w:p w:rsidR="009D5F61" w:rsidRDefault="007D7692">
          <w:pPr>
            <w:pStyle w:val="HeaderNumberLeft"/>
          </w:pPr>
          <w:r>
            <w:fldChar w:fldCharType="begin"/>
          </w:r>
          <w:r>
            <w:instrText xml:space="preserve"> styleref CharDivNo </w:instrText>
          </w:r>
          <w:r>
            <w:fldChar w:fldCharType="end"/>
          </w:r>
        </w:p>
      </w:tc>
      <w:tc>
        <w:tcPr>
          <w:tcW w:w="5715" w:type="dxa"/>
        </w:tcPr>
        <w:p w:rsidR="009D5F61" w:rsidRDefault="007D7692">
          <w:pPr>
            <w:pStyle w:val="HeaderTextLeft"/>
          </w:pPr>
          <w:r>
            <w:fldChar w:fldCharType="begin"/>
          </w:r>
          <w:r>
            <w:instrText xml:space="preserve"> styleref CharDivText </w:instrText>
          </w:r>
          <w:r>
            <w:fldChar w:fldCharType="end"/>
          </w:r>
        </w:p>
      </w:tc>
    </w:tr>
    <w:tr w:rsidR="009D5F61">
      <w:trPr>
        <w:cantSplit/>
      </w:trPr>
      <w:tc>
        <w:tcPr>
          <w:tcW w:w="7258" w:type="dxa"/>
          <w:gridSpan w:val="2"/>
        </w:tcPr>
        <w:p w:rsidR="009D5F61" w:rsidRDefault="007D7692">
          <w:pPr>
            <w:pStyle w:val="HeaderSectionLeft"/>
          </w:pPr>
          <w:r>
            <w:t xml:space="preserve">r. </w:t>
          </w:r>
          <w:fldSimple w:instr=" styleref CharSectno ">
            <w:r w:rsidR="00FD0211">
              <w:rPr>
                <w:noProof/>
              </w:rPr>
              <w:t>1</w:t>
            </w:r>
          </w:fldSimple>
        </w:p>
      </w:tc>
    </w:tr>
  </w:tbl>
  <w:p w:rsidR="009D5F61" w:rsidRDefault="009D5F61">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D5F61">
      <w:trPr>
        <w:cantSplit/>
      </w:trPr>
      <w:tc>
        <w:tcPr>
          <w:tcW w:w="7258" w:type="dxa"/>
          <w:gridSpan w:val="2"/>
        </w:tcPr>
        <w:p w:rsidR="009D5F61" w:rsidRDefault="007D7692">
          <w:pPr>
            <w:pStyle w:val="HeaderActNameRight"/>
            <w:ind w:right="17"/>
          </w:pPr>
          <w:fldSimple w:instr=" Styleref &quot;Name of Act/Reg&quot; ">
            <w:r w:rsidR="00FD0211">
              <w:rPr>
                <w:noProof/>
              </w:rPr>
              <w:t>Economic Regulation Authority (Transitional) Regulations 2003</w:t>
            </w:r>
          </w:fldSimple>
        </w:p>
      </w:tc>
    </w:tr>
    <w:tr w:rsidR="009D5F61">
      <w:tc>
        <w:tcPr>
          <w:tcW w:w="5715" w:type="dxa"/>
        </w:tcPr>
        <w:p w:rsidR="009D5F61" w:rsidRDefault="007D7692">
          <w:pPr>
            <w:pStyle w:val="HeaderTextRight"/>
          </w:pPr>
          <w:r>
            <w:fldChar w:fldCharType="begin"/>
          </w:r>
          <w:r>
            <w:instrText xml:space="preserve"> styleref CharPartText </w:instrText>
          </w:r>
          <w:r>
            <w:fldChar w:fldCharType="end"/>
          </w:r>
        </w:p>
      </w:tc>
      <w:tc>
        <w:tcPr>
          <w:tcW w:w="1548" w:type="dxa"/>
        </w:tcPr>
        <w:p w:rsidR="009D5F61" w:rsidRDefault="007D7692">
          <w:pPr>
            <w:pStyle w:val="HeaderNumberRight"/>
            <w:ind w:right="17"/>
          </w:pPr>
          <w:r>
            <w:fldChar w:fldCharType="begin"/>
          </w:r>
          <w:r>
            <w:instrText xml:space="preserve"> styleref CharPartNo </w:instrText>
          </w:r>
          <w:r>
            <w:fldChar w:fldCharType="end"/>
          </w:r>
        </w:p>
      </w:tc>
    </w:tr>
    <w:tr w:rsidR="009D5F61">
      <w:tc>
        <w:tcPr>
          <w:tcW w:w="5715" w:type="dxa"/>
        </w:tcPr>
        <w:p w:rsidR="009D5F61" w:rsidRDefault="007D7692">
          <w:pPr>
            <w:pStyle w:val="HeaderTextRight"/>
          </w:pPr>
          <w:r>
            <w:fldChar w:fldCharType="begin"/>
          </w:r>
          <w:r>
            <w:instrText xml:space="preserve"> styleref CharDivText </w:instrText>
          </w:r>
          <w:r>
            <w:fldChar w:fldCharType="end"/>
          </w:r>
        </w:p>
      </w:tc>
      <w:tc>
        <w:tcPr>
          <w:tcW w:w="1548" w:type="dxa"/>
        </w:tcPr>
        <w:p w:rsidR="009D5F61" w:rsidRDefault="007D7692">
          <w:pPr>
            <w:pStyle w:val="HeaderNumberRight"/>
            <w:ind w:right="17"/>
          </w:pPr>
          <w:r>
            <w:fldChar w:fldCharType="begin"/>
          </w:r>
          <w:r>
            <w:instrText xml:space="preserve"> styleref CharDivNo </w:instrText>
          </w:r>
          <w:r>
            <w:fldChar w:fldCharType="end"/>
          </w:r>
        </w:p>
      </w:tc>
    </w:tr>
    <w:tr w:rsidR="009D5F61">
      <w:trPr>
        <w:cantSplit/>
      </w:trPr>
      <w:tc>
        <w:tcPr>
          <w:tcW w:w="7258" w:type="dxa"/>
          <w:gridSpan w:val="2"/>
        </w:tcPr>
        <w:p w:rsidR="009D5F61" w:rsidRDefault="007D7692">
          <w:pPr>
            <w:pStyle w:val="HeaderSectionRight"/>
            <w:ind w:right="17"/>
          </w:pPr>
          <w:r>
            <w:t xml:space="preserve">r. </w:t>
          </w:r>
          <w:fldSimple w:instr=" styleref CharSectno ">
            <w:r w:rsidR="00FD0211">
              <w:rPr>
                <w:noProof/>
              </w:rPr>
              <w:t>1</w:t>
            </w:r>
          </w:fldSimple>
        </w:p>
      </w:tc>
    </w:tr>
  </w:tbl>
  <w:p w:rsidR="009D5F61" w:rsidRDefault="009D5F6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F61" w:rsidRDefault="009D5F6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D5F61">
      <w:trPr>
        <w:cantSplit/>
      </w:trPr>
      <w:tc>
        <w:tcPr>
          <w:tcW w:w="7258" w:type="dxa"/>
          <w:gridSpan w:val="2"/>
        </w:tcPr>
        <w:p w:rsidR="009D5F61" w:rsidRDefault="007D7692">
          <w:pPr>
            <w:pStyle w:val="HeaderActNameLeft"/>
          </w:pPr>
          <w:fldSimple w:instr=" Styleref &quot;Name of Act/Reg&quot; ">
            <w:r w:rsidR="00FD0211">
              <w:rPr>
                <w:noProof/>
              </w:rPr>
              <w:t>Economic Regulation Authority (Transitional) Regulations 2003</w:t>
            </w:r>
          </w:fldSimple>
        </w:p>
      </w:tc>
    </w:tr>
    <w:tr w:rsidR="009D5F61">
      <w:tc>
        <w:tcPr>
          <w:tcW w:w="1548" w:type="dxa"/>
        </w:tcPr>
        <w:p w:rsidR="009D5F61" w:rsidRDefault="009D5F61">
          <w:pPr>
            <w:pStyle w:val="HeaderNumberLeft"/>
          </w:pPr>
        </w:p>
      </w:tc>
      <w:tc>
        <w:tcPr>
          <w:tcW w:w="5715" w:type="dxa"/>
        </w:tcPr>
        <w:p w:rsidR="009D5F61" w:rsidRDefault="009D5F61">
          <w:pPr>
            <w:pStyle w:val="HeaderTextLeft"/>
          </w:pPr>
        </w:p>
      </w:tc>
    </w:tr>
    <w:tr w:rsidR="009D5F61">
      <w:tc>
        <w:tcPr>
          <w:tcW w:w="1548" w:type="dxa"/>
        </w:tcPr>
        <w:p w:rsidR="009D5F61" w:rsidRDefault="009D5F61">
          <w:pPr>
            <w:pStyle w:val="HeaderNumberLeft"/>
          </w:pPr>
        </w:p>
      </w:tc>
      <w:tc>
        <w:tcPr>
          <w:tcW w:w="5715" w:type="dxa"/>
        </w:tcPr>
        <w:p w:rsidR="009D5F61" w:rsidRDefault="009D5F61">
          <w:pPr>
            <w:pStyle w:val="HeaderTextLeft"/>
          </w:pPr>
        </w:p>
      </w:tc>
    </w:tr>
    <w:tr w:rsidR="009D5F61">
      <w:trPr>
        <w:cantSplit/>
      </w:trPr>
      <w:tc>
        <w:tcPr>
          <w:tcW w:w="7258" w:type="dxa"/>
          <w:gridSpan w:val="2"/>
        </w:tcPr>
        <w:p w:rsidR="009D5F61" w:rsidRDefault="009D5F61">
          <w:pPr>
            <w:pStyle w:val="HeaderSectionRight"/>
            <w:ind w:right="17"/>
            <w:jc w:val="left"/>
          </w:pPr>
        </w:p>
      </w:tc>
    </w:tr>
  </w:tbl>
  <w:p w:rsidR="009D5F61" w:rsidRDefault="009D5F61">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E3E360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31612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19628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560ACF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6364E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A3E0FC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016C83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E646AA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E642F46"/>
    <w:lvl w:ilvl="0">
      <w:start w:val="1"/>
      <w:numFmt w:val="decimal"/>
      <w:pStyle w:val="ListNumber"/>
      <w:lvlText w:val="%1."/>
      <w:lvlJc w:val="left"/>
      <w:pPr>
        <w:tabs>
          <w:tab w:val="num" w:pos="360"/>
        </w:tabs>
        <w:ind w:left="360" w:hanging="360"/>
      </w:pPr>
    </w:lvl>
  </w:abstractNum>
  <w:abstractNum w:abstractNumId="9">
    <w:nsid w:val="FFFFFF89"/>
    <w:multiLevelType w:val="singleLevel"/>
    <w:tmpl w:val="6E82E9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8CF050B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BDF6102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692"/>
    <w:rsid w:val="007D1D5C"/>
    <w:rsid w:val="007D7692"/>
    <w:rsid w:val="009D5F61"/>
    <w:rsid w:val="00DF69AD"/>
    <w:rsid w:val="00FD02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1068</Words>
  <Characters>5523</Characters>
  <Application>Microsoft Office Word</Application>
  <DocSecurity>0</DocSecurity>
  <Lines>162</Lines>
  <Paragraphs>91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Company>Parliamentary Counsel's Office</Company>
  <LinksUpToDate>false</LinksUpToDate>
  <CharactersWithSpaces>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Regulation Authority (Transitional) Regulations 2003 - 00-a0-06</dc:title>
  <dc:subject>Subsidiary Legislation</dc:subject>
  <dc:creator>Matthew Pether</dc:creator>
  <cp:keywords>Brought into Production 7 June 2002</cp:keywords>
  <dc:description/>
  <cp:lastModifiedBy>svcMRProcess</cp:lastModifiedBy>
  <cp:revision>4</cp:revision>
  <cp:lastPrinted>2003-12-30T07:15:00Z</cp:lastPrinted>
  <dcterms:created xsi:type="dcterms:W3CDTF">2013-02-14T02:33:00Z</dcterms:created>
  <dcterms:modified xsi:type="dcterms:W3CDTF">2013-02-14T02:33:00Z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2003 p 5731-3</vt:lpwstr>
  </property>
  <property fmtid="{D5CDD505-2E9C-101B-9397-08002B2CF9AE}" pid="3" name="CommencementDate">
    <vt:lpwstr>20040101</vt:lpwstr>
  </property>
  <property fmtid="{D5CDD505-2E9C-101B-9397-08002B2CF9AE}" pid="4" name="DocumentType">
    <vt:lpwstr>Reg</vt:lpwstr>
  </property>
  <property fmtid="{D5CDD505-2E9C-101B-9397-08002B2CF9AE}" pid="5" name="OwlsUID">
    <vt:i4>34328</vt:i4>
  </property>
  <property fmtid="{D5CDD505-2E9C-101B-9397-08002B2CF9AE}" pid="6" name="AsAtDate">
    <vt:lpwstr>01 Jan 2004</vt:lpwstr>
  </property>
  <property fmtid="{D5CDD505-2E9C-101B-9397-08002B2CF9AE}" pid="7" name="Suffix">
    <vt:lpwstr>00-a0-06</vt:lpwstr>
  </property>
</Properties>
</file>