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Fly Eradication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Fly Eradication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_Toc472690429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Flies prescribed under the Health (Miscellaneous Provisions) Act 1911 section 199(20)</w:t>
      </w:r>
      <w:r>
        <w:tab/>
      </w:r>
      <w:r>
        <w:fldChar w:fldCharType="begin"/>
      </w:r>
      <w:r>
        <w:instrText xml:space="preserve"> PAGEREF _Toc472690430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_Toc472690431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Waste food, etc. not to be left on premises unless covered or treated</w:t>
      </w:r>
      <w:r>
        <w:tab/>
      </w:r>
      <w:r>
        <w:fldChar w:fldCharType="begin"/>
      </w:r>
      <w:r>
        <w:instrText xml:space="preserve"> PAGEREF _Toc472690432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Authorised officer may give notice directing measures to be taken</w:t>
      </w:r>
      <w:r>
        <w:tab/>
      </w:r>
      <w:r>
        <w:fldChar w:fldCharType="begin"/>
      </w:r>
      <w:r>
        <w:instrText xml:space="preserve"> PAGEREF _Toc472690433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Local authority may execute work when person required to execute the work fails to do so</w:t>
      </w:r>
      <w:r>
        <w:tab/>
      </w:r>
      <w:r>
        <w:fldChar w:fldCharType="begin"/>
      </w:r>
      <w:r>
        <w:instrText xml:space="preserve"> PAGEREF _Toc472690434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Local authority may enter premises to execute work</w:t>
      </w:r>
      <w:r>
        <w:tab/>
      </w:r>
      <w:r>
        <w:fldChar w:fldCharType="begin"/>
      </w:r>
      <w:r>
        <w:instrText xml:space="preserve"> PAGEREF _Toc472690435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Offences and penalties</w:t>
      </w:r>
      <w:r>
        <w:tab/>
      </w:r>
      <w:r>
        <w:fldChar w:fldCharType="begin"/>
      </w:r>
      <w:r>
        <w:instrText xml:space="preserve"> PAGEREF _Toc472690436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_Toc472690439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t>Health (Miscellaneous Provision) Act 1911</w:t>
      </w:r>
    </w:p>
    <w:p>
      <w:pPr>
        <w:pStyle w:val="NameofActReg"/>
      </w:pPr>
      <w:r>
        <w:t>Fly Eradication Regulations</w:t>
      </w:r>
    </w:p>
    <w:p>
      <w:pPr>
        <w:pStyle w:val="Heading5"/>
        <w:rPr>
          <w:snapToGrid w:val="0"/>
        </w:rPr>
      </w:pPr>
      <w:bookmarkStart w:id="3" w:name="_Toc378252332"/>
      <w:bookmarkStart w:id="4" w:name="_Toc47269042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Fly Eradication Regulations</w:t>
      </w:r>
      <w:r>
        <w:rPr>
          <w:i/>
          <w:snapToGrid w:val="0"/>
          <w:vertAlign w:val="superscript"/>
        </w:rPr>
        <w:t> </w:t>
      </w:r>
      <w:r>
        <w:rPr>
          <w:snapToGrid w:val="0"/>
          <w:vertAlign w:val="superscript"/>
        </w:rPr>
        <w:t>1</w:t>
      </w:r>
      <w:r>
        <w:rPr>
          <w:snapToGrid w:val="0"/>
        </w:rPr>
        <w:t>.</w:t>
      </w:r>
    </w:p>
    <w:p>
      <w:pPr>
        <w:pStyle w:val="Heading5"/>
        <w:rPr>
          <w:i/>
          <w:snapToGrid w:val="0"/>
        </w:rPr>
      </w:pPr>
      <w:bookmarkStart w:id="5" w:name="_Toc378252333"/>
      <w:bookmarkStart w:id="6" w:name="_Toc472690430"/>
      <w:r>
        <w:rPr>
          <w:rStyle w:val="CharSectno"/>
        </w:rPr>
        <w:t>2</w:t>
      </w:r>
      <w:r>
        <w:rPr>
          <w:snapToGrid w:val="0"/>
        </w:rPr>
        <w:t>.</w:t>
      </w:r>
      <w:r>
        <w:rPr>
          <w:snapToGrid w:val="0"/>
        </w:rPr>
        <w:tab/>
        <w:t xml:space="preserve">Flies prescribed under the </w:t>
      </w:r>
      <w:r>
        <w:rPr>
          <w:i/>
          <w:snapToGrid w:val="0"/>
        </w:rPr>
        <w:t>Health (Miscellaneous Provisions) Act 1911</w:t>
      </w:r>
      <w:r>
        <w:rPr>
          <w:snapToGrid w:val="0"/>
        </w:rPr>
        <w:t xml:space="preserve"> section 199(20)</w:t>
      </w:r>
      <w:bookmarkEnd w:id="5"/>
      <w:bookmarkEnd w:id="6"/>
    </w:p>
    <w:p>
      <w:pPr>
        <w:pStyle w:val="Subsection"/>
        <w:rPr>
          <w:snapToGrid w:val="0"/>
        </w:rPr>
      </w:pPr>
      <w:r>
        <w:rPr>
          <w:snapToGrid w:val="0"/>
        </w:rPr>
        <w:tab/>
      </w:r>
      <w:r>
        <w:rPr>
          <w:snapToGrid w:val="0"/>
        </w:rPr>
        <w:tab/>
        <w:t xml:space="preserve">The provisions of  </w:t>
      </w:r>
      <w:r>
        <w:t xml:space="preserve">the </w:t>
      </w:r>
      <w:r>
        <w:rPr>
          <w:i/>
        </w:rPr>
        <w:t>Health (Miscellaneous Provisions) Act 1911</w:t>
      </w:r>
      <w:r>
        <w:t xml:space="preserve"> section 199(20), </w:t>
      </w:r>
      <w:r>
        <w:rPr>
          <w:snapToGrid w:val="0"/>
        </w:rPr>
        <w:t>as amended from time to time, shall apply to flies.</w:t>
      </w:r>
    </w:p>
    <w:p>
      <w:pPr>
        <w:pStyle w:val="Footnotesection"/>
      </w:pPr>
      <w:r>
        <w:tab/>
        <w:t>[Regulation 2 amended: Gazette 10 Jan 2017 p. 253.]</w:t>
      </w:r>
    </w:p>
    <w:p>
      <w:pPr>
        <w:pStyle w:val="Heading5"/>
        <w:rPr>
          <w:snapToGrid w:val="0"/>
        </w:rPr>
      </w:pPr>
      <w:bookmarkStart w:id="7" w:name="_Toc378252334"/>
      <w:bookmarkStart w:id="8" w:name="_Toc472690431"/>
      <w:r>
        <w:rPr>
          <w:rStyle w:val="CharSectno"/>
        </w:rPr>
        <w:t>3</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r>
      <w:r>
        <w:rPr>
          <w:snapToGrid w:val="0"/>
        </w:rPr>
        <w:tab/>
        <w:t>These regulations shall apply and have effect in the districts specified in the Schedule.</w:t>
      </w:r>
    </w:p>
    <w:p>
      <w:pPr>
        <w:pStyle w:val="Heading5"/>
        <w:rPr>
          <w:snapToGrid w:val="0"/>
        </w:rPr>
      </w:pPr>
      <w:bookmarkStart w:id="9" w:name="_Toc378252335"/>
      <w:bookmarkStart w:id="10" w:name="_Toc472690432"/>
      <w:r>
        <w:rPr>
          <w:rStyle w:val="CharSectno"/>
        </w:rPr>
        <w:t>4</w:t>
      </w:r>
      <w:r>
        <w:rPr>
          <w:snapToGrid w:val="0"/>
        </w:rPr>
        <w:t>.</w:t>
      </w:r>
      <w:r>
        <w:rPr>
          <w:snapToGrid w:val="0"/>
        </w:rPr>
        <w:tab/>
        <w:t>Waste food, etc. not to be left on premises unless covered or treated</w:t>
      </w:r>
      <w:bookmarkEnd w:id="9"/>
      <w:bookmarkEnd w:id="10"/>
      <w:r>
        <w:rPr>
          <w:snapToGrid w:val="0"/>
        </w:rPr>
        <w:t xml:space="preserve"> </w:t>
      </w:r>
    </w:p>
    <w:p>
      <w:pPr>
        <w:pStyle w:val="Subsection"/>
        <w:rPr>
          <w:snapToGrid w:val="0"/>
        </w:rPr>
      </w:pPr>
      <w:r>
        <w:rPr>
          <w:snapToGrid w:val="0"/>
        </w:rPr>
        <w:tab/>
      </w:r>
      <w:r>
        <w:rPr>
          <w:snapToGrid w:val="0"/>
        </w:rPr>
        <w:tab/>
        <w:t>An owner or occupier of any land or premises shall not place, throw or leave, or permit or cause to be placed, thrown or left, on the land or premises any waste food, manure, refuse, garbage, waste matter or other matter whatsoever, which is likely to attract or be a breeding place for flies, unless that waste food, manure, refuse, garbage, waste matter or other matter is covered, protected, treated or dealt with in such a manner as to effectively prevent it attracting or being a breeding place for flies.</w:t>
      </w:r>
    </w:p>
    <w:p>
      <w:pPr>
        <w:pStyle w:val="Heading5"/>
        <w:rPr>
          <w:snapToGrid w:val="0"/>
        </w:rPr>
      </w:pPr>
      <w:bookmarkStart w:id="11" w:name="_Toc378252336"/>
      <w:bookmarkStart w:id="12" w:name="_Toc472690433"/>
      <w:r>
        <w:rPr>
          <w:rStyle w:val="CharSectno"/>
        </w:rPr>
        <w:t>5</w:t>
      </w:r>
      <w:r>
        <w:rPr>
          <w:snapToGrid w:val="0"/>
        </w:rPr>
        <w:t>.</w:t>
      </w:r>
      <w:r>
        <w:rPr>
          <w:snapToGrid w:val="0"/>
        </w:rPr>
        <w:tab/>
        <w:t>Authorised officer may give notice directing measures to be taken</w:t>
      </w:r>
      <w:bookmarkEnd w:id="11"/>
      <w:bookmarkEnd w:id="12"/>
    </w:p>
    <w:p>
      <w:pPr>
        <w:pStyle w:val="Subsection"/>
        <w:rPr>
          <w:snapToGrid w:val="0"/>
        </w:rPr>
      </w:pPr>
      <w:r>
        <w:rPr>
          <w:snapToGrid w:val="0"/>
        </w:rPr>
        <w:tab/>
      </w:r>
      <w:r>
        <w:rPr>
          <w:snapToGrid w:val="0"/>
        </w:rPr>
        <w:tab/>
        <w:t xml:space="preserve">Where it appears to an </w:t>
      </w:r>
      <w:r>
        <w:t>authorised officer</w:t>
      </w:r>
      <w:r>
        <w:rPr>
          <w:snapToGrid w:val="0"/>
        </w:rPr>
        <w:t xml:space="preserve"> that flies are prevalent or are breeding on any land or premises, the </w:t>
      </w:r>
      <w:r>
        <w:t>authorised officer</w:t>
      </w:r>
      <w:r>
        <w:rPr>
          <w:snapToGrid w:val="0"/>
        </w:rPr>
        <w:t xml:space="preserve"> may give to the owner or occupier of the land or premises notice in writing directing him to take, within a time to be specified in the notice, such measures as in the opinion of the </w:t>
      </w:r>
      <w:r>
        <w:t>authorised officer</w:t>
      </w:r>
      <w:r>
        <w:rPr>
          <w:snapToGrid w:val="0"/>
        </w:rPr>
        <w:t xml:space="preserve"> are necessary to control the prevalence, effect eradication, and effectively prevent the breeding of flies.</w:t>
      </w:r>
    </w:p>
    <w:p>
      <w:pPr>
        <w:pStyle w:val="Footnotesection"/>
      </w:pPr>
      <w:r>
        <w:tab/>
        <w:t>[Regulation 5 amended: Gazette 10 Jan 2017 p. 253.]</w:t>
      </w:r>
    </w:p>
    <w:p>
      <w:pPr>
        <w:pStyle w:val="Heading5"/>
        <w:rPr>
          <w:snapToGrid w:val="0"/>
        </w:rPr>
      </w:pPr>
      <w:bookmarkStart w:id="13" w:name="_Toc378252337"/>
      <w:bookmarkStart w:id="14" w:name="_Toc472690434"/>
      <w:r>
        <w:rPr>
          <w:rStyle w:val="CharSectno"/>
        </w:rPr>
        <w:t>6</w:t>
      </w:r>
      <w:r>
        <w:rPr>
          <w:snapToGrid w:val="0"/>
        </w:rPr>
        <w:t>.</w:t>
      </w:r>
      <w:r>
        <w:rPr>
          <w:snapToGrid w:val="0"/>
        </w:rPr>
        <w:tab/>
        <w:t>Local authority may execute work when person required to execute the work fails to do so</w:t>
      </w:r>
      <w:bookmarkEnd w:id="13"/>
      <w:bookmarkEnd w:id="14"/>
      <w:r>
        <w:rPr>
          <w:snapToGrid w:val="0"/>
        </w:rPr>
        <w:t xml:space="preserve"> </w:t>
      </w:r>
    </w:p>
    <w:p>
      <w:pPr>
        <w:pStyle w:val="Subsection"/>
        <w:rPr>
          <w:snapToGrid w:val="0"/>
        </w:rPr>
      </w:pPr>
      <w:r>
        <w:rPr>
          <w:snapToGrid w:val="0"/>
        </w:rPr>
        <w:tab/>
      </w:r>
      <w:r>
        <w:rPr>
          <w:snapToGrid w:val="0"/>
        </w:rPr>
        <w:tab/>
        <w:t>Where a person is required by these regulations, or by a notice given under the provisions of these regulations, to execute any work, and that person fails or neglects to comply with such regulations or with such notice, the local authority may execute that work, and may recover from that person the cost of executing that work, in addition to any penalty for which that person may be liable under these regulations.</w:t>
      </w:r>
    </w:p>
    <w:p>
      <w:pPr>
        <w:pStyle w:val="Heading5"/>
        <w:rPr>
          <w:snapToGrid w:val="0"/>
        </w:rPr>
      </w:pPr>
      <w:bookmarkStart w:id="15" w:name="_Toc378252338"/>
      <w:bookmarkStart w:id="16" w:name="_Toc472690435"/>
      <w:r>
        <w:rPr>
          <w:rStyle w:val="CharSectno"/>
        </w:rPr>
        <w:t>7</w:t>
      </w:r>
      <w:r>
        <w:rPr>
          <w:snapToGrid w:val="0"/>
        </w:rPr>
        <w:t>.</w:t>
      </w:r>
      <w:r>
        <w:rPr>
          <w:snapToGrid w:val="0"/>
        </w:rPr>
        <w:tab/>
        <w:t>Local authority may enter premises to execute work</w:t>
      </w:r>
      <w:bookmarkEnd w:id="15"/>
      <w:bookmarkEnd w:id="16"/>
      <w:r>
        <w:rPr>
          <w:snapToGrid w:val="0"/>
        </w:rPr>
        <w:t xml:space="preserve"> </w:t>
      </w:r>
    </w:p>
    <w:p>
      <w:pPr>
        <w:pStyle w:val="Subsection"/>
        <w:rPr>
          <w:snapToGrid w:val="0"/>
        </w:rPr>
      </w:pPr>
      <w:r>
        <w:rPr>
          <w:snapToGrid w:val="0"/>
        </w:rPr>
        <w:tab/>
      </w:r>
      <w:r>
        <w:rPr>
          <w:snapToGrid w:val="0"/>
        </w:rPr>
        <w:tab/>
        <w:t>It shall be lawful for the local authority or its officer to enter upon any land or premises and execute any work required by these regulations.</w:t>
      </w:r>
    </w:p>
    <w:p>
      <w:pPr>
        <w:pStyle w:val="Heading5"/>
        <w:rPr>
          <w:snapToGrid w:val="0"/>
        </w:rPr>
      </w:pPr>
      <w:bookmarkStart w:id="17" w:name="_Toc378252339"/>
      <w:bookmarkStart w:id="18" w:name="_Toc472690436"/>
      <w:r>
        <w:rPr>
          <w:rStyle w:val="CharSectno"/>
        </w:rPr>
        <w:t>8</w:t>
      </w:r>
      <w:r>
        <w:rPr>
          <w:snapToGrid w:val="0"/>
        </w:rPr>
        <w:t>.</w:t>
      </w:r>
      <w:r>
        <w:rPr>
          <w:snapToGrid w:val="0"/>
        </w:rPr>
        <w:tab/>
        <w:t>Offences and penalties</w:t>
      </w:r>
      <w:bookmarkEnd w:id="17"/>
      <w:bookmarkEnd w:id="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regulation 4; or</w:t>
      </w:r>
    </w:p>
    <w:p>
      <w:pPr>
        <w:pStyle w:val="Indenta"/>
        <w:rPr>
          <w:snapToGrid w:val="0"/>
        </w:rPr>
      </w:pPr>
      <w:r>
        <w:rPr>
          <w:snapToGrid w:val="0"/>
        </w:rPr>
        <w:tab/>
        <w:t>(b)</w:t>
      </w:r>
      <w:r>
        <w:rPr>
          <w:snapToGrid w:val="0"/>
        </w:rPr>
        <w:tab/>
        <w:t>fails to comply with a direction under regulation 5 within the time specified in the notice,</w:t>
      </w:r>
    </w:p>
    <w:p>
      <w:pPr>
        <w:pStyle w:val="Subsection"/>
        <w:rPr>
          <w:snapToGrid w:val="0"/>
        </w:rPr>
      </w:pPr>
      <w:r>
        <w:rPr>
          <w:snapToGrid w:val="0"/>
        </w:rPr>
        <w:tab/>
      </w:r>
      <w:r>
        <w:rPr>
          <w:snapToGrid w:val="0"/>
        </w:rPr>
        <w:tab/>
        <w:t>commits an offence and is liable to — </w:t>
      </w:r>
    </w:p>
    <w:p>
      <w:pPr>
        <w:pStyle w:val="Indenta"/>
        <w:rPr>
          <w:snapToGrid w:val="0"/>
        </w:rPr>
      </w:pPr>
      <w:r>
        <w:rPr>
          <w:snapToGrid w:val="0"/>
        </w:rPr>
        <w:tab/>
        <w:t>(c)</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that offence is a continuing offence, a daily penalty which is not more than $100 and not less than $50.</w:t>
      </w:r>
    </w:p>
    <w:p>
      <w:pPr>
        <w:pStyle w:val="Footnotesection"/>
      </w:pPr>
      <w:r>
        <w:tab/>
        <w:t xml:space="preserve">[Regulation 8 inserted: Gazette 14 Oct 1988 p. 4160.]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9" w:name="_Toc378252340"/>
      <w:bookmarkStart w:id="20" w:name="_Toc418862171"/>
      <w:bookmarkStart w:id="21" w:name="_Toc472518927"/>
      <w:bookmarkStart w:id="22" w:name="_Toc472690437"/>
      <w:r>
        <w:rPr>
          <w:rStyle w:val="CharSchNo"/>
        </w:rPr>
        <w:t>Schedule</w:t>
      </w:r>
      <w:bookmarkEnd w:id="19"/>
      <w:bookmarkEnd w:id="20"/>
      <w:bookmarkEnd w:id="21"/>
      <w:bookmarkEnd w:id="22"/>
      <w:r>
        <w:rPr>
          <w:rStyle w:val="CharSchNo"/>
        </w:rPr>
        <w:t> </w:t>
      </w:r>
      <w:r>
        <w:rPr>
          <w:rStyle w:val="CharSchText"/>
        </w:rPr>
        <w:t xml:space="preserve"> </w:t>
      </w:r>
    </w:p>
    <w:p>
      <w:pPr>
        <w:pStyle w:val="yShoulderClause"/>
        <w:rPr>
          <w:snapToGrid w:val="0"/>
        </w:rPr>
      </w:pPr>
      <w:r>
        <w:rPr>
          <w:snapToGrid w:val="0"/>
        </w:rPr>
        <w:t>[Reg. 3]</w:t>
      </w:r>
    </w:p>
    <w:p>
      <w:pPr>
        <w:pStyle w:val="yTable"/>
        <w:jc w:val="center"/>
        <w:rPr>
          <w:snapToGrid w:val="0"/>
        </w:rPr>
      </w:pPr>
      <w:r>
        <w:rPr>
          <w:snapToGrid w:val="0"/>
        </w:rPr>
        <w:t>Health Districts</w:t>
      </w:r>
    </w:p>
    <w:p>
      <w:pPr>
        <w:pStyle w:val="yTable"/>
        <w:rPr>
          <w:snapToGrid w:val="0"/>
        </w:rPr>
      </w:pPr>
      <w:r>
        <w:rPr>
          <w:snapToGrid w:val="0"/>
        </w:rPr>
        <w:t>The municipal districts of the following municipalities: — </w:t>
      </w:r>
    </w:p>
    <w:p>
      <w:pPr>
        <w:pStyle w:val="yTable"/>
        <w:ind w:left="567" w:hanging="567"/>
        <w:rPr>
          <w:snapToGrid w:val="0"/>
        </w:rPr>
      </w:pPr>
      <w:r>
        <w:rPr>
          <w:snapToGrid w:val="0"/>
        </w:rPr>
        <w:t>Cities: Perth </w:t>
      </w:r>
      <w:r>
        <w:rPr>
          <w:snapToGrid w:val="0"/>
          <w:vertAlign w:val="superscript"/>
        </w:rPr>
        <w:t>2</w:t>
      </w:r>
      <w:r>
        <w:rPr>
          <w:snapToGrid w:val="0"/>
        </w:rPr>
        <w:t>, Fremantle, Subiaco, Nedlands and South Perth.</w:t>
      </w:r>
    </w:p>
    <w:p>
      <w:pPr>
        <w:pStyle w:val="yTable"/>
        <w:ind w:left="567" w:hanging="567"/>
        <w:rPr>
          <w:snapToGrid w:val="0"/>
        </w:rPr>
      </w:pPr>
      <w:r>
        <w:rPr>
          <w:snapToGrid w:val="0"/>
        </w:rPr>
        <w:t>Towns: Albany, Boulder, Bunbury, Carnarvon, Claremont, Cottesloe, East Fremantle, Geraldton, Kalgoorlie, Midland, Narrogin, Northam, North Fremantle and York.</w:t>
      </w:r>
    </w:p>
    <w:p>
      <w:pPr>
        <w:pStyle w:val="yTable"/>
        <w:ind w:left="567" w:hanging="567"/>
        <w:rPr>
          <w:snapToGrid w:val="0"/>
        </w:rPr>
      </w:pPr>
      <w:r>
        <w:rPr>
          <w:snapToGrid w:val="0"/>
        </w:rPr>
        <w:t>Shires: Albany, Armadale</w:t>
      </w:r>
      <w:r>
        <w:rPr>
          <w:snapToGrid w:val="0"/>
        </w:rPr>
        <w:noBreakHyphen/>
        <w:t>Kelmscott, Ashburton, Augusta</w:t>
      </w:r>
      <w:r>
        <w:rPr>
          <w:snapToGrid w:val="0"/>
        </w:rPr>
        <w:noBreakHyphen/>
        <w:t>Margaret River, Balingup, Bassendean, Bayswater, Belmont, Beverley, Sandstone, Bridgetown, Brookton, Broome, Broomehill, Bruce Rock, Busselton, Canning, Capel, Carnamah, Chapman Valley, Chittering, Cockburn, Collie, Coolgardie, Coorow, Corrigin, Cranbrook, Cuballing, Cue, Cunderdin, Dalwallinu, Dandaragan, Dardanup, Kalamunda, Denmark, Dowerin, Waroona, Dumbleyung, Dundas, Esperance, Gascoyne</w:t>
      </w:r>
      <w:r>
        <w:rPr>
          <w:snapToGrid w:val="0"/>
        </w:rPr>
        <w:noBreakHyphen/>
        <w:t>Minilya, Geraldton</w:t>
      </w:r>
      <w:r>
        <w:rPr>
          <w:snapToGrid w:val="0"/>
        </w:rPr>
        <w:noBreakHyphen/>
        <w:t>Greenough, Gingin, Gnowangerup, Goomalling, Gosnells, Greenbushes, Hall’s Creek, Harvey, Irwin, Kalgoorlie, Katanning, Kellerberrin, Kojonup, Kondinin, Koorda, Kulin, Trayning</w:t>
      </w:r>
      <w:r>
        <w:rPr>
          <w:snapToGrid w:val="0"/>
        </w:rPr>
        <w:noBreakHyphen/>
        <w:t>Kununoppin</w:t>
      </w:r>
      <w:r>
        <w:rPr>
          <w:snapToGrid w:val="0"/>
        </w:rPr>
        <w:noBreakHyphen/>
        <w:t>Yelbeni, Kwinana, Lake Grace, Laverton, Leonora, Mt. Marshall, Mt. Magnet, Mandurah, Manjimup, Marble Bar, Boddington, Meekatharra, Melville, Menzies, Merredin, Mingenew, Moora, Morawa, Mosman Park, Mukinbudin, Mullewa, Mundaring, Murchison, Murray, Nannup, Narembeen, Narrogin, Northam, Northampton, Nullagine, Nungarin, Nyabing</w:t>
      </w:r>
      <w:r>
        <w:rPr>
          <w:snapToGrid w:val="0"/>
        </w:rPr>
        <w:noBreakHyphen/>
        <w:t>Pingrup, Peppermint Grove, Perenjori, Perth, Ravensthorpe, Pingelly, Plantagenet, Port Hedland, Donnybrook, Quairading, Rockingham, Roebourne, Serpentine</w:t>
      </w:r>
      <w:r>
        <w:rPr>
          <w:snapToGrid w:val="0"/>
        </w:rPr>
        <w:noBreakHyphen/>
        <w:t>Jarrahdale, Shark Bay, Swan</w:t>
      </w:r>
      <w:r>
        <w:rPr>
          <w:snapToGrid w:val="0"/>
        </w:rPr>
        <w:noBreakHyphen/>
        <w:t>Guildford, Tableland, Tambellup, Tammin, Three Springs, Toodyay, Upper Blackwood, Upper Gascoyne, Victoria Plains, Wagin, Wandering, Wanneroo, West Arthur, West Kimberley, Westonia, Wickepin, Wiluna, Williams, Woodanilling, Wongan</w:t>
      </w:r>
      <w:r>
        <w:rPr>
          <w:snapToGrid w:val="0"/>
        </w:rPr>
        <w:noBreakHyphen/>
        <w:t>Ballidu, Wyalkatchem, Wyndham</w:t>
      </w:r>
      <w:r>
        <w:rPr>
          <w:snapToGrid w:val="0"/>
        </w:rPr>
        <w:noBreakHyphen/>
        <w:t>East Kimberley, Yalgoo, Yilgarn, York.</w:t>
      </w:r>
    </w:p>
    <w:p>
      <w:pPr>
        <w:pStyle w:val="yFootnotesection"/>
      </w:pPr>
      <w:r>
        <w:tab/>
        <w:t xml:space="preserve">[Schedule inserted: Gazette 10 Oct 1961 p. 2860; amended: Gazette 16 Mar 1967 p. 722.]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4" w:name="_Toc378252341"/>
      <w:bookmarkStart w:id="25" w:name="_Toc418862172"/>
      <w:bookmarkStart w:id="26" w:name="_Toc472518928"/>
      <w:bookmarkStart w:id="27" w:name="_Toc472690438"/>
      <w:r>
        <w:t>Notes</w:t>
      </w:r>
      <w:bookmarkEnd w:id="24"/>
      <w:bookmarkEnd w:id="25"/>
      <w:bookmarkEnd w:id="26"/>
      <w:bookmarkEnd w:id="27"/>
    </w:p>
    <w:p>
      <w:pPr>
        <w:pStyle w:val="nSubsection"/>
      </w:pPr>
      <w:r>
        <w:rPr>
          <w:snapToGrid w:val="0"/>
          <w:vertAlign w:val="superscript"/>
        </w:rPr>
        <w:t>1</w:t>
      </w:r>
      <w:r>
        <w:rPr>
          <w:snapToGrid w:val="0"/>
          <w:vertAlign w:val="superscript"/>
        </w:rPr>
        <w:tab/>
      </w:r>
      <w:r>
        <w:rPr>
          <w:snapToGrid w:val="0"/>
        </w:rPr>
        <w:t xml:space="preserve">This is a compilation of the </w:t>
      </w:r>
      <w:r>
        <w:rPr>
          <w:i/>
          <w:snapToGrid w:val="0"/>
        </w:rPr>
        <w:t>Fly Eradication Regulations</w:t>
      </w:r>
      <w:r>
        <w:rPr>
          <w:snapToGrid w:val="0"/>
        </w:rPr>
        <w:t xml:space="preserve"> and includes the amendments made by the other written laws referred to in the following table.  </w:t>
      </w:r>
      <w:r>
        <w:t>The table also contains information about any reprint.</w:t>
      </w:r>
    </w:p>
    <w:p>
      <w:pPr>
        <w:pStyle w:val="nHeading3"/>
        <w:rPr>
          <w:snapToGrid w:val="0"/>
        </w:rPr>
      </w:pPr>
      <w:bookmarkStart w:id="28" w:name="_Toc378252342"/>
      <w:bookmarkStart w:id="29" w:name="_Toc472690439"/>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Fly Eradication Regulations</w:t>
            </w:r>
          </w:p>
        </w:tc>
        <w:tc>
          <w:tcPr>
            <w:tcW w:w="1276" w:type="dxa"/>
          </w:tcPr>
          <w:p>
            <w:pPr>
              <w:pStyle w:val="nTable"/>
              <w:spacing w:before="120"/>
            </w:pPr>
            <w:r>
              <w:t>2 Mar 1961 p. 579</w:t>
            </w:r>
            <w:r>
              <w:noBreakHyphen/>
              <w:t>80</w:t>
            </w:r>
          </w:p>
        </w:tc>
        <w:tc>
          <w:tcPr>
            <w:tcW w:w="2693" w:type="dxa"/>
          </w:tcPr>
          <w:p>
            <w:pPr>
              <w:pStyle w:val="nTable"/>
              <w:spacing w:before="120"/>
            </w:pPr>
            <w:r>
              <w:t>2 Mar 1961</w:t>
            </w:r>
          </w:p>
        </w:tc>
      </w:tr>
      <w:tr>
        <w:trPr>
          <w:cantSplit/>
        </w:trPr>
        <w:tc>
          <w:tcPr>
            <w:tcW w:w="3119" w:type="dxa"/>
          </w:tcPr>
          <w:p>
            <w:pPr>
              <w:pStyle w:val="nTable"/>
              <w:spacing w:before="120"/>
              <w:ind w:right="113"/>
            </w:pPr>
          </w:p>
        </w:tc>
        <w:tc>
          <w:tcPr>
            <w:tcW w:w="1276" w:type="dxa"/>
          </w:tcPr>
          <w:p>
            <w:pPr>
              <w:pStyle w:val="nTable"/>
              <w:spacing w:before="120"/>
            </w:pPr>
            <w:r>
              <w:t>10 Oct 1961 p. 2860</w:t>
            </w:r>
          </w:p>
        </w:tc>
        <w:tc>
          <w:tcPr>
            <w:tcW w:w="2693" w:type="dxa"/>
          </w:tcPr>
          <w:p>
            <w:pPr>
              <w:pStyle w:val="nTable"/>
              <w:spacing w:before="120"/>
            </w:pPr>
            <w:r>
              <w:t>10 Oct 1961</w:t>
            </w:r>
          </w:p>
        </w:tc>
      </w:tr>
      <w:tr>
        <w:trPr>
          <w:cantSplit/>
        </w:trPr>
        <w:tc>
          <w:tcPr>
            <w:tcW w:w="3119" w:type="dxa"/>
          </w:tcPr>
          <w:p>
            <w:pPr>
              <w:pStyle w:val="nTable"/>
              <w:spacing w:before="120"/>
              <w:ind w:right="113"/>
            </w:pPr>
          </w:p>
        </w:tc>
        <w:tc>
          <w:tcPr>
            <w:tcW w:w="1276" w:type="dxa"/>
          </w:tcPr>
          <w:p>
            <w:pPr>
              <w:pStyle w:val="nTable"/>
              <w:spacing w:before="120"/>
            </w:pPr>
            <w:r>
              <w:t>16 Mar 1967 p. 722</w:t>
            </w:r>
          </w:p>
        </w:tc>
        <w:tc>
          <w:tcPr>
            <w:tcW w:w="2693" w:type="dxa"/>
          </w:tcPr>
          <w:p>
            <w:pPr>
              <w:pStyle w:val="nTable"/>
              <w:spacing w:before="120"/>
            </w:pPr>
            <w:r>
              <w:t>16 Mar 1967</w:t>
            </w:r>
          </w:p>
        </w:tc>
      </w:tr>
      <w:tr>
        <w:trPr>
          <w:cantSplit/>
        </w:trPr>
        <w:tc>
          <w:tcPr>
            <w:tcW w:w="3119" w:type="dxa"/>
          </w:tcPr>
          <w:p>
            <w:pPr>
              <w:pStyle w:val="nTable"/>
              <w:spacing w:before="120"/>
              <w:ind w:right="113"/>
            </w:pPr>
            <w:r>
              <w:rPr>
                <w:i/>
              </w:rPr>
              <w:t>Health (Offences and Penalties) Amendment Regulations 1988</w:t>
            </w:r>
            <w:r>
              <w:t xml:space="preserve"> Pt. 5</w:t>
            </w:r>
          </w:p>
        </w:tc>
        <w:tc>
          <w:tcPr>
            <w:tcW w:w="1276" w:type="dxa"/>
          </w:tcPr>
          <w:p>
            <w:pPr>
              <w:pStyle w:val="nTable"/>
              <w:spacing w:before="120"/>
            </w:pPr>
            <w:r>
              <w:t>14 Oct 1988 p. 4160-3</w:t>
            </w:r>
          </w:p>
        </w:tc>
        <w:tc>
          <w:tcPr>
            <w:tcW w:w="2693" w:type="dxa"/>
          </w:tcPr>
          <w:p>
            <w:pPr>
              <w:pStyle w:val="nTable"/>
              <w:spacing w:before="120"/>
            </w:pPr>
            <w:r>
              <w:t>14 Oct 1988</w:t>
            </w:r>
          </w:p>
        </w:tc>
      </w:tr>
      <w:tr>
        <w:trPr>
          <w:cantSplit/>
        </w:trPr>
        <w:tc>
          <w:tcPr>
            <w:tcW w:w="7088" w:type="dxa"/>
            <w:gridSpan w:val="3"/>
          </w:tcPr>
          <w:p>
            <w:pPr>
              <w:pStyle w:val="nTable"/>
              <w:spacing w:before="120"/>
            </w:pPr>
            <w:r>
              <w:rPr>
                <w:b/>
              </w:rPr>
              <w:t xml:space="preserve">Reprint of the </w:t>
            </w:r>
            <w:r>
              <w:rPr>
                <w:b/>
                <w:i/>
              </w:rPr>
              <w:t>Fly Eradication Regulations</w:t>
            </w:r>
            <w:r>
              <w:rPr>
                <w:b/>
              </w:rPr>
              <w:t xml:space="preserve"> as at 2 Nov 2001 </w:t>
            </w:r>
            <w:r>
              <w:t>(includes amendments listed above)</w:t>
            </w:r>
          </w:p>
        </w:tc>
      </w:tr>
      <w:tr>
        <w:trPr>
          <w:cantSplit/>
        </w:trPr>
        <w:tc>
          <w:tcPr>
            <w:tcW w:w="3119" w:type="dxa"/>
            <w:tcBorders>
              <w:bottom w:val="single" w:sz="4" w:space="0" w:color="auto"/>
            </w:tcBorders>
          </w:tcPr>
          <w:p>
            <w:pPr>
              <w:pStyle w:val="nTable"/>
              <w:spacing w:before="120"/>
              <w:ind w:right="113"/>
            </w:pPr>
            <w:r>
              <w:rPr>
                <w:i/>
              </w:rPr>
              <w:t xml:space="preserve">Health Regulations Amendment (Public Health) Regulations 2016 </w:t>
            </w:r>
            <w:r>
              <w:t>Pt.</w:t>
            </w:r>
            <w:r>
              <w:rPr>
                <w:i/>
              </w:rPr>
              <w:t> </w:t>
            </w:r>
            <w:r>
              <w:t>5</w:t>
            </w:r>
          </w:p>
        </w:tc>
        <w:tc>
          <w:tcPr>
            <w:tcW w:w="1276" w:type="dxa"/>
            <w:tcBorders>
              <w:bottom w:val="single" w:sz="4" w:space="0" w:color="auto"/>
            </w:tcBorders>
          </w:tcPr>
          <w:p>
            <w:pPr>
              <w:pStyle w:val="nTable"/>
              <w:spacing w:before="120"/>
            </w:pPr>
            <w:r>
              <w:t>10 Jan 2017 p. 237</w:t>
            </w:r>
            <w:r>
              <w:noBreakHyphen/>
              <w:t>308</w:t>
            </w:r>
          </w:p>
        </w:tc>
        <w:tc>
          <w:tcPr>
            <w:tcW w:w="2693" w:type="dxa"/>
            <w:tcBorders>
              <w:bottom w:val="single" w:sz="4" w:space="0" w:color="auto"/>
            </w:tcBorders>
          </w:tcPr>
          <w:p>
            <w:pPr>
              <w:pStyle w:val="nTable"/>
              <w:spacing w:before="120"/>
            </w:pPr>
            <w:r>
              <w:t xml:space="preserve">24 Jan 2017 (see r. 2(b) and </w:t>
            </w:r>
            <w:r>
              <w:rPr>
                <w:i/>
              </w:rPr>
              <w:t>Gazette</w:t>
            </w:r>
            <w:r>
              <w:t xml:space="preserve"> 10 Jan 2017 p. 165)</w:t>
            </w:r>
          </w:p>
        </w:tc>
      </w:tr>
    </w:tbl>
    <w:p>
      <w:pPr>
        <w:pStyle w:val="nSubsection"/>
        <w:spacing w:before="160"/>
        <w:ind w:left="448" w:hanging="448"/>
        <w:rPr>
          <w:snapToGrid w:val="0"/>
        </w:rPr>
      </w:pPr>
      <w:r>
        <w:rPr>
          <w:snapToGrid w:val="0"/>
          <w:vertAlign w:val="superscript"/>
        </w:rPr>
        <w:t>2</w:t>
      </w:r>
      <w:r>
        <w:rPr>
          <w:snapToGrid w:val="0"/>
          <w:vertAlign w:val="superscript"/>
        </w:rPr>
        <w:tab/>
      </w:r>
      <w:r>
        <w:rPr>
          <w:snapToGrid w:val="0"/>
        </w:rPr>
        <w:t>The former municipal district of the City of Perth has been divided into 4 local government districts, namely the City of Perth, and the towns of Vincent, Cambridge and Victoria Park (formerly Shepperton).</w:t>
      </w:r>
    </w:p>
    <w:p>
      <w:pPr>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Fly Eradication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Fly Eradication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006"/>
    <w:docVar w:name="WAFER_20140123142027" w:val="RemoveTocBookmarks,RemoveUnusedBookmarks,RemoveLanguageTags,UsedStyles,ResetPageSize,UpdateArrangement"/>
    <w:docVar w:name="WAFER_20140123142027_GUID" w:val="fe1749f5-ac29-4fd2-8c38-a85b525736fe"/>
    <w:docVar w:name="WAFER_20140123142053" w:val="RemoveTocBookmarks,RemoveUnusedBookmarks,RemoveLanguageTags,UsedStyles,ResetPageSize,UpdateArrangement"/>
    <w:docVar w:name="WAFER_20140123142053_GUID" w:val="492b2c7f-d9c7-416e-b685-08b3fed9bd38"/>
    <w:docVar w:name="WAFER_20140123145055" w:val="RemoveTocBookmarks,RunningHeaders"/>
    <w:docVar w:name="WAFER_20140123145055_GUID" w:val="5c5142ea-eecb-4cdf-8f51-957c8c02015f"/>
    <w:docVar w:name="WAFER_20150508111015" w:val="ResetPageSize,UpdateArrangement,UpdateNTable"/>
    <w:docVar w:name="WAFER_20150508111015_GUID" w:val="c3fb1aba-2dea-4274-8226-06355714aa1b"/>
    <w:docVar w:name="WAFER_20151105105006" w:val="UpdateStyles,UsedStyles"/>
    <w:docVar w:name="WAFER_20151105105006_GUID" w:val="48ca4822-3111-4490-9fb5-2c70c18ef5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2618">
      <w:bodyDiv w:val="1"/>
      <w:marLeft w:val="0"/>
      <w:marRight w:val="0"/>
      <w:marTop w:val="0"/>
      <w:marBottom w:val="0"/>
      <w:divBdr>
        <w:top w:val="none" w:sz="0" w:space="0" w:color="auto"/>
        <w:left w:val="none" w:sz="0" w:space="0" w:color="auto"/>
        <w:bottom w:val="none" w:sz="0" w:space="0" w:color="auto"/>
        <w:right w:val="none" w:sz="0" w:space="0" w:color="auto"/>
      </w:divBdr>
    </w:div>
    <w:div w:id="17559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1093</Words>
  <Characters>6091</Characters>
  <Application>Microsoft Office Word</Application>
  <DocSecurity>0</DocSecurity>
  <Lines>184</Lines>
  <Paragraphs>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Eradication Regulations - 01-c0-02</dc:title>
  <dc:subject/>
  <dc:creator/>
  <cp:keywords/>
  <dc:description/>
  <cp:lastModifiedBy>svcMRProcess</cp:lastModifiedBy>
  <cp:revision>4</cp:revision>
  <cp:lastPrinted>2001-11-09T00:26:00Z</cp:lastPrinted>
  <dcterms:created xsi:type="dcterms:W3CDTF">2019-01-16T04:26:00Z</dcterms:created>
  <dcterms:modified xsi:type="dcterms:W3CDTF">2019-01-16T04:26:00Z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1961 pp.579-80</vt:lpwstr>
  </property>
  <property fmtid="{D5CDD505-2E9C-101B-9397-08002B2CF9AE}" pid="3" name="DocumentType">
    <vt:lpwstr>Reg</vt:lpwstr>
  </property>
  <property fmtid="{D5CDD505-2E9C-101B-9397-08002B2CF9AE}" pid="4" name="CommencementDate">
    <vt:lpwstr>20170124</vt:lpwstr>
  </property>
  <property fmtid="{D5CDD505-2E9C-101B-9397-08002B2CF9AE}" pid="5" name="AsAtDate">
    <vt:lpwstr>24 Jan 2017</vt:lpwstr>
  </property>
  <property fmtid="{D5CDD505-2E9C-101B-9397-08002B2CF9AE}" pid="6" name="Suffix">
    <vt:lpwstr>01-c0-02</vt:lpwstr>
  </property>
</Properties>
</file>