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_Toc472953917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_Toc472953918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_Toc472953919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petroleum operations or geothermal energy operations etc.</w:t>
      </w:r>
      <w:r>
        <w:tab/>
      </w:r>
      <w:r>
        <w:fldChar w:fldCharType="begin"/>
      </w:r>
      <w:r>
        <w:instrText xml:space="preserve"> PAGEREF _Toc472953921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_Toc472953922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_Toc472953923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_Toc472953926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_Toc472953928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_Toc472953929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_Toc472953930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_Toc472953931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_Toc472953932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_Toc472953934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_Toc472953935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_Toc472953936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_Toc472953938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_Toc472953939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_Toc472953940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_Toc472953941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_Toc472953942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_Toc472953943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_Toc472953944 \h </w:instrText>
      </w:r>
      <w:r>
        <w:fldChar w:fldCharType="separate"/>
      </w:r>
      <w:r>
        <w:t>9</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_Toc472953945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_Toc472953947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_Toc472953948 \h </w:instrText>
      </w:r>
      <w:r>
        <w:fldChar w:fldCharType="separate"/>
      </w:r>
      <w:r>
        <w:t>10</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_Toc472953949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_Toc472953951 \h </w:instrText>
      </w:r>
      <w:r>
        <w:fldChar w:fldCharType="separate"/>
      </w:r>
      <w:r>
        <w:t>12</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_Toc472953952 \h </w:instrText>
      </w:r>
      <w:r>
        <w:fldChar w:fldCharType="separate"/>
      </w:r>
      <w:r>
        <w:t>12</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_Toc472953953 \h </w:instrText>
      </w:r>
      <w:r>
        <w:fldChar w:fldCharType="separate"/>
      </w:r>
      <w:r>
        <w:t>12</w:t>
      </w:r>
      <w:r>
        <w:fldChar w:fldCharType="end"/>
      </w:r>
    </w:p>
    <w:p>
      <w:pPr>
        <w:pStyle w:val="TOC8"/>
        <w:rPr>
          <w:rFonts w:asciiTheme="minorHAnsi" w:eastAsiaTheme="minorEastAsia" w:hAnsiTheme="minorHAnsi" w:cstheme="minorBidi"/>
          <w:szCs w:val="22"/>
        </w:rPr>
      </w:pPr>
      <w:r>
        <w:t>30.</w:t>
      </w:r>
      <w:r>
        <w:tab/>
        <w:t>Person must leave petroleum operation or geothermal energy operation when required to do so</w:t>
      </w:r>
      <w:r>
        <w:tab/>
      </w:r>
      <w:r>
        <w:fldChar w:fldCharType="begin"/>
      </w:r>
      <w:r>
        <w:instrText xml:space="preserve"> PAGEREF _Toc472953954 \h </w:instrText>
      </w:r>
      <w:r>
        <w:fldChar w:fldCharType="separate"/>
      </w:r>
      <w:r>
        <w:t>14</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_Toc472953955 \h </w:instrText>
      </w:r>
      <w:r>
        <w:fldChar w:fldCharType="separate"/>
      </w:r>
      <w:r>
        <w:t>14</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_Toc472953956 \h </w:instrText>
      </w:r>
      <w:r>
        <w:fldChar w:fldCharType="separate"/>
      </w:r>
      <w:r>
        <w:t>15</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_Toc472953957 \h </w:instrText>
      </w:r>
      <w:r>
        <w:fldChar w:fldCharType="separate"/>
      </w:r>
      <w:r>
        <w:t>16</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_Toc472953958 \h </w:instrText>
      </w:r>
      <w:r>
        <w:fldChar w:fldCharType="separate"/>
      </w:r>
      <w:r>
        <w:t>17</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_Toc472953959 \h </w:instrText>
      </w:r>
      <w:r>
        <w:fldChar w:fldCharType="separate"/>
      </w:r>
      <w:r>
        <w:t>17</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_Toc472953960 \h </w:instrText>
      </w:r>
      <w:r>
        <w:fldChar w:fldCharType="separate"/>
      </w:r>
      <w:r>
        <w:t>18</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_Toc472953961 \h </w:instrText>
      </w:r>
      <w:r>
        <w:fldChar w:fldCharType="separate"/>
      </w:r>
      <w:r>
        <w:t>18</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_Toc472953962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_Toc472953964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_Toc472953968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_Toc472953972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3" w:name="_Toc471992695"/>
      <w:bookmarkStart w:id="4" w:name="_Toc47295391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953917"/>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7" w:name="_Toc47295391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8" w:name="_Toc472953919"/>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9" w:name="_Toc471992699"/>
      <w:bookmarkStart w:id="10" w:name="_Toc472953920"/>
      <w:r>
        <w:rPr>
          <w:rStyle w:val="CharPartNo"/>
        </w:rPr>
        <w:t>Part 2</w:t>
      </w:r>
      <w:r>
        <w:rPr>
          <w:rStyle w:val="CharDivNo"/>
        </w:rPr>
        <w:t> </w:t>
      </w:r>
      <w:r>
        <w:t>—</w:t>
      </w:r>
      <w:r>
        <w:rPr>
          <w:rStyle w:val="CharDivText"/>
        </w:rPr>
        <w:t> </w:t>
      </w:r>
      <w:r>
        <w:rPr>
          <w:rStyle w:val="CharPartText"/>
        </w:rPr>
        <w:t>Matters prescribed for particular provisions of the Act</w:t>
      </w:r>
      <w:bookmarkEnd w:id="9"/>
      <w:bookmarkEnd w:id="10"/>
    </w:p>
    <w:p>
      <w:pPr>
        <w:pStyle w:val="Heading5"/>
      </w:pPr>
      <w:bookmarkStart w:id="11" w:name="_Toc472953921"/>
      <w:r>
        <w:rPr>
          <w:rStyle w:val="CharSectno"/>
        </w:rPr>
        <w:t>4</w:t>
      </w:r>
      <w:r>
        <w:t>.</w:t>
      </w:r>
      <w:r>
        <w:tab/>
        <w:t>Occupational safety and health laws that do not apply to petroleum operations or geothermal energy operations etc.</w:t>
      </w:r>
      <w:bookmarkEnd w:id="11"/>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12" w:name="_Toc472953922"/>
      <w:r>
        <w:rPr>
          <w:rStyle w:val="CharSectno"/>
        </w:rPr>
        <w:t>5</w:t>
      </w:r>
      <w:r>
        <w:t>.</w:t>
      </w:r>
      <w:r>
        <w:tab/>
        <w:t>Reviewing authority</w:t>
      </w:r>
      <w:bookmarkEnd w:id="12"/>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3" w:name="_Toc472953923"/>
      <w:r>
        <w:rPr>
          <w:rStyle w:val="CharSectno"/>
        </w:rPr>
        <w:t>6</w:t>
      </w:r>
      <w:r>
        <w:t>.</w:t>
      </w:r>
      <w:r>
        <w:tab/>
        <w:t>Exemption orders under Sch. 1 cl. 44</w:t>
      </w:r>
      <w:bookmarkEnd w:id="13"/>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4" w:name="_Toc471992703"/>
      <w:bookmarkStart w:id="15" w:name="_Toc472953924"/>
      <w:r>
        <w:rPr>
          <w:rStyle w:val="CharPartNo"/>
        </w:rPr>
        <w:t>Part 3</w:t>
      </w:r>
      <w:r>
        <w:t> — </w:t>
      </w:r>
      <w:r>
        <w:rPr>
          <w:rStyle w:val="CharPartText"/>
        </w:rPr>
        <w:t>Election of safety and health representatives</w:t>
      </w:r>
      <w:bookmarkEnd w:id="14"/>
      <w:bookmarkEnd w:id="15"/>
    </w:p>
    <w:p>
      <w:pPr>
        <w:pStyle w:val="Heading3"/>
      </w:pPr>
      <w:bookmarkStart w:id="16" w:name="_Toc471992704"/>
      <w:bookmarkStart w:id="17" w:name="_Toc472953925"/>
      <w:r>
        <w:rPr>
          <w:rStyle w:val="CharDivNo"/>
        </w:rPr>
        <w:t>Division 1</w:t>
      </w:r>
      <w:r>
        <w:t> — </w:t>
      </w:r>
      <w:r>
        <w:rPr>
          <w:rStyle w:val="CharDivText"/>
        </w:rPr>
        <w:t>Returning officer</w:t>
      </w:r>
      <w:bookmarkEnd w:id="16"/>
      <w:bookmarkEnd w:id="17"/>
    </w:p>
    <w:p>
      <w:pPr>
        <w:pStyle w:val="Heading5"/>
      </w:pPr>
      <w:bookmarkStart w:id="18" w:name="_Toc472953926"/>
      <w:r>
        <w:rPr>
          <w:rStyle w:val="CharSectno"/>
        </w:rPr>
        <w:t>7</w:t>
      </w:r>
      <w:r>
        <w:t>.</w:t>
      </w:r>
      <w:r>
        <w:tab/>
        <w:t>Appointment of returning officer</w:t>
      </w:r>
      <w:bookmarkEnd w:id="18"/>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19" w:name="_Toc471992706"/>
      <w:bookmarkStart w:id="20" w:name="_Toc472953927"/>
      <w:r>
        <w:rPr>
          <w:rStyle w:val="CharDivNo"/>
        </w:rPr>
        <w:t>Division 2</w:t>
      </w:r>
      <w:r>
        <w:t> — </w:t>
      </w:r>
      <w:r>
        <w:rPr>
          <w:rStyle w:val="CharDivText"/>
        </w:rPr>
        <w:t>The poll</w:t>
      </w:r>
      <w:bookmarkEnd w:id="19"/>
      <w:bookmarkEnd w:id="20"/>
    </w:p>
    <w:p>
      <w:pPr>
        <w:pStyle w:val="Heading5"/>
      </w:pPr>
      <w:bookmarkStart w:id="21" w:name="_Toc472953928"/>
      <w:r>
        <w:rPr>
          <w:rStyle w:val="CharSectno"/>
        </w:rPr>
        <w:t>8</w:t>
      </w:r>
      <w:r>
        <w:t>.</w:t>
      </w:r>
      <w:r>
        <w:tab/>
        <w:t>Number of votes</w:t>
      </w:r>
      <w:bookmarkEnd w:id="21"/>
    </w:p>
    <w:p>
      <w:pPr>
        <w:pStyle w:val="Subsection"/>
      </w:pPr>
      <w:r>
        <w:tab/>
      </w:r>
      <w:r>
        <w:tab/>
        <w:t>Each voter in relation to an election is entitled to one vote only in the election.</w:t>
      </w:r>
    </w:p>
    <w:p>
      <w:pPr>
        <w:pStyle w:val="Heading5"/>
      </w:pPr>
      <w:bookmarkStart w:id="22" w:name="_Toc472953929"/>
      <w:r>
        <w:rPr>
          <w:rStyle w:val="CharSectno"/>
        </w:rPr>
        <w:t>9</w:t>
      </w:r>
      <w:r>
        <w:t>.</w:t>
      </w:r>
      <w:r>
        <w:tab/>
        <w:t>Right to secret ballot</w:t>
      </w:r>
      <w:bookmarkEnd w:id="22"/>
    </w:p>
    <w:p>
      <w:pPr>
        <w:pStyle w:val="Subsection"/>
      </w:pPr>
      <w:r>
        <w:tab/>
      </w:r>
      <w:r>
        <w:tab/>
        <w:t>A voter in relation to an election may request the returning officer for the election to conduct the poll for the election by secret ballot.</w:t>
      </w:r>
    </w:p>
    <w:p>
      <w:pPr>
        <w:pStyle w:val="Heading5"/>
      </w:pPr>
      <w:bookmarkStart w:id="23" w:name="_Toc472953930"/>
      <w:r>
        <w:rPr>
          <w:rStyle w:val="CharSectno"/>
        </w:rPr>
        <w:t>10</w:t>
      </w:r>
      <w:r>
        <w:t>.</w:t>
      </w:r>
      <w:r>
        <w:tab/>
        <w:t>Conduct of poll by secret ballot</w:t>
      </w:r>
      <w:bookmarkEnd w:id="23"/>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4" w:name="_Toc472953931"/>
      <w:r>
        <w:rPr>
          <w:rStyle w:val="CharSectno"/>
        </w:rPr>
        <w:t>11</w:t>
      </w:r>
      <w:r>
        <w:t>.</w:t>
      </w:r>
      <w:r>
        <w:tab/>
        <w:t>Conduct of poll if no request made for secret ballot</w:t>
      </w:r>
      <w:bookmarkEnd w:id="2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25" w:name="_Toc472953932"/>
      <w:r>
        <w:rPr>
          <w:rStyle w:val="CharSectno"/>
        </w:rPr>
        <w:t>12</w:t>
      </w:r>
      <w:r>
        <w:t>.</w:t>
      </w:r>
      <w:r>
        <w:tab/>
        <w:t>If no candidate is elected</w:t>
      </w:r>
      <w:bookmarkEnd w:id="25"/>
    </w:p>
    <w:p>
      <w:pPr>
        <w:pStyle w:val="Subsection"/>
      </w:pPr>
      <w:r>
        <w:tab/>
      </w:r>
      <w:r>
        <w:tab/>
        <w:t>An election is to be taken to have failed if no candidate is elected in the election.</w:t>
      </w:r>
    </w:p>
    <w:p>
      <w:pPr>
        <w:pStyle w:val="Heading3"/>
      </w:pPr>
      <w:bookmarkStart w:id="26" w:name="_Toc471992712"/>
      <w:bookmarkStart w:id="27" w:name="_Toc472953933"/>
      <w:r>
        <w:rPr>
          <w:rStyle w:val="CharDivNo"/>
        </w:rPr>
        <w:t>Division 3</w:t>
      </w:r>
      <w:r>
        <w:t> — </w:t>
      </w:r>
      <w:r>
        <w:rPr>
          <w:rStyle w:val="CharDivText"/>
        </w:rPr>
        <w:t>Polling by secret ballot</w:t>
      </w:r>
      <w:bookmarkEnd w:id="26"/>
      <w:bookmarkEnd w:id="27"/>
    </w:p>
    <w:p>
      <w:pPr>
        <w:pStyle w:val="Heading5"/>
      </w:pPr>
      <w:bookmarkStart w:id="28" w:name="_Toc472953934"/>
      <w:r>
        <w:rPr>
          <w:rStyle w:val="CharSectno"/>
        </w:rPr>
        <w:t>13</w:t>
      </w:r>
      <w:r>
        <w:t>.</w:t>
      </w:r>
      <w:r>
        <w:tab/>
        <w:t>Ballot papers</w:t>
      </w:r>
      <w:bookmarkEnd w:id="28"/>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29" w:name="_Toc472953935"/>
      <w:r>
        <w:rPr>
          <w:rStyle w:val="CharSectno"/>
        </w:rPr>
        <w:t>14</w:t>
      </w:r>
      <w:r>
        <w:t>.</w:t>
      </w:r>
      <w:r>
        <w:tab/>
        <w:t>Distribution of ballot papers</w:t>
      </w:r>
      <w:bookmarkEnd w:id="29"/>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0" w:name="_Toc472953936"/>
      <w:r>
        <w:rPr>
          <w:rStyle w:val="CharSectno"/>
        </w:rPr>
        <w:t>15</w:t>
      </w:r>
      <w:r>
        <w:t>.</w:t>
      </w:r>
      <w:r>
        <w:tab/>
        <w:t>Manner of voting by secret ballot</w:t>
      </w:r>
      <w:bookmarkEnd w:id="30"/>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1" w:name="_Toc471992716"/>
      <w:bookmarkStart w:id="32" w:name="_Toc472953937"/>
      <w:r>
        <w:rPr>
          <w:rStyle w:val="CharDivNo"/>
        </w:rPr>
        <w:t>Division 4</w:t>
      </w:r>
      <w:r>
        <w:t> — </w:t>
      </w:r>
      <w:r>
        <w:rPr>
          <w:rStyle w:val="CharDivText"/>
        </w:rPr>
        <w:t>The count</w:t>
      </w:r>
      <w:bookmarkEnd w:id="31"/>
      <w:bookmarkEnd w:id="32"/>
    </w:p>
    <w:p>
      <w:pPr>
        <w:pStyle w:val="Heading5"/>
      </w:pPr>
      <w:bookmarkStart w:id="33" w:name="_Toc472953938"/>
      <w:r>
        <w:rPr>
          <w:rStyle w:val="CharSectno"/>
        </w:rPr>
        <w:t>16</w:t>
      </w:r>
      <w:r>
        <w:t>.</w:t>
      </w:r>
      <w:r>
        <w:tab/>
        <w:t>Envelopes given to returning officer</w:t>
      </w:r>
      <w:bookmarkEnd w:id="33"/>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34" w:name="_Toc472953939"/>
      <w:r>
        <w:rPr>
          <w:rStyle w:val="CharSectno"/>
        </w:rPr>
        <w:t>17</w:t>
      </w:r>
      <w:r>
        <w:t>.</w:t>
      </w:r>
      <w:r>
        <w:tab/>
        <w:t>Scrutineers</w:t>
      </w:r>
      <w:bookmarkEnd w:id="34"/>
    </w:p>
    <w:p>
      <w:pPr>
        <w:pStyle w:val="Subsection"/>
      </w:pPr>
      <w:r>
        <w:tab/>
      </w:r>
      <w:r>
        <w:tab/>
        <w:t>Each candidate in a poll conducted by secret ballot may appoint one scrutineer to represent the candidate at the count.</w:t>
      </w:r>
    </w:p>
    <w:p>
      <w:pPr>
        <w:pStyle w:val="Heading5"/>
      </w:pPr>
      <w:bookmarkStart w:id="35" w:name="_Toc472953940"/>
      <w:r>
        <w:rPr>
          <w:rStyle w:val="CharSectno"/>
        </w:rPr>
        <w:t>18</w:t>
      </w:r>
      <w:r>
        <w:t>.</w:t>
      </w:r>
      <w:r>
        <w:tab/>
        <w:t>Returning officer to be advised of scrutineers</w:t>
      </w:r>
      <w:bookmarkEnd w:id="35"/>
    </w:p>
    <w:p>
      <w:pPr>
        <w:pStyle w:val="Subsection"/>
      </w:pPr>
      <w:r>
        <w:tab/>
      </w:r>
      <w:r>
        <w:tab/>
        <w:t>A candidate must tell the returning officer for the election the name of the candidate’s scrutineer (if any) before the commencement of the count.</w:t>
      </w:r>
    </w:p>
    <w:p>
      <w:pPr>
        <w:pStyle w:val="Heading5"/>
      </w:pPr>
      <w:bookmarkStart w:id="36" w:name="_Toc472953941"/>
      <w:r>
        <w:rPr>
          <w:rStyle w:val="CharSectno"/>
        </w:rPr>
        <w:t>19</w:t>
      </w:r>
      <w:r>
        <w:t>.</w:t>
      </w:r>
      <w:r>
        <w:tab/>
        <w:t>Persons present at the count</w:t>
      </w:r>
      <w:bookmarkEnd w:id="36"/>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37" w:name="_Toc472953942"/>
      <w:r>
        <w:rPr>
          <w:rStyle w:val="CharSectno"/>
        </w:rPr>
        <w:t>20</w:t>
      </w:r>
      <w:r>
        <w:t>.</w:t>
      </w:r>
      <w:r>
        <w:tab/>
        <w:t>Conduct of the count</w:t>
      </w:r>
      <w:bookmarkEnd w:id="37"/>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38" w:name="_Toc472953943"/>
      <w:r>
        <w:rPr>
          <w:rStyle w:val="CharSectno"/>
        </w:rPr>
        <w:t>21</w:t>
      </w:r>
      <w:r>
        <w:t>.</w:t>
      </w:r>
      <w:r>
        <w:tab/>
        <w:t>Informal ballot papers</w:t>
      </w:r>
      <w:bookmarkEnd w:id="38"/>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39" w:name="_Toc472953944"/>
      <w:r>
        <w:rPr>
          <w:rStyle w:val="CharSectno"/>
        </w:rPr>
        <w:t>22</w:t>
      </w:r>
      <w:r>
        <w:t>.</w:t>
      </w:r>
      <w:r>
        <w:tab/>
        <w:t>Completion of the count</w:t>
      </w:r>
      <w:bookmarkEnd w:id="39"/>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0" w:name="_Toc472953945"/>
      <w:r>
        <w:rPr>
          <w:rStyle w:val="CharSectno"/>
        </w:rPr>
        <w:t>23</w:t>
      </w:r>
      <w:r>
        <w:t>.</w:t>
      </w:r>
      <w:r>
        <w:tab/>
        <w:t>Destruction of election material</w:t>
      </w:r>
      <w:bookmarkEnd w:id="40"/>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1" w:name="_Toc471992725"/>
      <w:bookmarkStart w:id="42" w:name="_Toc472953946"/>
      <w:r>
        <w:rPr>
          <w:rStyle w:val="CharDivNo"/>
        </w:rPr>
        <w:t>Division 5</w:t>
      </w:r>
      <w:r>
        <w:t> — </w:t>
      </w:r>
      <w:r>
        <w:rPr>
          <w:rStyle w:val="CharDivText"/>
        </w:rPr>
        <w:t>Result of election</w:t>
      </w:r>
      <w:bookmarkEnd w:id="41"/>
      <w:bookmarkEnd w:id="42"/>
    </w:p>
    <w:p>
      <w:pPr>
        <w:pStyle w:val="Heading5"/>
      </w:pPr>
      <w:bookmarkStart w:id="43" w:name="_Toc472953947"/>
      <w:r>
        <w:rPr>
          <w:rStyle w:val="CharSectno"/>
        </w:rPr>
        <w:t>24</w:t>
      </w:r>
      <w:r>
        <w:t>.</w:t>
      </w:r>
      <w:r>
        <w:tab/>
        <w:t>Request for recount</w:t>
      </w:r>
      <w:bookmarkEnd w:id="43"/>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44" w:name="_Toc472953948"/>
      <w:r>
        <w:rPr>
          <w:rStyle w:val="CharSectno"/>
        </w:rPr>
        <w:t>25</w:t>
      </w:r>
      <w:r>
        <w:t>.</w:t>
      </w:r>
      <w:r>
        <w:tab/>
        <w:t>Irregularities at election</w:t>
      </w:r>
      <w:bookmarkEnd w:id="44"/>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45" w:name="_Toc472953949"/>
      <w:r>
        <w:rPr>
          <w:rStyle w:val="CharSectno"/>
        </w:rPr>
        <w:t>26</w:t>
      </w:r>
      <w:r>
        <w:t>.</w:t>
      </w:r>
      <w:r>
        <w:tab/>
        <w:t>Result of poll</w:t>
      </w:r>
      <w:bookmarkEnd w:id="45"/>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46" w:name="_Toc471992729"/>
      <w:bookmarkStart w:id="47" w:name="_Toc472953950"/>
      <w:r>
        <w:rPr>
          <w:rStyle w:val="CharPartNo"/>
        </w:rPr>
        <w:t>Part 4</w:t>
      </w:r>
      <w:r>
        <w:rPr>
          <w:rStyle w:val="CharDivNo"/>
        </w:rPr>
        <w:t> </w:t>
      </w:r>
      <w:r>
        <w:t>—</w:t>
      </w:r>
      <w:r>
        <w:rPr>
          <w:rStyle w:val="CharDivText"/>
        </w:rPr>
        <w:t> </w:t>
      </w:r>
      <w:r>
        <w:rPr>
          <w:rStyle w:val="CharPartText"/>
        </w:rPr>
        <w:t>Matters relating to occupational safety and health generally</w:t>
      </w:r>
      <w:bookmarkEnd w:id="46"/>
      <w:bookmarkEnd w:id="47"/>
    </w:p>
    <w:p>
      <w:pPr>
        <w:pStyle w:val="Heading5"/>
      </w:pPr>
      <w:bookmarkStart w:id="48" w:name="_Toc472953951"/>
      <w:r>
        <w:rPr>
          <w:rStyle w:val="CharSectno"/>
        </w:rPr>
        <w:t>27</w:t>
      </w:r>
      <w:r>
        <w:t>.</w:t>
      </w:r>
      <w:r>
        <w:tab/>
        <w:t>Training of safety and health representatives</w:t>
      </w:r>
      <w:bookmarkEnd w:id="48"/>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49" w:name="_Toc472953952"/>
      <w:r>
        <w:rPr>
          <w:rStyle w:val="CharSectno"/>
        </w:rPr>
        <w:t>28</w:t>
      </w:r>
      <w:r>
        <w:t>.</w:t>
      </w:r>
      <w:r>
        <w:tab/>
        <w:t>Avoiding fatigue</w:t>
      </w:r>
      <w:bookmarkEnd w:id="49"/>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50" w:name="_Toc472953953"/>
      <w:r>
        <w:rPr>
          <w:rStyle w:val="CharSectno"/>
        </w:rPr>
        <w:t>29</w:t>
      </w:r>
      <w:r>
        <w:t>.</w:t>
      </w:r>
      <w:r>
        <w:tab/>
        <w:t>Possession or control of drugs or intoxicants</w:t>
      </w:r>
      <w:bookmarkEnd w:id="5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218.]</w:t>
      </w:r>
    </w:p>
    <w:p>
      <w:pPr>
        <w:pStyle w:val="Heading5"/>
      </w:pPr>
      <w:bookmarkStart w:id="51" w:name="_Toc472953954"/>
      <w:r>
        <w:rPr>
          <w:rStyle w:val="CharSectno"/>
        </w:rPr>
        <w:t>30</w:t>
      </w:r>
      <w:r>
        <w:t>.</w:t>
      </w:r>
      <w:r>
        <w:tab/>
        <w:t>Person must leave petroleum operation or geothermal energy operation when required to do so</w:t>
      </w:r>
      <w:bookmarkEnd w:id="51"/>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52" w:name="_Toc472953955"/>
      <w:r>
        <w:rPr>
          <w:rStyle w:val="CharSectno"/>
        </w:rPr>
        <w:t>31</w:t>
      </w:r>
      <w:r>
        <w:t>.</w:t>
      </w:r>
      <w:r>
        <w:tab/>
        <w:t>Prohibition on use of certain hazardous substances</w:t>
      </w:r>
      <w:bookmarkEnd w:id="52"/>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53" w:name="_Toc472953956"/>
      <w:r>
        <w:rPr>
          <w:rStyle w:val="CharSectno"/>
        </w:rPr>
        <w:t>32</w:t>
      </w:r>
      <w:r>
        <w:t>.</w:t>
      </w:r>
      <w:r>
        <w:tab/>
        <w:t>Limitations on exposure to certain hazardous substances</w:t>
      </w:r>
      <w:bookmarkEnd w:id="53"/>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54" w:name="_Toc472953957"/>
      <w:r>
        <w:rPr>
          <w:rStyle w:val="CharSectno"/>
        </w:rPr>
        <w:t>33</w:t>
      </w:r>
      <w:r>
        <w:t>.</w:t>
      </w:r>
      <w:r>
        <w:tab/>
        <w:t>Exposure to noise</w:t>
      </w:r>
      <w:bookmarkEnd w:id="54"/>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55" w:name="_Toc472953958"/>
      <w:r>
        <w:rPr>
          <w:rStyle w:val="CharSectno"/>
        </w:rPr>
        <w:t>34</w:t>
      </w:r>
      <w:r>
        <w:t>.</w:t>
      </w:r>
      <w:r>
        <w:tab/>
        <w:t>Exemptions from hazardous substances and noise requirements</w:t>
      </w:r>
      <w:bookmarkEnd w:id="55"/>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56" w:name="_Toc472953959"/>
      <w:r>
        <w:rPr>
          <w:rStyle w:val="CharSectno"/>
        </w:rPr>
        <w:t>35</w:t>
      </w:r>
      <w:r>
        <w:t>.</w:t>
      </w:r>
      <w:r>
        <w:tab/>
        <w:t>Taking samples for testing etc.</w:t>
      </w:r>
      <w:bookmarkEnd w:id="56"/>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57" w:name="_Toc472953960"/>
      <w:r>
        <w:rPr>
          <w:rStyle w:val="CharSectno"/>
        </w:rPr>
        <w:t>36</w:t>
      </w:r>
      <w:r>
        <w:t>.</w:t>
      </w:r>
      <w:r>
        <w:tab/>
        <w:t>Form of certain notices</w:t>
      </w:r>
      <w:bookmarkEnd w:id="57"/>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58" w:name="_Toc472953961"/>
      <w:r>
        <w:rPr>
          <w:rStyle w:val="CharSectno"/>
        </w:rPr>
        <w:t>37</w:t>
      </w:r>
      <w:r>
        <w:t>.</w:t>
      </w:r>
      <w:r>
        <w:tab/>
        <w:t>Forms, notices and reports</w:t>
      </w:r>
      <w:bookmarkEnd w:id="58"/>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59" w:name="_Toc472953962"/>
      <w:r>
        <w:rPr>
          <w:rStyle w:val="CharSectno"/>
        </w:rPr>
        <w:t>38</w:t>
      </w:r>
      <w:r>
        <w:t>.</w:t>
      </w:r>
      <w:r>
        <w:tab/>
        <w:t>Service of Schedule 1 notices</w:t>
      </w:r>
      <w:bookmarkEnd w:id="59"/>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60" w:name="_Toc471992742"/>
      <w:bookmarkStart w:id="61" w:name="_Toc472953963"/>
      <w:r>
        <w:rPr>
          <w:rStyle w:val="CharPartNo"/>
        </w:rPr>
        <w:t>Part 5</w:t>
      </w:r>
      <w:r>
        <w:rPr>
          <w:rStyle w:val="CharDivNo"/>
        </w:rPr>
        <w:t> </w:t>
      </w:r>
      <w:r>
        <w:t>—</w:t>
      </w:r>
      <w:r>
        <w:rPr>
          <w:rStyle w:val="CharDivText"/>
        </w:rPr>
        <w:t> </w:t>
      </w:r>
      <w:r>
        <w:rPr>
          <w:rStyle w:val="CharPartText"/>
        </w:rPr>
        <w:t>Transitional</w:t>
      </w:r>
      <w:bookmarkEnd w:id="60"/>
      <w:bookmarkEnd w:id="61"/>
    </w:p>
    <w:p>
      <w:pPr>
        <w:pStyle w:val="Heading5"/>
      </w:pPr>
      <w:bookmarkStart w:id="62" w:name="_Toc472953964"/>
      <w:r>
        <w:rPr>
          <w:rStyle w:val="CharSectno"/>
        </w:rPr>
        <w:t>39</w:t>
      </w:r>
      <w:r>
        <w:t>.</w:t>
      </w:r>
      <w:r>
        <w:tab/>
        <w:t>Election commenced but not completed before commencement of regulations</w:t>
      </w:r>
      <w:bookmarkEnd w:id="6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3" w:name="_Toc471992744"/>
      <w:bookmarkStart w:id="64" w:name="_Toc472953965"/>
      <w:r>
        <w:rPr>
          <w:rStyle w:val="CharSchNo"/>
        </w:rPr>
        <w:t>Schedule 1</w:t>
      </w:r>
      <w:r>
        <w:rPr>
          <w:rStyle w:val="CharSDivNo"/>
        </w:rPr>
        <w:t> </w:t>
      </w:r>
      <w:r>
        <w:t>—</w:t>
      </w:r>
      <w:r>
        <w:rPr>
          <w:rStyle w:val="CharSDivText"/>
        </w:rPr>
        <w:t> </w:t>
      </w:r>
      <w:r>
        <w:rPr>
          <w:rStyle w:val="CharSchText"/>
        </w:rPr>
        <w:t>Forms</w:t>
      </w:r>
      <w:bookmarkEnd w:id="63"/>
      <w:bookmarkEnd w:id="64"/>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65" w:name="_Toc471992745"/>
      <w:bookmarkStart w:id="66" w:name="_Toc472953966"/>
      <w:r>
        <w:rPr>
          <w:rStyle w:val="CharSchNo"/>
        </w:rPr>
        <w:t>Schedule 2</w:t>
      </w:r>
      <w:r>
        <w:t> — </w:t>
      </w:r>
      <w:r>
        <w:rPr>
          <w:rStyle w:val="CharSchText"/>
        </w:rPr>
        <w:t>Hazardous substances</w:t>
      </w:r>
      <w:bookmarkEnd w:id="65"/>
      <w:bookmarkEnd w:id="66"/>
    </w:p>
    <w:p>
      <w:pPr>
        <w:pStyle w:val="yShoulderClause"/>
      </w:pPr>
      <w:r>
        <w:t>[r. 31, 32]</w:t>
      </w:r>
    </w:p>
    <w:p>
      <w:pPr>
        <w:pStyle w:val="yHeading3"/>
      </w:pPr>
      <w:bookmarkStart w:id="67" w:name="_Toc471992746"/>
      <w:bookmarkStart w:id="68" w:name="_Toc472953967"/>
      <w:r>
        <w:rPr>
          <w:rStyle w:val="CharSDivNo"/>
        </w:rPr>
        <w:t>Division 1</w:t>
      </w:r>
      <w:r>
        <w:t> — </w:t>
      </w:r>
      <w:r>
        <w:rPr>
          <w:rStyle w:val="CharSDivText"/>
        </w:rPr>
        <w:t>Preliminary</w:t>
      </w:r>
      <w:bookmarkEnd w:id="67"/>
      <w:bookmarkEnd w:id="68"/>
    </w:p>
    <w:p>
      <w:pPr>
        <w:pStyle w:val="yHeading5"/>
      </w:pPr>
      <w:bookmarkStart w:id="69" w:name="_Toc472953968"/>
      <w:r>
        <w:tab/>
        <w:t>Terms used</w:t>
      </w:r>
      <w:bookmarkEnd w:id="69"/>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70" w:name="_Toc471992748"/>
      <w:bookmarkStart w:id="71" w:name="_Toc472953969"/>
      <w:r>
        <w:rPr>
          <w:rStyle w:val="CharSDivNo"/>
        </w:rPr>
        <w:t>Division 2</w:t>
      </w:r>
      <w:r>
        <w:t> — </w:t>
      </w:r>
      <w:r>
        <w:rPr>
          <w:rStyle w:val="CharSDivText"/>
        </w:rPr>
        <w:t>Permitted circumstances for using certain hazardous substances</w:t>
      </w:r>
      <w:bookmarkEnd w:id="70"/>
      <w:bookmarkEnd w:id="71"/>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72" w:name="_Toc471992749"/>
      <w:bookmarkStart w:id="73" w:name="_Toc472953970"/>
      <w:r>
        <w:rPr>
          <w:rStyle w:val="CharSDivNo"/>
        </w:rPr>
        <w:t>Division 3</w:t>
      </w:r>
      <w:r>
        <w:t> — </w:t>
      </w:r>
      <w:r>
        <w:rPr>
          <w:rStyle w:val="CharSDivText"/>
        </w:rPr>
        <w:t>Permitted circumstances for using certain hazardous substances with carcinogenic properties</w:t>
      </w:r>
      <w:bookmarkEnd w:id="72"/>
      <w:bookmarkEnd w:id="73"/>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5" w:name="_Toc471992750"/>
      <w:bookmarkStart w:id="76" w:name="_Toc472953971"/>
      <w:r>
        <w:t>Notes</w:t>
      </w:r>
      <w:bookmarkEnd w:id="75"/>
      <w:bookmarkEnd w:id="76"/>
    </w:p>
    <w:p>
      <w:pPr>
        <w:pStyle w:val="nSubsection"/>
      </w:pPr>
      <w:r>
        <w:rPr>
          <w:vertAlign w:val="superscript"/>
        </w:rPr>
        <w:t>1</w:t>
      </w:r>
      <w:r>
        <w:tab/>
        <w:t xml:space="preserve">This is a compilation of the </w:t>
      </w:r>
      <w:r>
        <w:rPr>
          <w:i/>
          <w:noProof/>
        </w:rPr>
        <w:t>Petroleum and Geothermal Energy Resources (Occupational Safety and Health) Regulations 2010</w:t>
      </w:r>
      <w:r>
        <w:t xml:space="preserve"> and includes the amendments made by the other written laws referred to in the following table.</w:t>
      </w:r>
    </w:p>
    <w:p>
      <w:pPr>
        <w:pStyle w:val="nHeading3"/>
      </w:pPr>
      <w:bookmarkStart w:id="77" w:name="_Toc472953972"/>
      <w:r>
        <w:t>Compilation table</w:t>
      </w:r>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and Geothermal Energy Resources (Occupational Safety and Health) Regulations 2010</w:t>
            </w:r>
          </w:p>
        </w:tc>
        <w:tc>
          <w:tcPr>
            <w:tcW w:w="1276" w:type="dxa"/>
            <w:tcBorders>
              <w:bottom w:val="nil"/>
            </w:tcBorders>
          </w:tcPr>
          <w:p>
            <w:pPr>
              <w:pStyle w:val="nTable"/>
              <w:spacing w:after="40"/>
            </w:pPr>
            <w:r>
              <w:t>14 May 2010 p. 1835</w:t>
            </w:r>
            <w:r>
              <w:noBreakHyphen/>
              <w:t>81</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single" w:sz="4" w:space="0" w:color="auto"/>
            </w:tcBorders>
          </w:tcPr>
          <w:p>
            <w:pPr>
              <w:pStyle w:val="nTable"/>
              <w:spacing w:after="40"/>
              <w:rPr>
                <w:i/>
              </w:rPr>
            </w:pPr>
            <w:r>
              <w:rPr>
                <w:i/>
              </w:rPr>
              <w:t xml:space="preserve">Mines and Petroleum Regulations Amendment (Public Health) Regulations 2016 </w:t>
            </w:r>
            <w:r>
              <w:t xml:space="preserve">Pt. 6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9" w:name="_Toc472953973"/>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59"/>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8623</Words>
  <Characters>42513</Characters>
  <Application>Microsoft Office Word</Application>
  <DocSecurity>0</DocSecurity>
  <Lines>1328</Lines>
  <Paragraphs>763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2010 - 00-c0-01</dc:title>
  <dc:subject/>
  <dc:creator/>
  <cp:keywords/>
  <dc:description/>
  <cp:lastModifiedBy>svcMRProcess</cp:lastModifiedBy>
  <cp:revision>4</cp:revision>
  <cp:lastPrinted>2010-05-13T05:05:00Z</cp:lastPrinted>
  <dcterms:created xsi:type="dcterms:W3CDTF">2019-01-17T07:56:00Z</dcterms:created>
  <dcterms:modified xsi:type="dcterms:W3CDTF">2019-01-17T07:57:00Z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00-c0-01</vt:lpwstr>
  </property>
</Properties>
</file>