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(Venereal Diseases) Regulations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(Venereal Diseases)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_Toc473037616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Interpretation</w:t>
      </w:r>
      <w:r>
        <w:tab/>
      </w:r>
      <w:r>
        <w:fldChar w:fldCharType="begin"/>
      </w:r>
      <w:r>
        <w:instrText xml:space="preserve"> PAGEREF _Toc473037617 \h </w:instrText>
      </w:r>
      <w:r>
        <w:fldChar w:fldCharType="separate"/>
      </w:r>
      <w:r>
        <w:t>1</w:t>
      </w:r>
      <w:r>
        <w:fldChar w:fldCharType="end"/>
      </w:r>
    </w:p>
    <w:p>
      <w:pPr>
        <w:pStyle w:val="TOC8"/>
        <w:rPr>
          <w:rFonts w:asciiTheme="minorHAnsi" w:eastAsiaTheme="minorEastAsia" w:hAnsiTheme="minorHAnsi" w:cstheme="minorBidi"/>
          <w:szCs w:val="22"/>
        </w:rPr>
      </w:pPr>
      <w:r>
        <w:t>2B</w:t>
      </w:r>
      <w:r>
        <w:rPr>
          <w:snapToGrid w:val="0"/>
        </w:rPr>
        <w:t xml:space="preserve">. </w:t>
      </w:r>
      <w:r>
        <w:rPr>
          <w:snapToGrid w:val="0"/>
        </w:rPr>
        <w:tab/>
        <w:t>Part IXA of Act applies to non</w:t>
      </w:r>
      <w:r>
        <w:rPr>
          <w:snapToGrid w:val="0"/>
        </w:rPr>
        <w:noBreakHyphen/>
        <w:t>infectious syphilis</w:t>
      </w:r>
      <w:r>
        <w:tab/>
      </w:r>
      <w:r>
        <w:fldChar w:fldCharType="begin"/>
      </w:r>
      <w:r>
        <w:instrText xml:space="preserve"> PAGEREF _Toc473037618 \h </w:instrText>
      </w:r>
      <w:r>
        <w:fldChar w:fldCharType="separate"/>
      </w:r>
      <w:r>
        <w:t>1</w:t>
      </w:r>
      <w:r>
        <w:fldChar w:fldCharType="end"/>
      </w:r>
    </w:p>
    <w:p>
      <w:pPr>
        <w:pStyle w:val="TOC8"/>
        <w:rPr>
          <w:rFonts w:asciiTheme="minorHAnsi" w:eastAsiaTheme="minorEastAsia" w:hAnsiTheme="minorHAnsi" w:cstheme="minorBidi"/>
          <w:szCs w:val="22"/>
        </w:rPr>
      </w:pPr>
      <w:r>
        <w:t>2C</w:t>
      </w:r>
      <w:r>
        <w:rPr>
          <w:snapToGrid w:val="0"/>
        </w:rPr>
        <w:t xml:space="preserve">. </w:t>
      </w:r>
      <w:r>
        <w:rPr>
          <w:snapToGrid w:val="0"/>
        </w:rPr>
        <w:tab/>
        <w:t>Notification of non</w:t>
      </w:r>
      <w:r>
        <w:rPr>
          <w:snapToGrid w:val="0"/>
        </w:rPr>
        <w:noBreakHyphen/>
        <w:t>infectious syphilis by medical practitioners</w:t>
      </w:r>
      <w:r>
        <w:tab/>
      </w:r>
      <w:r>
        <w:fldChar w:fldCharType="begin"/>
      </w:r>
      <w:r>
        <w:instrText xml:space="preserve"> PAGEREF _Toc473037619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notice</w:t>
      </w:r>
      <w:r>
        <w:tab/>
      </w:r>
      <w:r>
        <w:fldChar w:fldCharType="begin"/>
      </w:r>
      <w:r>
        <w:instrText xml:space="preserve"> PAGEREF _Toc473037620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warrant</w:t>
      </w:r>
      <w:r>
        <w:tab/>
      </w:r>
      <w:r>
        <w:fldChar w:fldCharType="begin"/>
      </w:r>
      <w:r>
        <w:instrText xml:space="preserve"> PAGEREF _Toc473037621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Attendance at compulsory examination</w:t>
      </w:r>
      <w:r>
        <w:tab/>
      </w:r>
      <w:r>
        <w:fldChar w:fldCharType="begin"/>
      </w:r>
      <w:r>
        <w:instrText xml:space="preserve"> PAGEREF _Toc473037622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Apprehension and detention following report</w:t>
      </w:r>
      <w:r>
        <w:tab/>
      </w:r>
      <w:r>
        <w:fldChar w:fldCharType="begin"/>
      </w:r>
      <w:r>
        <w:instrText xml:space="preserve"> PAGEREF _Toc473037623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Warrant where condition infectious</w:t>
      </w:r>
      <w:r>
        <w:tab/>
      </w:r>
      <w:r>
        <w:fldChar w:fldCharType="begin"/>
      </w:r>
      <w:r>
        <w:instrText xml:space="preserve"> PAGEREF _Toc473037624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warrant</w:t>
      </w:r>
      <w:r>
        <w:tab/>
      </w:r>
      <w:r>
        <w:fldChar w:fldCharType="begin"/>
      </w:r>
      <w:r>
        <w:instrText xml:space="preserve"> PAGEREF _Toc473037625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Warrant to be executed</w:t>
      </w:r>
      <w:r>
        <w:tab/>
      </w:r>
      <w:r>
        <w:fldChar w:fldCharType="begin"/>
      </w:r>
      <w:r>
        <w:instrText xml:space="preserve"> PAGEREF _Toc473037626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Appendix</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_Toc473037629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lastRenderedPageBreak/>
        <w:t>Western Australia</w:t>
      </w:r>
    </w:p>
    <w:p>
      <w:pPr>
        <w:pStyle w:val="PrincipalActReg"/>
        <w:spacing w:before="120"/>
        <w:rPr>
          <w:snapToGrid w:val="0"/>
        </w:rPr>
      </w:pPr>
      <w:r>
        <w:rPr>
          <w:snapToGrid w:val="0"/>
        </w:rPr>
        <w:t>Health (Miscellaneous Provisions) Act 1911</w:t>
      </w:r>
    </w:p>
    <w:p>
      <w:pPr>
        <w:pStyle w:val="NameofActReg"/>
        <w:spacing w:before="720" w:after="840"/>
      </w:pPr>
      <w:r>
        <w:t>Health (Venereal Diseases) Regulations 1973</w:t>
      </w:r>
    </w:p>
    <w:p>
      <w:pPr>
        <w:pStyle w:val="Heading5"/>
        <w:rPr>
          <w:snapToGrid w:val="0"/>
        </w:rPr>
      </w:pPr>
      <w:bookmarkStart w:id="3" w:name="_Toc378751047"/>
      <w:bookmarkStart w:id="4" w:name="_Toc378751061"/>
      <w:bookmarkStart w:id="5" w:name="_Toc473037616"/>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6" w:name="_Toc378751048"/>
      <w:bookmarkStart w:id="7" w:name="_Toc378751062"/>
      <w:bookmarkStart w:id="8" w:name="_Toc473037617"/>
      <w:r>
        <w:rPr>
          <w:rStyle w:val="CharSectno"/>
        </w:rPr>
        <w:t>2A</w:t>
      </w:r>
      <w:r>
        <w:rPr>
          <w:snapToGrid w:val="0"/>
        </w:rPr>
        <w:t xml:space="preserve">. </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departmental officer</w:t>
      </w:r>
      <w:r>
        <w:t xml:space="preserve"> has the meaning given in the </w:t>
      </w:r>
      <w:r>
        <w:rPr>
          <w:i/>
        </w:rPr>
        <w:t>Public Health Act 2016</w:t>
      </w:r>
      <w:r>
        <w:t xml:space="preserve"> section 4(1);</w:t>
      </w:r>
    </w:p>
    <w:p>
      <w:pPr>
        <w:pStyle w:val="Defstart"/>
      </w:pPr>
      <w:r>
        <w:rPr>
          <w:b/>
        </w:rPr>
        <w:tab/>
      </w:r>
      <w:r>
        <w:rPr>
          <w:rStyle w:val="CharDefText"/>
        </w:rPr>
        <w:t>the Act</w:t>
      </w:r>
      <w:r>
        <w:t xml:space="preserve"> means the </w:t>
      </w:r>
      <w:r>
        <w:rPr>
          <w:i/>
        </w:rPr>
        <w:t>Health (Miscellaneous Provisions) Act 1911</w:t>
      </w:r>
      <w:r>
        <w:t>.</w:t>
      </w:r>
    </w:p>
    <w:p>
      <w:pPr>
        <w:pStyle w:val="Footnotesection"/>
      </w:pPr>
      <w:r>
        <w:tab/>
        <w:t xml:space="preserve">[Regulation 2A inserted in Gazette 9 May 1975 p. 1298; amended in Gazette 10 Jan 2017 p. 290.] </w:t>
      </w:r>
    </w:p>
    <w:p>
      <w:pPr>
        <w:pStyle w:val="Heading5"/>
        <w:rPr>
          <w:snapToGrid w:val="0"/>
        </w:rPr>
      </w:pPr>
      <w:bookmarkStart w:id="9" w:name="_Toc378751049"/>
      <w:bookmarkStart w:id="10" w:name="_Toc378751063"/>
      <w:bookmarkStart w:id="11" w:name="_Toc473037618"/>
      <w:r>
        <w:rPr>
          <w:rStyle w:val="CharSectno"/>
        </w:rPr>
        <w:t>2B</w:t>
      </w:r>
      <w:r>
        <w:rPr>
          <w:snapToGrid w:val="0"/>
        </w:rPr>
        <w:t xml:space="preserve">. </w:t>
      </w:r>
      <w:r>
        <w:rPr>
          <w:snapToGrid w:val="0"/>
        </w:rPr>
        <w:tab/>
        <w:t>Part IXA of Act applies to non</w:t>
      </w:r>
      <w:r>
        <w:rPr>
          <w:snapToGrid w:val="0"/>
        </w:rPr>
        <w:noBreakHyphen/>
        <w:t>infectious syphilis</w:t>
      </w:r>
      <w:bookmarkEnd w:id="9"/>
      <w:bookmarkEnd w:id="10"/>
      <w:bookmarkEnd w:id="11"/>
      <w:r>
        <w:rPr>
          <w:snapToGrid w:val="0"/>
        </w:rPr>
        <w:t xml:space="preserve"> </w:t>
      </w:r>
    </w:p>
    <w:p>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pPr>
        <w:pStyle w:val="Footnotesection"/>
      </w:pPr>
      <w:r>
        <w:tab/>
        <w:t xml:space="preserve">[Regulation 2B inserted in Gazette 4 Jun 1982 p. 1792.] </w:t>
      </w:r>
    </w:p>
    <w:p>
      <w:pPr>
        <w:pStyle w:val="Heading5"/>
        <w:rPr>
          <w:snapToGrid w:val="0"/>
        </w:rPr>
      </w:pPr>
      <w:bookmarkStart w:id="12" w:name="_Toc378751050"/>
      <w:bookmarkStart w:id="13" w:name="_Toc378751064"/>
      <w:bookmarkStart w:id="14" w:name="_Toc473037619"/>
      <w:r>
        <w:rPr>
          <w:rStyle w:val="CharSectno"/>
        </w:rPr>
        <w:t>2C</w:t>
      </w:r>
      <w:r>
        <w:rPr>
          <w:snapToGrid w:val="0"/>
        </w:rPr>
        <w:t xml:space="preserve">. </w:t>
      </w:r>
      <w:r>
        <w:rPr>
          <w:snapToGrid w:val="0"/>
        </w:rPr>
        <w:tab/>
        <w:t>Notification of non</w:t>
      </w:r>
      <w:r>
        <w:rPr>
          <w:snapToGrid w:val="0"/>
        </w:rPr>
        <w:noBreakHyphen/>
        <w:t>infectious syphilis by medical practitioners</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A medical practitioner or nurse practitioner shall forthwith notify the Chief Health Officer in the </w:t>
      </w:r>
      <w:r>
        <w:t xml:space="preserve">form and manner approved by the Chief Health Officer </w:t>
      </w:r>
      <w:r>
        <w:rPr>
          <w:snapToGrid w:val="0"/>
        </w:rPr>
        <w:t>on becoming aware that any person attended or treated by him is suffering from syphilis in a non</w:t>
      </w:r>
      <w:r>
        <w:rPr>
          <w:snapToGrid w:val="0"/>
        </w:rPr>
        <w:noBreakHyphen/>
        <w:t>infectious stage.</w:t>
      </w:r>
    </w:p>
    <w:p>
      <w:pPr>
        <w:pStyle w:val="Ednotesubsection"/>
      </w:pPr>
      <w:r>
        <w:tab/>
        <w:t>[(2)</w:t>
      </w:r>
      <w:r>
        <w:tab/>
        <w:t>deleted]</w:t>
      </w:r>
    </w:p>
    <w:p>
      <w:pPr>
        <w:pStyle w:val="Subsection"/>
        <w:rPr>
          <w:snapToGrid w:val="0"/>
        </w:rPr>
      </w:pPr>
      <w:r>
        <w:rPr>
          <w:snapToGrid w:val="0"/>
        </w:rPr>
        <w:tab/>
        <w:t>(3)</w:t>
      </w:r>
      <w:r>
        <w:rPr>
          <w:snapToGrid w:val="0"/>
        </w:rPr>
        <w:tab/>
        <w:t>A medical practitioner or nurse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2C inserted in Gazette 4 Jun 1982 p. 1792; amended in Gazette 29 Jun 1984 p. 1782; 23 Dec 1988 p. 4974; 5 Sep 2006 p. 3618; 10 Jan 2017 p. 290 and 294.] </w:t>
      </w:r>
    </w:p>
    <w:p>
      <w:pPr>
        <w:pStyle w:val="Heading5"/>
        <w:rPr>
          <w:snapToGrid w:val="0"/>
        </w:rPr>
      </w:pPr>
      <w:bookmarkStart w:id="15" w:name="_Toc378751051"/>
      <w:bookmarkStart w:id="16" w:name="_Toc378751065"/>
      <w:bookmarkStart w:id="17" w:name="_Toc473037620"/>
      <w:r>
        <w:rPr>
          <w:rStyle w:val="CharSectno"/>
        </w:rPr>
        <w:t>3</w:t>
      </w:r>
      <w:r>
        <w:rPr>
          <w:snapToGrid w:val="0"/>
        </w:rPr>
        <w:t>.</w:t>
      </w:r>
      <w:r>
        <w:rPr>
          <w:snapToGrid w:val="0"/>
        </w:rPr>
        <w:tab/>
        <w:t>Form of notice</w:t>
      </w:r>
      <w:bookmarkEnd w:id="15"/>
      <w:bookmarkEnd w:id="16"/>
      <w:bookmarkEnd w:id="17"/>
      <w:r>
        <w:rPr>
          <w:snapToGrid w:val="0"/>
        </w:rPr>
        <w:t xml:space="preserve"> </w:t>
      </w:r>
    </w:p>
    <w:p>
      <w:pPr>
        <w:pStyle w:val="Subsection"/>
        <w:rPr>
          <w:snapToGrid w:val="0"/>
        </w:rPr>
      </w:pPr>
      <w:r>
        <w:rPr>
          <w:snapToGrid w:val="0"/>
        </w:rPr>
        <w:tab/>
      </w:r>
      <w:r>
        <w:rPr>
          <w:snapToGrid w:val="0"/>
        </w:rPr>
        <w:tab/>
        <w:t>The notice to be given by the Chief Health Officer pursuant to section 307(1) of the Act to any person believed or suspected to be suffering from venereal disease shall be according to the form numbered 1 in the appendix.</w:t>
      </w:r>
    </w:p>
    <w:p>
      <w:pPr>
        <w:pStyle w:val="Footnotesection"/>
      </w:pPr>
      <w:r>
        <w:tab/>
        <w:t xml:space="preserve">[Regulation 3 amended in Gazette 29 Jun 1984 p. 1782; 10 Jan 2017 p. 294.] </w:t>
      </w:r>
    </w:p>
    <w:p>
      <w:pPr>
        <w:pStyle w:val="Heading5"/>
        <w:rPr>
          <w:snapToGrid w:val="0"/>
        </w:rPr>
      </w:pPr>
      <w:bookmarkStart w:id="18" w:name="_Toc378751052"/>
      <w:bookmarkStart w:id="19" w:name="_Toc378751066"/>
      <w:bookmarkStart w:id="20" w:name="_Toc473037621"/>
      <w:r>
        <w:rPr>
          <w:rStyle w:val="CharSectno"/>
        </w:rPr>
        <w:t>4</w:t>
      </w:r>
      <w:r>
        <w:rPr>
          <w:snapToGrid w:val="0"/>
        </w:rPr>
        <w:t>.</w:t>
      </w:r>
      <w:r>
        <w:rPr>
          <w:snapToGrid w:val="0"/>
        </w:rPr>
        <w:tab/>
        <w:t>Form of warrant</w:t>
      </w:r>
      <w:bookmarkEnd w:id="18"/>
      <w:bookmarkEnd w:id="19"/>
      <w:bookmarkEnd w:id="20"/>
      <w:r>
        <w:rPr>
          <w:snapToGrid w:val="0"/>
        </w:rPr>
        <w:t xml:space="preserve"> </w:t>
      </w:r>
    </w:p>
    <w:p>
      <w:pPr>
        <w:pStyle w:val="Subsection"/>
        <w:rPr>
          <w:snapToGrid w:val="0"/>
        </w:rPr>
      </w:pPr>
      <w:r>
        <w:rPr>
          <w:snapToGrid w:val="0"/>
        </w:rPr>
        <w:tab/>
      </w:r>
      <w:r>
        <w:rPr>
          <w:snapToGrid w:val="0"/>
        </w:rPr>
        <w:tab/>
        <w:t>Whenever by reason of the non</w:t>
      </w:r>
      <w:r>
        <w:rPr>
          <w:snapToGrid w:val="0"/>
        </w:rPr>
        <w:noBreakHyphen/>
        <w:t>production of the required certificate or, if produced, of the unsatisfactory nature thereof, the Chief Health Officer shall consider that the circumstances of the case require the issue of his warrant for the compulsory examination of such person, such warrant shall issue in the form numbered 2 in the appendix.</w:t>
      </w:r>
    </w:p>
    <w:p>
      <w:pPr>
        <w:pStyle w:val="Footnotesection"/>
      </w:pPr>
      <w:r>
        <w:tab/>
        <w:t xml:space="preserve">[Regulation 4 amended in Gazette 29 Jun 1984 p. 1782; 10 Jan 2017 p. 294.] </w:t>
      </w:r>
    </w:p>
    <w:p>
      <w:pPr>
        <w:pStyle w:val="Heading5"/>
        <w:rPr>
          <w:snapToGrid w:val="0"/>
        </w:rPr>
      </w:pPr>
      <w:bookmarkStart w:id="21" w:name="_Toc378751053"/>
      <w:bookmarkStart w:id="22" w:name="_Toc378751067"/>
      <w:bookmarkStart w:id="23" w:name="_Toc473037622"/>
      <w:r>
        <w:rPr>
          <w:rStyle w:val="CharSectno"/>
        </w:rPr>
        <w:t>5</w:t>
      </w:r>
      <w:r>
        <w:rPr>
          <w:snapToGrid w:val="0"/>
        </w:rPr>
        <w:t>.</w:t>
      </w:r>
      <w:r>
        <w:rPr>
          <w:snapToGrid w:val="0"/>
        </w:rPr>
        <w:tab/>
        <w:t>Attendance at compulsory examination</w:t>
      </w:r>
      <w:bookmarkEnd w:id="21"/>
      <w:bookmarkEnd w:id="22"/>
      <w:bookmarkEnd w:id="23"/>
      <w:r>
        <w:rPr>
          <w:snapToGrid w:val="0"/>
        </w:rPr>
        <w:t xml:space="preserve"> </w:t>
      </w:r>
    </w:p>
    <w:p>
      <w:pPr>
        <w:pStyle w:val="Subsection"/>
        <w:rPr>
          <w:snapToGrid w:val="0"/>
        </w:rPr>
      </w:pPr>
      <w:r>
        <w:rPr>
          <w:snapToGrid w:val="0"/>
        </w:rPr>
        <w:tab/>
      </w:r>
      <w:r>
        <w:rPr>
          <w:snapToGrid w:val="0"/>
        </w:rPr>
        <w:tab/>
        <w:t>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Chief Health Officer may issue a warrant in the form numbered 3 in the appendix for the apprehension of the suspected person for the purpose of examination aforesaid.</w:t>
      </w:r>
    </w:p>
    <w:p>
      <w:pPr>
        <w:pStyle w:val="Footnotesection"/>
      </w:pPr>
      <w:r>
        <w:tab/>
        <w:t xml:space="preserve">[Regulation 5 amended in Gazette 29 Jun 1984 p. 1782; 10 Jan 2017 p. 294.] </w:t>
      </w:r>
    </w:p>
    <w:p>
      <w:pPr>
        <w:pStyle w:val="Heading5"/>
        <w:rPr>
          <w:snapToGrid w:val="0"/>
        </w:rPr>
      </w:pPr>
      <w:bookmarkStart w:id="24" w:name="_Toc378751054"/>
      <w:bookmarkStart w:id="25" w:name="_Toc378751068"/>
      <w:bookmarkStart w:id="26" w:name="_Toc473037623"/>
      <w:r>
        <w:rPr>
          <w:rStyle w:val="CharSectno"/>
        </w:rPr>
        <w:t>6</w:t>
      </w:r>
      <w:r>
        <w:rPr>
          <w:snapToGrid w:val="0"/>
        </w:rPr>
        <w:t>.</w:t>
      </w:r>
      <w:r>
        <w:rPr>
          <w:snapToGrid w:val="0"/>
        </w:rPr>
        <w:tab/>
        <w:t>Apprehension and detention following report</w:t>
      </w:r>
      <w:bookmarkEnd w:id="24"/>
      <w:bookmarkEnd w:id="25"/>
      <w:bookmarkEnd w:id="26"/>
      <w:r>
        <w:rPr>
          <w:snapToGrid w:val="0"/>
        </w:rPr>
        <w:t xml:space="preserve"> </w:t>
      </w:r>
    </w:p>
    <w:p>
      <w:pPr>
        <w:pStyle w:val="Subsection"/>
        <w:rPr>
          <w:snapToGrid w:val="0"/>
        </w:rPr>
      </w:pPr>
      <w:r>
        <w:rPr>
          <w:snapToGrid w:val="0"/>
        </w:rPr>
        <w:tab/>
      </w:r>
      <w:r>
        <w:rPr>
          <w:snapToGrid w:val="0"/>
        </w:rPr>
        <w:tab/>
        <w:t>If, in the opinion of the Chief Health Officer, a report of examination is such as, in accordance with the provisions of section 307 of the Act, justifies the apprehension and detention of the person named in such report, the Chief Health Officer may issue his warrant accordingly and the warrant shall be in the form numbered 4 in the appendix.</w:t>
      </w:r>
    </w:p>
    <w:p>
      <w:pPr>
        <w:pStyle w:val="Footnotesection"/>
      </w:pPr>
      <w:r>
        <w:tab/>
        <w:t xml:space="preserve">[Regulation 6 amended in Gazette 29 Jun 1984 p. 1782; 10 Jan 2017 p. 294.] </w:t>
      </w:r>
    </w:p>
    <w:p>
      <w:pPr>
        <w:pStyle w:val="Heading5"/>
        <w:rPr>
          <w:snapToGrid w:val="0"/>
        </w:rPr>
      </w:pPr>
      <w:bookmarkStart w:id="27" w:name="_Toc378751055"/>
      <w:bookmarkStart w:id="28" w:name="_Toc378751069"/>
      <w:bookmarkStart w:id="29" w:name="_Toc473037624"/>
      <w:r>
        <w:rPr>
          <w:rStyle w:val="CharSectno"/>
        </w:rPr>
        <w:t>7</w:t>
      </w:r>
      <w:r>
        <w:rPr>
          <w:snapToGrid w:val="0"/>
        </w:rPr>
        <w:t>.</w:t>
      </w:r>
      <w:r>
        <w:rPr>
          <w:snapToGrid w:val="0"/>
        </w:rPr>
        <w:tab/>
        <w:t>Warrant where condition infectious</w:t>
      </w:r>
      <w:bookmarkEnd w:id="27"/>
      <w:bookmarkEnd w:id="28"/>
      <w:bookmarkEnd w:id="29"/>
      <w:r>
        <w:rPr>
          <w:snapToGrid w:val="0"/>
        </w:rPr>
        <w:t xml:space="preserve"> </w:t>
      </w:r>
    </w:p>
    <w:p>
      <w:pPr>
        <w:pStyle w:val="Subsection"/>
        <w:rPr>
          <w:snapToGrid w:val="0"/>
        </w:rPr>
      </w:pPr>
      <w:r>
        <w:rPr>
          <w:snapToGrid w:val="0"/>
        </w:rPr>
        <w:tab/>
      </w:r>
      <w:r>
        <w:rPr>
          <w:snapToGrid w:val="0"/>
        </w:rPr>
        <w:tab/>
        <w:t>The Chief Health Officer may, whenever the circumstances of the case so require, issue his warrant in the form numbered 5 in the appendix for the apprehension, if necessary, and further detention of any person suffering from venereal diseases in an infectious condition.</w:t>
      </w:r>
    </w:p>
    <w:p>
      <w:pPr>
        <w:pStyle w:val="Footnotesection"/>
      </w:pPr>
      <w:r>
        <w:tab/>
        <w:t xml:space="preserve">[Regulation 7 amended in Gazette 29 Jun 1984 p. 1782; 10 Jan 2017 p. 294.] </w:t>
      </w:r>
    </w:p>
    <w:p>
      <w:pPr>
        <w:pStyle w:val="Heading5"/>
        <w:rPr>
          <w:snapToGrid w:val="0"/>
        </w:rPr>
      </w:pPr>
      <w:bookmarkStart w:id="30" w:name="_Toc378751056"/>
      <w:bookmarkStart w:id="31" w:name="_Toc378751070"/>
      <w:bookmarkStart w:id="32" w:name="_Toc473037625"/>
      <w:r>
        <w:rPr>
          <w:rStyle w:val="CharSectno"/>
        </w:rPr>
        <w:t>8</w:t>
      </w:r>
      <w:r>
        <w:rPr>
          <w:snapToGrid w:val="0"/>
        </w:rPr>
        <w:t>.</w:t>
      </w:r>
      <w:r>
        <w:rPr>
          <w:snapToGrid w:val="0"/>
        </w:rPr>
        <w:tab/>
        <w:t>Effect of warrant</w:t>
      </w:r>
      <w:bookmarkEnd w:id="30"/>
      <w:bookmarkEnd w:id="31"/>
      <w:bookmarkEnd w:id="32"/>
      <w:r>
        <w:rPr>
          <w:snapToGrid w:val="0"/>
        </w:rPr>
        <w:t xml:space="preserve"> </w:t>
      </w:r>
    </w:p>
    <w:p>
      <w:pPr>
        <w:pStyle w:val="Subsection"/>
        <w:rPr>
          <w:snapToGrid w:val="0"/>
        </w:rPr>
      </w:pPr>
      <w:r>
        <w:rPr>
          <w:snapToGrid w:val="0"/>
        </w:rPr>
        <w:tab/>
      </w:r>
      <w:r>
        <w:rPr>
          <w:snapToGrid w:val="0"/>
        </w:rPr>
        <w:tab/>
        <w:t>Every warrant mentioned in these regulations shall be sufficient authority for the person or persons to whom it is directed — </w:t>
      </w:r>
    </w:p>
    <w:p>
      <w:pPr>
        <w:pStyle w:val="Indenta"/>
        <w:rPr>
          <w:snapToGrid w:val="0"/>
        </w:rPr>
      </w:pPr>
      <w:r>
        <w:rPr>
          <w:snapToGrid w:val="0"/>
        </w:rPr>
        <w:tab/>
        <w:t>(a)</w:t>
      </w:r>
      <w:r>
        <w:rPr>
          <w:snapToGrid w:val="0"/>
        </w:rPr>
        <w:tab/>
        <w:t>to apprehend the person named therein;</w:t>
      </w:r>
    </w:p>
    <w:p>
      <w:pPr>
        <w:pStyle w:val="Indenta"/>
        <w:rPr>
          <w:snapToGrid w:val="0"/>
        </w:rPr>
      </w:pPr>
      <w:r>
        <w:rPr>
          <w:snapToGrid w:val="0"/>
        </w:rPr>
        <w:tab/>
        <w:t>(b)</w:t>
      </w:r>
      <w:r>
        <w:rPr>
          <w:snapToGrid w:val="0"/>
        </w:rPr>
        <w:tab/>
        <w:t>to convey the person named therein to the place of examination or detention; and</w:t>
      </w:r>
    </w:p>
    <w:p>
      <w:pPr>
        <w:pStyle w:val="Indenta"/>
        <w:rPr>
          <w:snapToGrid w:val="0"/>
        </w:rPr>
      </w:pPr>
      <w:r>
        <w:rPr>
          <w:snapToGrid w:val="0"/>
        </w:rPr>
        <w:tab/>
        <w:t>(c)</w:t>
      </w:r>
      <w:r>
        <w:rPr>
          <w:snapToGrid w:val="0"/>
        </w:rPr>
        <w:tab/>
        <w:t>to detain the person in the place of detention for the period specified in the warrant.</w:t>
      </w:r>
    </w:p>
    <w:p>
      <w:pPr>
        <w:pStyle w:val="Heading5"/>
        <w:rPr>
          <w:snapToGrid w:val="0"/>
        </w:rPr>
      </w:pPr>
      <w:bookmarkStart w:id="33" w:name="_Toc378751057"/>
      <w:bookmarkStart w:id="34" w:name="_Toc378751071"/>
      <w:bookmarkStart w:id="35" w:name="_Toc473037626"/>
      <w:r>
        <w:rPr>
          <w:rStyle w:val="CharSectno"/>
        </w:rPr>
        <w:t>9</w:t>
      </w:r>
      <w:r>
        <w:rPr>
          <w:snapToGrid w:val="0"/>
        </w:rPr>
        <w:t>.</w:t>
      </w:r>
      <w:r>
        <w:rPr>
          <w:snapToGrid w:val="0"/>
        </w:rPr>
        <w:tab/>
        <w:t>Warrant to be executed</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Every warrant issued under these regulations shall have effect according to its tenor and all </w:t>
      </w:r>
      <w:r>
        <w:t>departmental officers</w:t>
      </w:r>
      <w:r>
        <w:rPr>
          <w:snapToGrid w:val="0"/>
        </w:rPr>
        <w:t xml:space="preserve"> and all governing authorities and officers of any hospital or place in which any person is detained under these regulations shall do all things necessary to carry into effect the provisions of these regulations.</w:t>
      </w:r>
    </w:p>
    <w:p>
      <w:pPr>
        <w:pStyle w:val="Footnotesection"/>
      </w:pPr>
      <w:r>
        <w:tab/>
        <w:t xml:space="preserve">[Regulation 9 amended in Gazette 29 Jun 1984 p. 1782; 10 Jan 2017 p. 290.] </w:t>
      </w:r>
    </w:p>
    <w:p>
      <w:pPr>
        <w:pStyle w:val="Ednotesection"/>
      </w:pPr>
      <w:r>
        <w:t>[</w:t>
      </w:r>
      <w:r>
        <w:rPr>
          <w:b/>
        </w:rPr>
        <w:t>10, 11.</w:t>
      </w:r>
      <w:r>
        <w:tab/>
        <w:t>Deleted in Gazette 5 Sep 2006 p. 3618.]</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6" w:name="_Toc378751058"/>
      <w:bookmarkStart w:id="37" w:name="_Toc378751072"/>
      <w:bookmarkStart w:id="38" w:name="_Toc419460475"/>
      <w:bookmarkStart w:id="39" w:name="_Toc473016899"/>
      <w:bookmarkStart w:id="40" w:name="_Toc473037627"/>
      <w:r>
        <w:rPr>
          <w:rStyle w:val="CharSchNo"/>
        </w:rPr>
        <w:t>Appendix</w:t>
      </w:r>
      <w:bookmarkEnd w:id="36"/>
      <w:bookmarkEnd w:id="37"/>
      <w:bookmarkEnd w:id="38"/>
      <w:bookmarkEnd w:id="39"/>
      <w:bookmarkEnd w:id="40"/>
      <w:r>
        <w:rPr>
          <w:rStyle w:val="CharSchText"/>
        </w:rPr>
        <w:t xml:space="preserve"> </w:t>
      </w:r>
    </w:p>
    <w:p>
      <w:pPr>
        <w:pStyle w:val="yMiscellaneousHeading"/>
        <w:rPr>
          <w:snapToGrid w:val="0"/>
        </w:rPr>
      </w:pPr>
      <w:r>
        <w:rPr>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Health (Miscellaneous Provisions) Act 1911</w:t>
      </w:r>
    </w:p>
    <w:p>
      <w:pPr>
        <w:pStyle w:val="yMiscellaneousHeading"/>
        <w:rPr>
          <w:i/>
          <w:snapToGrid w:val="0"/>
        </w:rPr>
      </w:pPr>
      <w:r>
        <w:rPr>
          <w:i/>
          <w:snapToGrid w:val="0"/>
        </w:rPr>
        <w:t>Health (Venereal Diseases) Regulations 1973</w:t>
      </w:r>
    </w:p>
    <w:p>
      <w:pPr>
        <w:pStyle w:val="yMiscellaneousHeading"/>
        <w:rPr>
          <w:snapToGrid w:val="0"/>
        </w:rPr>
      </w:pPr>
      <w:r>
        <w:rPr>
          <w:snapToGrid w:val="0"/>
        </w:rPr>
        <w:t>REQUEST FOR MEDICAL CERTIFICATE</w:t>
      </w:r>
    </w:p>
    <w:p>
      <w:pPr>
        <w:pStyle w:val="yMiscellaneousBody"/>
        <w:rPr>
          <w:snapToGrid w:val="0"/>
        </w:rPr>
      </w:pPr>
      <w:r>
        <w:rPr>
          <w:snapToGrid w:val="0"/>
        </w:rPr>
        <w:t>To</w:t>
      </w:r>
    </w:p>
    <w:p>
      <w:pPr>
        <w:pStyle w:val="yMiscellaneousBody"/>
        <w:rPr>
          <w:snapToGrid w:val="0"/>
        </w:rPr>
      </w:pPr>
      <w:r>
        <w:rPr>
          <w:snapToGrid w:val="0"/>
        </w:rPr>
        <w:t>of</w:t>
      </w:r>
    </w:p>
    <w:p>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1 amended in Gazette 10 Jan 2017 p. 291.]</w:t>
      </w:r>
    </w:p>
    <w:p>
      <w:pPr>
        <w:pStyle w:val="yMiscellaneousBody"/>
        <w:pageBreakBefore/>
        <w:jc w:val="center"/>
        <w:rPr>
          <w:snapToGrid w:val="0"/>
        </w:rPr>
      </w:pPr>
      <w:r>
        <w:rPr>
          <w:snapToGrid w:val="0"/>
        </w:rPr>
        <w:t>Form No. 2</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COMPULSORY EXAMINATION</w:t>
      </w:r>
    </w:p>
    <w:p>
      <w:pPr>
        <w:pStyle w:val="yMiscellaneousBody"/>
        <w:rPr>
          <w:snapToGrid w:val="0"/>
        </w:rPr>
      </w:pPr>
      <w:r>
        <w:rPr>
          <w:snapToGrid w:val="0"/>
        </w:rPr>
        <w:t>To ......................................................................</w:t>
      </w:r>
    </w:p>
    <w:p>
      <w:pPr>
        <w:pStyle w:val="yMiscellaneousBody"/>
        <w:rPr>
          <w:snapToGrid w:val="0"/>
        </w:rPr>
      </w:pPr>
      <w:r>
        <w:rPr>
          <w:snapToGrid w:val="0"/>
        </w:rPr>
        <w:tab/>
        <w:t>....................................................................</w:t>
      </w:r>
    </w:p>
    <w:p>
      <w:pPr>
        <w:pStyle w:val="yMiscellaneousBody"/>
        <w:rPr>
          <w:snapToGrid w:val="0"/>
        </w:rPr>
      </w:pPr>
      <w:r>
        <w:rPr>
          <w:snapToGrid w:val="0"/>
        </w:rPr>
        <w:t xml:space="preserve">Two medical practitioners </w:t>
      </w:r>
    </w:p>
    <w:p>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w:t>
      </w:r>
      <w:r>
        <w:rPr>
          <w:snapToGrid w:val="0"/>
        </w:rPr>
        <w:tab/>
        <w:t xml:space="preserve">                     , 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2 amended in Gazette 10 Jan 2017 p. 291</w:t>
      </w:r>
      <w:r>
        <w:noBreakHyphen/>
        <w:t>2.]</w:t>
      </w:r>
    </w:p>
    <w:p>
      <w:pPr>
        <w:pStyle w:val="yMiscellaneousBody"/>
        <w:pageBreakBefore/>
        <w:jc w:val="center"/>
        <w:rPr>
          <w:snapToGrid w:val="0"/>
        </w:rPr>
      </w:pPr>
      <w:r>
        <w:rPr>
          <w:snapToGrid w:val="0"/>
        </w:rPr>
        <w:t>Form No. 3</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xml:space="preserve">, and to the Officer in Charge of the </w:t>
      </w:r>
      <w:smartTag w:uri="urn:schemas-microsoft-com:office:smarttags" w:element="place">
        <w:smartTag w:uri="urn:schemas-microsoft-com:office:smarttags" w:element="PlaceName">
          <w:r>
            <w:rPr>
              <w:snapToGrid w:val="0"/>
            </w:rPr>
            <w:t>Gaol</w:t>
          </w:r>
        </w:smartTag>
        <w:r>
          <w:rPr>
            <w:snapToGrid w:val="0"/>
          </w:rPr>
          <w:t xml:space="preserve"> </w:t>
        </w:r>
        <w:smartTag w:uri="urn:schemas-microsoft-com:office:smarttags" w:element="PlaceType">
          <w:r>
            <w:rPr>
              <w:snapToGrid w:val="0"/>
            </w:rPr>
            <w:t>Hospital</w:t>
          </w:r>
        </w:smartTag>
      </w:smartTag>
      <w:r>
        <w:rPr>
          <w:snapToGrid w:val="0"/>
        </w:rPr>
        <w:t xml:space="preserve"> at</w:t>
      </w:r>
      <w:r>
        <w:rPr>
          <w:snapToGrid w:val="0"/>
        </w:rPr>
        <w:br/>
        <w:t xml:space="preserve">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authorised officers forthwith to apprehend the said                                        and convey him (or her) to                                     for the purpose of examination in accordance with the terms of the warrant aforesaid.</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3 amended in Gazette 10 Jan 2017 p. 292.]</w:t>
      </w:r>
    </w:p>
    <w:p>
      <w:pPr>
        <w:pStyle w:val="yMiscellaneousBody"/>
        <w:pageBreakBefore/>
        <w:jc w:val="center"/>
        <w:rPr>
          <w:snapToGrid w:val="0"/>
        </w:rPr>
      </w:pPr>
      <w:r>
        <w:rPr>
          <w:snapToGrid w:val="0"/>
        </w:rPr>
        <w:t>Form No. 4</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xml:space="preserve">, and to the Officer in Charge of the Hospital at </w:t>
      </w:r>
      <w:r>
        <w:rPr>
          <w:snapToGrid w:val="0"/>
        </w:rPr>
        <w:br/>
        <w:t xml:space="preserve">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pPr>
        <w:pStyle w:val="yMiscellaneousBody"/>
        <w:rPr>
          <w:snapToGrid w:val="0"/>
        </w:rPr>
      </w:pPr>
      <w:r>
        <w:rPr>
          <w:snapToGrid w:val="0"/>
        </w:rPr>
        <w:t xml:space="preserve">IN EXERCISE of the powers conferred upon me by </w:t>
      </w:r>
      <w:r>
        <w:rPr>
          <w:szCs w:val="22"/>
        </w:rPr>
        <w:t>the</w:t>
      </w:r>
      <w:r>
        <w:t xml:space="preserve"> </w:t>
      </w:r>
      <w:r>
        <w:rPr>
          <w:i/>
          <w:snapToGrid w:val="0"/>
        </w:rPr>
        <w:t>Health (Miscellaneous Provisions) Act 1911</w:t>
      </w:r>
      <w:r>
        <w:rPr>
          <w:snapToGrid w:val="0"/>
          <w:szCs w:val="22"/>
        </w:rPr>
        <w:t xml:space="preserve"> section 307,</w:t>
      </w:r>
      <w:r>
        <w:rPr>
          <w:snapToGrid w:val="0"/>
        </w:rPr>
        <w:t xml:space="preserve"> I hereby order you the said authorised officers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pPr>
        <w:pStyle w:val="yMiscellaneousBody"/>
        <w:keepNext/>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keepNext/>
        <w:spacing w:before="280"/>
        <w:jc w:val="right"/>
        <w:rPr>
          <w:snapToGrid w:val="0"/>
        </w:rPr>
      </w:pPr>
      <w:r>
        <w:rPr>
          <w:snapToGrid w:val="0"/>
        </w:rPr>
        <w:t xml:space="preserve">CHIEF HEALTH OFFICER </w:t>
      </w:r>
    </w:p>
    <w:p>
      <w:pPr>
        <w:pStyle w:val="yFootnotesection"/>
        <w:keepLines w:val="0"/>
        <w:spacing w:after="120"/>
        <w:rPr>
          <w:sz w:val="20"/>
        </w:rPr>
      </w:pPr>
      <w:r>
        <w:tab/>
        <w:t>[Form 4 amended in Gazette 10 Jan 2017 p. 293.]</w:t>
      </w:r>
    </w:p>
    <w:p>
      <w:pPr>
        <w:pStyle w:val="yMiscellaneousBody"/>
        <w:pageBreakBefore/>
        <w:jc w:val="center"/>
        <w:rPr>
          <w:snapToGrid w:val="0"/>
        </w:rPr>
      </w:pPr>
      <w:r>
        <w:rPr>
          <w:snapToGrid w:val="0"/>
        </w:rPr>
        <w:t>Form No. 5</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FURTHER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and to the Officer in Charge of the                                         Hospital at                                               .</w:t>
      </w:r>
    </w:p>
    <w:p>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pPr>
        <w:pStyle w:val="yMiscellaneousBody"/>
        <w:rPr>
          <w:snapToGrid w:val="0"/>
        </w:rPr>
      </w:pPr>
      <w:r>
        <w:rPr>
          <w:snapToGrid w:val="0"/>
        </w:rPr>
        <w:t>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authorised officers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pPr>
        <w:pStyle w:val="yMiscellaneousBody"/>
        <w:rPr>
          <w:snapToGrid w:val="0"/>
        </w:rPr>
      </w:pPr>
      <w:r>
        <w:rPr>
          <w:snapToGrid w:val="0"/>
        </w:rPr>
        <w:t>AND I HEREBY DIRECT that the said                                                         shall be subject during such detention to any such treatment and examination as I may think necessary in the circumstances.</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keepNext/>
        <w:spacing w:before="280"/>
        <w:jc w:val="right"/>
        <w:rPr>
          <w:snapToGrid w:val="0"/>
        </w:rPr>
      </w:pPr>
      <w:r>
        <w:rPr>
          <w:snapToGrid w:val="0"/>
        </w:rPr>
        <w:t xml:space="preserve">CHIEF HEALTH OFFICER </w:t>
      </w:r>
    </w:p>
    <w:p>
      <w:pPr>
        <w:pStyle w:val="yFootnotesection"/>
        <w:keepLines w:val="0"/>
        <w:spacing w:after="120"/>
      </w:pPr>
      <w:r>
        <w:tab/>
        <w:t>[Form 5 amended in Gazette 10 Jan 2017 p. 293</w:t>
      </w:r>
      <w:r>
        <w:noBreakHyphen/>
        <w:t>4.]</w:t>
      </w:r>
    </w:p>
    <w:p>
      <w:pPr>
        <w:pStyle w:val="yEdnotedivision"/>
      </w:pPr>
      <w:r>
        <w:t>[Forms 6-10 deleted in Gazette 5 Sep 2006 p. 3619.]</w:t>
      </w:r>
    </w:p>
    <w:p>
      <w:pPr>
        <w:pStyle w:val="yFootnotesection"/>
      </w:pPr>
      <w:r>
        <w:tab/>
        <w:t>[Appendix amended in Gazette 9 May 1975 p. 1298</w:t>
      </w:r>
      <w:r>
        <w:noBreakHyphen/>
        <w:t>9; 4 Jun 1982 p. 1792</w:t>
      </w:r>
      <w:r>
        <w:noBreakHyphen/>
        <w:t>3; 29 Jun 1984 p. 1782; 27 Nov 1987 p. 4261; 5 Sep 2006 p. 3619; 10 Jan 2017 p. 291</w:t>
      </w:r>
      <w:r>
        <w:noBreakHyphen/>
        <w:t xml:space="preserve">4.]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2" w:name="_Toc378751059"/>
      <w:bookmarkStart w:id="43" w:name="_Toc378751073"/>
      <w:bookmarkStart w:id="44" w:name="_Toc419460476"/>
      <w:bookmarkStart w:id="45" w:name="_Toc473016900"/>
      <w:bookmarkStart w:id="46" w:name="_Toc473037628"/>
      <w:r>
        <w:t>Notes</w:t>
      </w:r>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Health (Venereal Diseases) Regulations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 w:name="_Toc378751060"/>
      <w:bookmarkStart w:id="48" w:name="_Toc378751074"/>
      <w:bookmarkStart w:id="49" w:name="_Toc473037629"/>
      <w:r>
        <w:rPr>
          <w:snapToGrid w:val="0"/>
        </w:rPr>
        <w:t>Compilation table</w:t>
      </w:r>
      <w:bookmarkEnd w:id="47"/>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(Venereal Diseases) Regulations 1973</w:t>
            </w:r>
          </w:p>
        </w:tc>
        <w:tc>
          <w:tcPr>
            <w:tcW w:w="1276" w:type="dxa"/>
          </w:tcPr>
          <w:p>
            <w:pPr>
              <w:pStyle w:val="nTable"/>
              <w:spacing w:after="40"/>
            </w:pPr>
            <w:r>
              <w:t>2 Mar 1973 p. 587</w:t>
            </w:r>
            <w:r>
              <w:noBreakHyphen/>
              <w:t>9</w:t>
            </w:r>
          </w:p>
        </w:tc>
        <w:tc>
          <w:tcPr>
            <w:tcW w:w="2693" w:type="dxa"/>
          </w:tcPr>
          <w:p>
            <w:pPr>
              <w:pStyle w:val="nTable"/>
              <w:spacing w:after="40"/>
            </w:pPr>
            <w:r>
              <w:t>2 Mar 1973</w:t>
            </w:r>
          </w:p>
        </w:tc>
      </w:tr>
      <w:tr>
        <w:tc>
          <w:tcPr>
            <w:tcW w:w="3118" w:type="dxa"/>
          </w:tcPr>
          <w:p>
            <w:pPr>
              <w:pStyle w:val="nTable"/>
              <w:spacing w:after="40"/>
            </w:pPr>
            <w:r>
              <w:t>Untitled regulations</w:t>
            </w:r>
          </w:p>
        </w:tc>
        <w:tc>
          <w:tcPr>
            <w:tcW w:w="1276" w:type="dxa"/>
          </w:tcPr>
          <w:p>
            <w:pPr>
              <w:pStyle w:val="nTable"/>
              <w:spacing w:after="40"/>
            </w:pPr>
            <w:r>
              <w:t>9 May 1975 p. 1298-9</w:t>
            </w:r>
          </w:p>
        </w:tc>
        <w:tc>
          <w:tcPr>
            <w:tcW w:w="2693" w:type="dxa"/>
          </w:tcPr>
          <w:p>
            <w:pPr>
              <w:pStyle w:val="nTable"/>
              <w:spacing w:after="40"/>
            </w:pPr>
            <w:r>
              <w:t>9 May 1975</w:t>
            </w:r>
          </w:p>
        </w:tc>
      </w:tr>
      <w:tr>
        <w:tc>
          <w:tcPr>
            <w:tcW w:w="3118" w:type="dxa"/>
          </w:tcPr>
          <w:p>
            <w:pPr>
              <w:pStyle w:val="nTable"/>
              <w:spacing w:after="40"/>
            </w:pPr>
            <w:r>
              <w:t>Untitled regulations</w:t>
            </w:r>
          </w:p>
        </w:tc>
        <w:tc>
          <w:tcPr>
            <w:tcW w:w="1276" w:type="dxa"/>
          </w:tcPr>
          <w:p>
            <w:pPr>
              <w:pStyle w:val="nTable"/>
              <w:spacing w:after="40"/>
            </w:pPr>
            <w:r>
              <w:t>18 Feb 1977 p. 484</w:t>
            </w:r>
          </w:p>
        </w:tc>
        <w:tc>
          <w:tcPr>
            <w:tcW w:w="2693" w:type="dxa"/>
          </w:tcPr>
          <w:p>
            <w:pPr>
              <w:pStyle w:val="nTable"/>
              <w:spacing w:after="40"/>
            </w:pPr>
            <w:r>
              <w:t>18 Feb 1977</w:t>
            </w:r>
          </w:p>
        </w:tc>
      </w:tr>
      <w:tr>
        <w:tc>
          <w:tcPr>
            <w:tcW w:w="3118" w:type="dxa"/>
          </w:tcPr>
          <w:p>
            <w:pPr>
              <w:pStyle w:val="nTable"/>
              <w:spacing w:after="40"/>
            </w:pPr>
            <w:r>
              <w:t>Untitled regulations</w:t>
            </w:r>
          </w:p>
        </w:tc>
        <w:tc>
          <w:tcPr>
            <w:tcW w:w="1276" w:type="dxa"/>
          </w:tcPr>
          <w:p>
            <w:pPr>
              <w:pStyle w:val="nTable"/>
              <w:spacing w:after="40"/>
            </w:pPr>
            <w:r>
              <w:t>5 Aug 1977 p. 2545</w:t>
            </w:r>
          </w:p>
        </w:tc>
        <w:tc>
          <w:tcPr>
            <w:tcW w:w="2693" w:type="dxa"/>
          </w:tcPr>
          <w:p>
            <w:pPr>
              <w:pStyle w:val="nTable"/>
              <w:spacing w:after="40"/>
            </w:pPr>
            <w:r>
              <w:t>5 Aug 1977</w:t>
            </w:r>
          </w:p>
        </w:tc>
      </w:tr>
      <w:tr>
        <w:tc>
          <w:tcPr>
            <w:tcW w:w="3118" w:type="dxa"/>
          </w:tcPr>
          <w:p>
            <w:pPr>
              <w:pStyle w:val="nTable"/>
              <w:spacing w:after="40"/>
            </w:pPr>
            <w:r>
              <w:rPr>
                <w:i/>
              </w:rPr>
              <w:t>Health (Venereal Diseases) Amendment Regulations 1982</w:t>
            </w:r>
          </w:p>
        </w:tc>
        <w:tc>
          <w:tcPr>
            <w:tcW w:w="1276" w:type="dxa"/>
          </w:tcPr>
          <w:p>
            <w:pPr>
              <w:pStyle w:val="nTable"/>
              <w:spacing w:after="40"/>
            </w:pPr>
            <w:r>
              <w:t>4 Jun 1982 p. 1792-3</w:t>
            </w:r>
          </w:p>
        </w:tc>
        <w:tc>
          <w:tcPr>
            <w:tcW w:w="2693" w:type="dxa"/>
          </w:tcPr>
          <w:p>
            <w:pPr>
              <w:pStyle w:val="nTable"/>
              <w:spacing w:after="40"/>
            </w:pPr>
            <w:r>
              <w:t>4 Jun 1982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of the </w:t>
            </w:r>
            <w:r>
              <w:rPr>
                <w:b/>
                <w:i/>
              </w:rPr>
              <w:t xml:space="preserve">Health (Venereal Diseases) Regulations 1973 </w:t>
            </w:r>
            <w:r>
              <w:rPr>
                <w:b/>
              </w:rPr>
              <w:t xml:space="preserve">as at 1 Aug 1985 (see </w:t>
            </w:r>
            <w:r>
              <w:rPr>
                <w:b/>
                <w:i/>
              </w:rPr>
              <w:t>Gazette</w:t>
            </w:r>
            <w:r>
              <w:rPr>
                <w:b/>
              </w:rPr>
              <w:t xml:space="preserve"> 29 Aug 1985 p. 3051-63)</w:t>
            </w:r>
            <w:r>
              <w:t xml:space="preserve"> (includes amendments listed above)</w:t>
            </w:r>
          </w:p>
        </w:tc>
      </w:tr>
      <w:tr>
        <w:tc>
          <w:tcPr>
            <w:tcW w:w="3118" w:type="dxa"/>
          </w:tcPr>
          <w:p>
            <w:pPr>
              <w:pStyle w:val="nTable"/>
              <w:spacing w:after="40"/>
            </w:pPr>
            <w:r>
              <w:rPr>
                <w:i/>
              </w:rPr>
              <w:t>Health (Venereal Diseases)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c>
          <w:tcPr>
            <w:tcW w:w="3118" w:type="dxa"/>
          </w:tcPr>
          <w:p>
            <w:pPr>
              <w:pStyle w:val="nTable"/>
              <w:spacing w:after="40"/>
            </w:pPr>
            <w:r>
              <w:rPr>
                <w:i/>
              </w:rPr>
              <w:t>Health (Venereal Diseases) Amendment Regulations (No. 2) 1987</w:t>
            </w:r>
          </w:p>
        </w:tc>
        <w:tc>
          <w:tcPr>
            <w:tcW w:w="1276" w:type="dxa"/>
          </w:tcPr>
          <w:p>
            <w:pPr>
              <w:pStyle w:val="nTable"/>
              <w:spacing w:after="40"/>
            </w:pPr>
            <w:r>
              <w:t>27 Nov 1987 p. 4261</w:t>
            </w:r>
          </w:p>
        </w:tc>
        <w:tc>
          <w:tcPr>
            <w:tcW w:w="2693" w:type="dxa"/>
          </w:tcPr>
          <w:p>
            <w:pPr>
              <w:pStyle w:val="nTable"/>
              <w:spacing w:after="40"/>
            </w:pPr>
            <w:r>
              <w:t>1 Dec 1987 (see r. 2)</w:t>
            </w:r>
          </w:p>
        </w:tc>
      </w:tr>
      <w:tr>
        <w:tc>
          <w:tcPr>
            <w:tcW w:w="3118" w:type="dxa"/>
          </w:tcPr>
          <w:p>
            <w:pPr>
              <w:pStyle w:val="nTable"/>
              <w:spacing w:after="40"/>
            </w:pPr>
            <w:r>
              <w:rPr>
                <w:i/>
              </w:rPr>
              <w:t>Health (Offences and Penalties) Amendment Regulations (No. 2) 1988</w:t>
            </w:r>
            <w:r>
              <w:t xml:space="preserve"> Pt. 13</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2: The </w:t>
            </w:r>
            <w:r>
              <w:rPr>
                <w:b/>
                <w:i/>
              </w:rPr>
              <w:t xml:space="preserve">Health (Venereal Diseases) Regulations 1973 </w:t>
            </w:r>
            <w:r>
              <w:rPr>
                <w:b/>
              </w:rPr>
              <w:t xml:space="preserve">as at 18 Jul 2003 </w:t>
            </w:r>
            <w:r>
              <w:t xml:space="preserve"> (includes amendments listed above)</w:t>
            </w:r>
          </w:p>
        </w:tc>
      </w:tr>
      <w:tr>
        <w:tc>
          <w:tcPr>
            <w:tcW w:w="3118" w:type="dxa"/>
          </w:tcPr>
          <w:p>
            <w:pPr>
              <w:pStyle w:val="nTable"/>
              <w:spacing w:after="40"/>
            </w:pPr>
            <w:r>
              <w:rPr>
                <w:i/>
              </w:rPr>
              <w:t>Health (Veneral Diseases) Amendment Regulations 2006</w:t>
            </w:r>
          </w:p>
        </w:tc>
        <w:tc>
          <w:tcPr>
            <w:tcW w:w="1276" w:type="dxa"/>
          </w:tcPr>
          <w:p>
            <w:pPr>
              <w:pStyle w:val="nTable"/>
              <w:spacing w:after="40"/>
            </w:pPr>
            <w:r>
              <w:t>5 Sep 2006 p. 3618-19</w:t>
            </w:r>
          </w:p>
        </w:tc>
        <w:tc>
          <w:tcPr>
            <w:tcW w:w="2693" w:type="dxa"/>
          </w:tcPr>
          <w:p>
            <w:pPr>
              <w:pStyle w:val="nTable"/>
              <w:spacing w:after="40"/>
            </w:pPr>
            <w:r>
              <w:t>5 Sep 2006</w:t>
            </w:r>
          </w:p>
        </w:tc>
      </w:tr>
      <w:tr>
        <w:tc>
          <w:tcPr>
            <w:tcW w:w="3118" w:type="dxa"/>
            <w:tcBorders>
              <w:bottom w:val="single" w:sz="4" w:space="0" w:color="auto"/>
            </w:tcBorders>
          </w:tcPr>
          <w:p>
            <w:pPr>
              <w:pStyle w:val="nTable"/>
              <w:spacing w:after="40"/>
              <w:rPr>
                <w:i/>
              </w:rPr>
            </w:pPr>
            <w:r>
              <w:rPr>
                <w:i/>
              </w:rPr>
              <w:t>Health Regulations Amendment (Public Health) Regulations 2016</w:t>
            </w:r>
            <w:r>
              <w:t xml:space="preserve"> Pt. 25</w:t>
            </w:r>
          </w:p>
        </w:tc>
        <w:tc>
          <w:tcPr>
            <w:tcW w:w="1276" w:type="dxa"/>
            <w:tcBorders>
              <w:bottom w:val="single" w:sz="4" w:space="0" w:color="auto"/>
            </w:tcBorders>
          </w:tcPr>
          <w:p>
            <w:pPr>
              <w:pStyle w:val="nTable"/>
              <w:spacing w:after="40"/>
            </w:pPr>
            <w:r>
              <w:t>10 Jan 2017 p. 237</w:t>
            </w:r>
            <w:r>
              <w:noBreakHyphen/>
              <w:t>308</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1" w:name="_Toc473037630"/>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departmental officer</w:t>
      </w:r>
      <w:r>
        <w:tab/>
        <w:t>2A</w:t>
      </w:r>
    </w:p>
    <w:p>
      <w:pPr>
        <w:pStyle w:val="DefinedTerms"/>
      </w:pPr>
      <w:r>
        <w:t>the Act</w:t>
      </w:r>
      <w:r>
        <w:tab/>
        <w:t>2A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8141C"/>
    <w:lvl w:ilvl="0">
      <w:start w:val="1"/>
      <w:numFmt w:val="decimal"/>
      <w:lvlText w:val="%1."/>
      <w:lvlJc w:val="left"/>
      <w:pPr>
        <w:tabs>
          <w:tab w:val="num" w:pos="1492"/>
        </w:tabs>
        <w:ind w:left="1492" w:hanging="360"/>
      </w:pPr>
    </w:lvl>
  </w:abstractNum>
  <w:abstractNum w:abstractNumId="1">
    <w:nsid w:val="FFFFFF7D"/>
    <w:multiLevelType w:val="singleLevel"/>
    <w:tmpl w:val="2CB0B6B6"/>
    <w:lvl w:ilvl="0">
      <w:start w:val="1"/>
      <w:numFmt w:val="decimal"/>
      <w:lvlText w:val="%1."/>
      <w:lvlJc w:val="left"/>
      <w:pPr>
        <w:tabs>
          <w:tab w:val="num" w:pos="1209"/>
        </w:tabs>
        <w:ind w:left="1209" w:hanging="360"/>
      </w:pPr>
    </w:lvl>
  </w:abstractNum>
  <w:abstractNum w:abstractNumId="2">
    <w:nsid w:val="FFFFFF7E"/>
    <w:multiLevelType w:val="singleLevel"/>
    <w:tmpl w:val="96386814"/>
    <w:lvl w:ilvl="0">
      <w:start w:val="1"/>
      <w:numFmt w:val="decimal"/>
      <w:lvlText w:val="%1."/>
      <w:lvlJc w:val="left"/>
      <w:pPr>
        <w:tabs>
          <w:tab w:val="num" w:pos="926"/>
        </w:tabs>
        <w:ind w:left="926" w:hanging="360"/>
      </w:pPr>
    </w:lvl>
  </w:abstractNum>
  <w:abstractNum w:abstractNumId="3">
    <w:nsid w:val="FFFFFF7F"/>
    <w:multiLevelType w:val="singleLevel"/>
    <w:tmpl w:val="8A3EDFB4"/>
    <w:lvl w:ilvl="0">
      <w:start w:val="1"/>
      <w:numFmt w:val="decimal"/>
      <w:lvlText w:val="%1."/>
      <w:lvlJc w:val="left"/>
      <w:pPr>
        <w:tabs>
          <w:tab w:val="num" w:pos="643"/>
        </w:tabs>
        <w:ind w:left="643" w:hanging="360"/>
      </w:pPr>
    </w:lvl>
  </w:abstractNum>
  <w:abstractNum w:abstractNumId="4">
    <w:nsid w:val="FFFFFF80"/>
    <w:multiLevelType w:val="singleLevel"/>
    <w:tmpl w:val="98AEB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AF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AAC4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2A4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CF9CC"/>
    <w:lvl w:ilvl="0">
      <w:start w:val="1"/>
      <w:numFmt w:val="decimal"/>
      <w:lvlText w:val="%1."/>
      <w:lvlJc w:val="left"/>
      <w:pPr>
        <w:tabs>
          <w:tab w:val="num" w:pos="360"/>
        </w:tabs>
        <w:ind w:left="360" w:hanging="360"/>
      </w:pPr>
    </w:lvl>
  </w:abstractNum>
  <w:abstractNum w:abstractNumId="9">
    <w:nsid w:val="FFFFFF89"/>
    <w:multiLevelType w:val="singleLevel"/>
    <w:tmpl w:val="8960D0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768F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742"/>
    <w:docVar w:name="WAFER_20140129091116" w:val="RemoveTocBookmarks,RemoveUnusedBookmarks,RemoveLanguageTags,UsedStyles,ResetPageSize,UpdateArrangement"/>
    <w:docVar w:name="WAFER_20140129091116_GUID" w:val="c3d005bc-b826-4577-aa99-9881d15bf1b1"/>
    <w:docVar w:name="WAFER_20140129091122" w:val="RemoveTocBookmarks,RunningHeaders"/>
    <w:docVar w:name="WAFER_20140129091122_GUID" w:val="51dea732-c961-400f-bf0e-8d31bb4de309"/>
    <w:docVar w:name="WAFER_20150515103935" w:val="ResetPageSize,UpdateArrangement,UpdateNTable"/>
    <w:docVar w:name="WAFER_20150515103935_GUID" w:val="743300d5-89ec-43b1-a0d1-7516de6e43bf"/>
    <w:docVar w:name="WAFER_20151105145742" w:val="UpdateStyles,UsedStyles"/>
    <w:docVar w:name="WAFER_20151105145742_GUID" w:val="5fe4147b-8b85-4e1b-a513-4e166a709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2796</Words>
  <Characters>13677</Characters>
  <Application>Microsoft Office Word</Application>
  <DocSecurity>0</DocSecurity>
  <Lines>427</Lines>
  <Paragraphs>261</Paragraphs>
  <ScaleCrop>false</ScaleCrop>
  <HeadingPairs>
    <vt:vector size="2" baseType="variant">
      <vt:variant>
        <vt:lpstr>Title</vt:lpstr>
      </vt:variant>
      <vt:variant>
        <vt:i4>1</vt:i4>
      </vt:variant>
    </vt:vector>
  </HeadingPairs>
  <TitlesOfParts>
    <vt:vector size="1" baseType="lpstr">
      <vt:lpstr>Health (Venereal Diseases) Regulations 1973</vt:lpstr>
    </vt:vector>
  </TitlesOfParts>
  <Manager/>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1973 - 02-d0-00</dc:title>
  <dc:subject/>
  <dc:creator/>
  <cp:keywords/>
  <dc:description/>
  <cp:lastModifiedBy>svcMRProcess</cp:lastModifiedBy>
  <cp:revision>4</cp:revision>
  <cp:lastPrinted>2003-08-08T08:08:00Z</cp:lastPrinted>
  <dcterms:created xsi:type="dcterms:W3CDTF">2017-01-24T08:53:00Z</dcterms:created>
  <dcterms:modified xsi:type="dcterms:W3CDTF">2017-01-24T08:53:00Z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DocumentType">
    <vt:lpwstr>Reg</vt:lpwstr>
  </property>
  <property fmtid="{D5CDD505-2E9C-101B-9397-08002B2CF9AE}" pid="4" name="OwlsUID">
    <vt:i4>4497</vt:i4>
  </property>
  <property fmtid="{D5CDD505-2E9C-101B-9397-08002B2CF9AE}" pid="5" name="AsAtDate">
    <vt:lpwstr>24 Jan 2017</vt:lpwstr>
  </property>
  <property fmtid="{D5CDD505-2E9C-101B-9397-08002B2CF9AE}" pid="6" name="Suffix">
    <vt:lpwstr>02-d0-00</vt:lpwstr>
  </property>
  <property fmtid="{D5CDD505-2E9C-101B-9397-08002B2CF9AE}" pid="7" name="CommencementDate">
    <vt:lpwstr>20170124</vt:lpwstr>
  </property>
</Properties>
</file>