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_Toc473037852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_Toc473037853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_Toc473037855 \h </w:instrText>
      </w:r>
      <w:r>
        <w:fldChar w:fldCharType="separate"/>
      </w:r>
      <w:r>
        <w:t>5</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_Toc473037856 \h </w:instrText>
      </w:r>
      <w:r>
        <w:fldChar w:fldCharType="separate"/>
      </w:r>
      <w:r>
        <w:t>5</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_Toc473037857 \h </w:instrText>
      </w:r>
      <w:r>
        <w:fldChar w:fldCharType="separate"/>
      </w:r>
      <w:r>
        <w:t>6</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_Toc473037858 \h </w:instrText>
      </w:r>
      <w:r>
        <w:fldChar w:fldCharType="separate"/>
      </w:r>
      <w:r>
        <w:t>7</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_Toc473037859 \h </w:instrText>
      </w:r>
      <w:r>
        <w:fldChar w:fldCharType="separate"/>
      </w:r>
      <w:r>
        <w:t>8</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_Toc473037860 \h </w:instrText>
      </w:r>
      <w:r>
        <w:fldChar w:fldCharType="separate"/>
      </w:r>
      <w:r>
        <w:t>9</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_Toc473037861 \h </w:instrText>
      </w:r>
      <w:r>
        <w:fldChar w:fldCharType="separate"/>
      </w:r>
      <w:r>
        <w:t>11</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_Toc473037862 \h </w:instrText>
      </w:r>
      <w:r>
        <w:fldChar w:fldCharType="separate"/>
      </w:r>
      <w:r>
        <w:t>11</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_Toc473037863 \h </w:instrText>
      </w:r>
      <w:r>
        <w:fldChar w:fldCharType="separate"/>
      </w:r>
      <w:r>
        <w:t>12</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_Toc473037864 \h </w:instrText>
      </w:r>
      <w:r>
        <w:fldChar w:fldCharType="separate"/>
      </w:r>
      <w:r>
        <w:t>12</w:t>
      </w:r>
      <w:r>
        <w:fldChar w:fldCharType="end"/>
      </w:r>
    </w:p>
    <w:p>
      <w:pPr>
        <w:pStyle w:val="TOC8"/>
        <w:rPr>
          <w:rFonts w:asciiTheme="minorHAnsi" w:eastAsiaTheme="minorEastAsia" w:hAnsiTheme="minorHAnsi" w:cstheme="minorBidi"/>
          <w:szCs w:val="22"/>
        </w:rPr>
      </w:pPr>
      <w:r>
        <w:t>4.11</w:t>
      </w:r>
      <w:r>
        <w:tab/>
        <w:t>Designated camping sites for Noongar people</w:t>
      </w:r>
      <w:r>
        <w:tab/>
      </w:r>
      <w:r>
        <w:fldChar w:fldCharType="begin"/>
      </w:r>
      <w:r>
        <w:instrText xml:space="preserve"> PAGEREF _Toc473037865 \h </w:instrText>
      </w:r>
      <w:r>
        <w:fldChar w:fldCharType="separate"/>
      </w:r>
      <w:r>
        <w:t>13</w:t>
      </w:r>
      <w:r>
        <w:fldChar w:fldCharType="end"/>
      </w:r>
    </w:p>
    <w:p>
      <w:pPr>
        <w:pStyle w:val="TOC8"/>
        <w:rPr>
          <w:rFonts w:asciiTheme="minorHAnsi" w:eastAsiaTheme="minorEastAsia" w:hAnsiTheme="minorHAnsi" w:cstheme="minorBidi"/>
          <w:szCs w:val="22"/>
        </w:rPr>
      </w:pPr>
      <w:r>
        <w:t>4.12</w:t>
      </w:r>
      <w:r>
        <w:tab/>
        <w:t>Customary hunting by Noongar people</w:t>
      </w:r>
      <w:r>
        <w:tab/>
      </w:r>
      <w:r>
        <w:fldChar w:fldCharType="begin"/>
      </w:r>
      <w:r>
        <w:instrText xml:space="preserve"> PAGEREF _Toc473037866 \h </w:instrText>
      </w:r>
      <w:r>
        <w:fldChar w:fldCharType="separate"/>
      </w:r>
      <w:r>
        <w:t>14</w:t>
      </w:r>
      <w:r>
        <w:fldChar w:fldCharType="end"/>
      </w:r>
    </w:p>
    <w:p>
      <w:pPr>
        <w:pStyle w:val="TOC8"/>
        <w:rPr>
          <w:rFonts w:asciiTheme="minorHAnsi" w:eastAsiaTheme="minorEastAsia" w:hAnsiTheme="minorHAnsi" w:cstheme="minorBidi"/>
          <w:szCs w:val="22"/>
        </w:rPr>
      </w:pPr>
      <w:r>
        <w:t>4.13</w:t>
      </w:r>
      <w:r>
        <w:tab/>
        <w:t>Noongar people lighting fires for customary purposes</w:t>
      </w:r>
      <w:r>
        <w:tab/>
      </w:r>
      <w:r>
        <w:fldChar w:fldCharType="begin"/>
      </w:r>
      <w:r>
        <w:instrText xml:space="preserve"> PAGEREF _Toc473037867 \h </w:instrText>
      </w:r>
      <w:r>
        <w:fldChar w:fldCharType="separate"/>
      </w:r>
      <w:r>
        <w:t>15</w:t>
      </w:r>
      <w:r>
        <w:fldChar w:fldCharType="end"/>
      </w:r>
    </w:p>
    <w:p>
      <w:pPr>
        <w:pStyle w:val="TOC8"/>
        <w:rPr>
          <w:rFonts w:asciiTheme="minorHAnsi" w:eastAsiaTheme="minorEastAsia" w:hAnsiTheme="minorHAnsi" w:cstheme="minorBidi"/>
          <w:szCs w:val="22"/>
        </w:rPr>
      </w:pPr>
      <w:r>
        <w:t>4.14</w:t>
      </w:r>
      <w:r>
        <w:tab/>
        <w:t>Entry to Aboriginal sites by Noongar people</w:t>
      </w:r>
      <w:r>
        <w:tab/>
      </w:r>
      <w:r>
        <w:fldChar w:fldCharType="begin"/>
      </w:r>
      <w:r>
        <w:instrText xml:space="preserve"> PAGEREF _Toc473037868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_Toc473037870 \h </w:instrText>
      </w:r>
      <w:r>
        <w:fldChar w:fldCharType="separate"/>
      </w:r>
      <w:r>
        <w:t>16</w:t>
      </w:r>
      <w:r>
        <w:fldChar w:fldCharType="end"/>
      </w:r>
    </w:p>
    <w:p>
      <w:pPr>
        <w:pStyle w:val="TOC8"/>
        <w:rPr>
          <w:rFonts w:asciiTheme="minorHAnsi" w:eastAsiaTheme="minorEastAsia" w:hAnsiTheme="minorHAnsi" w:cstheme="minorBidi"/>
          <w:szCs w:val="22"/>
        </w:rPr>
      </w:pPr>
      <w:r>
        <w:t>5.3</w:t>
      </w:r>
      <w:r>
        <w:rPr>
          <w:snapToGrid w:val="0"/>
        </w:rPr>
        <w:tab/>
        <w:t>Causing flooding of wells etc.</w:t>
      </w:r>
      <w:r>
        <w:tab/>
      </w:r>
      <w:r>
        <w:fldChar w:fldCharType="begin"/>
      </w:r>
      <w:r>
        <w:instrText xml:space="preserve"> PAGEREF _Toc473037871 \h </w:instrText>
      </w:r>
      <w:r>
        <w:fldChar w:fldCharType="separate"/>
      </w:r>
      <w:r>
        <w:t>16</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_Toc473037872 \h </w:instrText>
      </w:r>
      <w:r>
        <w:fldChar w:fldCharType="separate"/>
      </w:r>
      <w:r>
        <w:t>16</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_Toc473037873 \h </w:instrText>
      </w:r>
      <w:r>
        <w:fldChar w:fldCharType="separate"/>
      </w:r>
      <w:r>
        <w:t>18</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_Toc473037874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_Toc473037876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tabs>
          <w:tab w:val="right" w:leader="dot" w:pos="7077"/>
        </w:tabs>
        <w:rPr>
          <w:rFonts w:asciiTheme="minorHAnsi" w:eastAsiaTheme="minorEastAsia" w:hAnsiTheme="minorHAnsi" w:cstheme="minorBidi"/>
          <w:b w:val="0"/>
          <w:sz w:val="22"/>
          <w:szCs w:val="22"/>
        </w:rPr>
      </w:pPr>
      <w:r>
        <w:t>Schedule 2 — Map of South West Settlement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_Toc473037880 \h </w:instrText>
      </w:r>
      <w:r>
        <w:fldChar w:fldCharType="separate"/>
      </w:r>
      <w:r>
        <w:t>36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473017842"/>
      <w:bookmarkStart w:id="4" w:name="_Toc473018318"/>
      <w:bookmarkStart w:id="5" w:name="_Toc473018370"/>
      <w:bookmarkStart w:id="6" w:name="_Toc473037851"/>
      <w:r>
        <w:rPr>
          <w:rStyle w:val="CharPartText"/>
        </w:rPr>
        <w:t>Preliminary and definitions</w:t>
      </w:r>
      <w:bookmarkEnd w:id="3"/>
      <w:bookmarkEnd w:id="4"/>
      <w:bookmarkEnd w:id="5"/>
      <w:bookmarkEnd w:id="6"/>
    </w:p>
    <w:p>
      <w:pPr>
        <w:pStyle w:val="Heading5"/>
        <w:spacing w:before="120"/>
        <w:rPr>
          <w:snapToGrid w:val="0"/>
        </w:rPr>
      </w:pPr>
      <w:bookmarkStart w:id="7" w:name="_Toc473037852"/>
      <w:r>
        <w:rPr>
          <w:rStyle w:val="CharSectno"/>
        </w:rPr>
        <w:t>1.0</w:t>
      </w:r>
      <w:r>
        <w:rPr>
          <w:snapToGrid w:val="0"/>
        </w:rPr>
        <w:tab/>
        <w:t>Citation</w:t>
      </w:r>
      <w:bookmarkEnd w:id="7"/>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8" w:name="_Toc473037853"/>
      <w:r>
        <w:rPr>
          <w:rStyle w:val="CharSectno"/>
        </w:rPr>
        <w:t>1.1</w:t>
      </w:r>
      <w:r>
        <w:rPr>
          <w:snapToGrid w:val="0"/>
        </w:rPr>
        <w:tab/>
        <w:t>Terms used</w:t>
      </w:r>
      <w:bookmarkEnd w:id="8"/>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9" w:name="_Toc473017845"/>
      <w:bookmarkStart w:id="10" w:name="_Toc473018321"/>
      <w:bookmarkStart w:id="11" w:name="_Toc473018373"/>
      <w:bookmarkStart w:id="12" w:name="_Toc473037854"/>
      <w:r>
        <w:rPr>
          <w:rStyle w:val="CharPartNo"/>
        </w:rPr>
        <w:t xml:space="preserve">4.0 </w:t>
      </w:r>
      <w:r>
        <w:rPr>
          <w:rStyle w:val="CharPartText"/>
        </w:rPr>
        <w:t>Protection of catchment areas and water reserves</w:t>
      </w:r>
      <w:bookmarkEnd w:id="9"/>
      <w:bookmarkEnd w:id="10"/>
      <w:bookmarkEnd w:id="11"/>
      <w:bookmarkEnd w:id="12"/>
    </w:p>
    <w:p>
      <w:pPr>
        <w:pStyle w:val="Heading5"/>
        <w:rPr>
          <w:snapToGrid w:val="0"/>
        </w:rPr>
      </w:pPr>
      <w:bookmarkStart w:id="13" w:name="_Toc473037855"/>
      <w:r>
        <w:rPr>
          <w:rStyle w:val="CharSectno"/>
        </w:rPr>
        <w:t>4.1</w:t>
      </w:r>
      <w:r>
        <w:rPr>
          <w:snapToGrid w:val="0"/>
        </w:rPr>
        <w:tab/>
      </w:r>
      <w:smartTag w:uri="urn:schemas-microsoft-com:office:smarttags" w:element="place">
        <w:r>
          <w:rPr>
            <w:snapToGrid w:val="0"/>
          </w:rPr>
          <w:t>Ob</w:t>
        </w:r>
      </w:smartTag>
      <w:r>
        <w:rPr>
          <w:snapToGrid w:val="0"/>
        </w:rPr>
        <w:t>ject of this Part</w:t>
      </w:r>
      <w:bookmarkEnd w:id="13"/>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14" w:name="_Toc473037856"/>
      <w:r>
        <w:rPr>
          <w:rStyle w:val="CharSectno"/>
        </w:rPr>
        <w:t>4.2</w:t>
      </w:r>
      <w:r>
        <w:rPr>
          <w:snapToGrid w:val="0"/>
        </w:rPr>
        <w:tab/>
        <w:t>Application of this Part</w:t>
      </w:r>
      <w:bookmarkEnd w:id="14"/>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15" w:name="_Toc473037857"/>
      <w:r>
        <w:rPr>
          <w:rStyle w:val="CharSectno"/>
        </w:rPr>
        <w:t>4.3</w:t>
      </w:r>
      <w:r>
        <w:rPr>
          <w:snapToGrid w:val="0"/>
        </w:rPr>
        <w:tab/>
        <w:t>Catchment areas etc., protection of</w:t>
      </w:r>
      <w:bookmarkEnd w:id="15"/>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16" w:name="_Toc473037858"/>
      <w:r>
        <w:rPr>
          <w:rStyle w:val="CharSectno"/>
        </w:rPr>
        <w:t>4.4</w:t>
      </w:r>
      <w:r>
        <w:rPr>
          <w:snapToGrid w:val="0"/>
        </w:rPr>
        <w:tab/>
        <w:t>Sewage, liquid waste and solid refuse</w:t>
      </w:r>
      <w:bookmarkEnd w:id="16"/>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17" w:name="_Toc473037859"/>
      <w:r>
        <w:rPr>
          <w:rStyle w:val="CharSectno"/>
        </w:rPr>
        <w:t>4.5</w:t>
      </w:r>
      <w:r>
        <w:rPr>
          <w:snapToGrid w:val="0"/>
        </w:rPr>
        <w:tab/>
        <w:t>Animals and birds</w:t>
      </w:r>
      <w:bookmarkEnd w:id="17"/>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18" w:name="_Toc473037860"/>
      <w:r>
        <w:rPr>
          <w:rStyle w:val="CharSectno"/>
        </w:rPr>
        <w:t>4.6</w:t>
      </w:r>
      <w:r>
        <w:rPr>
          <w:snapToGrid w:val="0"/>
        </w:rPr>
        <w:tab/>
        <w:t>Manure, fertilizers, chemicals, petrol etc.</w:t>
      </w:r>
      <w:bookmarkEnd w:id="18"/>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Gazette 29 Dec 1995 p. 6321 and 6325; 18 Mar 2011 p. 928; 21 Apr 2011 p. 1476-7.]</w:t>
      </w:r>
    </w:p>
    <w:p>
      <w:pPr>
        <w:pStyle w:val="Heading5"/>
        <w:rPr>
          <w:snapToGrid w:val="0"/>
        </w:rPr>
      </w:pPr>
      <w:bookmarkStart w:id="19" w:name="_Toc473037861"/>
      <w:r>
        <w:rPr>
          <w:rStyle w:val="CharSectno"/>
        </w:rPr>
        <w:t>4.7</w:t>
      </w:r>
      <w:r>
        <w:rPr>
          <w:snapToGrid w:val="0"/>
        </w:rPr>
        <w:tab/>
        <w:t>Clearing, road construction, vehicles etc.</w:t>
      </w:r>
      <w:bookmarkEnd w:id="19"/>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20" w:name="_Toc473037862"/>
      <w:r>
        <w:rPr>
          <w:rStyle w:val="CharSectno"/>
        </w:rPr>
        <w:t>4.8</w:t>
      </w:r>
      <w:r>
        <w:rPr>
          <w:snapToGrid w:val="0"/>
        </w:rPr>
        <w:tab/>
        <w:t>Development, mining, offensive trades etc.</w:t>
      </w:r>
      <w:bookmarkEnd w:id="20"/>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21" w:name="_Toc473037863"/>
      <w:r>
        <w:rPr>
          <w:rStyle w:val="CharSectno"/>
        </w:rPr>
        <w:t>4.9</w:t>
      </w:r>
      <w:r>
        <w:rPr>
          <w:snapToGrid w:val="0"/>
        </w:rPr>
        <w:tab/>
        <w:t>Remedying damage etc., CEO’s powers for</w:t>
      </w:r>
      <w:bookmarkEnd w:id="21"/>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22" w:name="_Toc473037864"/>
      <w:r>
        <w:rPr>
          <w:rStyle w:val="CharSectno"/>
        </w:rPr>
        <w:t>4.10</w:t>
      </w:r>
      <w:r>
        <w:rPr>
          <w:snapToGrid w:val="0"/>
        </w:rPr>
        <w:tab/>
        <w:t>Signs; rangers’ powers</w:t>
      </w:r>
      <w:bookmarkEnd w:id="22"/>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23" w:name="_Toc473037865"/>
      <w:r>
        <w:rPr>
          <w:rStyle w:val="CharSectno"/>
        </w:rPr>
        <w:t>4.11</w:t>
      </w:r>
      <w:r>
        <w:tab/>
        <w:t>Designated camping sites for Noongar people</w:t>
      </w:r>
      <w:bookmarkEnd w:id="23"/>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24" w:name="_Toc473037866"/>
      <w:r>
        <w:rPr>
          <w:rStyle w:val="CharSectno"/>
        </w:rPr>
        <w:t>4.12</w:t>
      </w:r>
      <w:r>
        <w:tab/>
        <w:t>Customary hunting by Noongar people</w:t>
      </w:r>
      <w:bookmarkEnd w:id="24"/>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w:t>
      </w:r>
    </w:p>
    <w:p>
      <w:pPr>
        <w:pStyle w:val="Heading5"/>
      </w:pPr>
      <w:bookmarkStart w:id="25" w:name="_Toc473037867"/>
      <w:r>
        <w:rPr>
          <w:rStyle w:val="CharSectno"/>
        </w:rPr>
        <w:t>4.13</w:t>
      </w:r>
      <w:r>
        <w:tab/>
        <w:t>Noongar people lighting fires for customary purposes</w:t>
      </w:r>
      <w:bookmarkEnd w:id="25"/>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w:t>
      </w:r>
    </w:p>
    <w:p>
      <w:pPr>
        <w:pStyle w:val="Heading5"/>
      </w:pPr>
      <w:bookmarkStart w:id="26" w:name="_Toc473037868"/>
      <w:r>
        <w:rPr>
          <w:rStyle w:val="CharSectno"/>
        </w:rPr>
        <w:t>4.14</w:t>
      </w:r>
      <w:r>
        <w:tab/>
        <w:t>Entry to Aboriginal sites by Noongar people</w:t>
      </w:r>
      <w:bookmarkEnd w:id="26"/>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w:t>
      </w:r>
    </w:p>
    <w:p>
      <w:pPr>
        <w:pStyle w:val="Heading2"/>
      </w:pPr>
      <w:bookmarkStart w:id="27" w:name="_Toc473017860"/>
      <w:bookmarkStart w:id="28" w:name="_Toc473018336"/>
      <w:bookmarkStart w:id="29" w:name="_Toc473018388"/>
      <w:bookmarkStart w:id="30" w:name="_Toc473037869"/>
      <w:r>
        <w:rPr>
          <w:rStyle w:val="CharPartNo"/>
        </w:rPr>
        <w:t>5.0</w:t>
      </w:r>
      <w:r>
        <w:t xml:space="preserve"> </w:t>
      </w:r>
      <w:r>
        <w:rPr>
          <w:rStyle w:val="CharPartText"/>
        </w:rPr>
        <w:t>Protection of public water supply areas and underground water pollution control areas</w:t>
      </w:r>
      <w:bookmarkEnd w:id="27"/>
      <w:bookmarkEnd w:id="28"/>
      <w:bookmarkEnd w:id="29"/>
      <w:bookmarkEnd w:id="30"/>
    </w:p>
    <w:p>
      <w:pPr>
        <w:pStyle w:val="Heading5"/>
        <w:rPr>
          <w:snapToGrid w:val="0"/>
        </w:rPr>
      </w:pPr>
      <w:bookmarkStart w:id="31" w:name="_Toc473037870"/>
      <w:r>
        <w:rPr>
          <w:rStyle w:val="CharSectno"/>
        </w:rPr>
        <w:t>5.1</w:t>
      </w:r>
      <w:r>
        <w:rPr>
          <w:snapToGrid w:val="0"/>
        </w:rPr>
        <w:tab/>
      </w:r>
      <w:smartTag w:uri="urn:schemas-microsoft-com:office:smarttags" w:element="place">
        <w:r>
          <w:rPr>
            <w:snapToGrid w:val="0"/>
          </w:rPr>
          <w:t>Ob</w:t>
        </w:r>
      </w:smartTag>
      <w:r>
        <w:rPr>
          <w:snapToGrid w:val="0"/>
        </w:rPr>
        <w:t>ject of this Part; CEO may erect signs</w:t>
      </w:r>
      <w:bookmarkEnd w:id="31"/>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32" w:name="_Toc473037871"/>
      <w:r>
        <w:rPr>
          <w:rStyle w:val="CharSectno"/>
        </w:rPr>
        <w:t>5.3</w:t>
      </w:r>
      <w:r>
        <w:rPr>
          <w:snapToGrid w:val="0"/>
        </w:rPr>
        <w:tab/>
        <w:t>Causing flooding of wells etc.</w:t>
      </w:r>
      <w:bookmarkEnd w:id="32"/>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33" w:name="_Toc473037872"/>
      <w:r>
        <w:rPr>
          <w:rStyle w:val="CharSectno"/>
        </w:rPr>
        <w:t>5.4</w:t>
      </w:r>
      <w:r>
        <w:rPr>
          <w:snapToGrid w:val="0"/>
        </w:rPr>
        <w:tab/>
      </w:r>
      <w:smartTag w:uri="urn:schemas-microsoft-com:office:smarttags" w:element="place">
        <w:r>
          <w:rPr>
            <w:snapToGrid w:val="0"/>
          </w:rPr>
          <w:t>Po</w:t>
        </w:r>
      </w:smartTag>
      <w:r>
        <w:rPr>
          <w:snapToGrid w:val="0"/>
        </w:rPr>
        <w:t>llution areas, production wells etc., protection of</w:t>
      </w:r>
      <w:bookmarkEnd w:id="33"/>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34" w:name="_Toc473037873"/>
      <w:r>
        <w:rPr>
          <w:rStyle w:val="CharSectno"/>
        </w:rPr>
        <w:t>5.5</w:t>
      </w:r>
      <w:r>
        <w:rPr>
          <w:snapToGrid w:val="0"/>
        </w:rPr>
        <w:tab/>
      </w:r>
      <w:smartTag w:uri="urn:schemas-microsoft-com:office:smarttags" w:element="place">
        <w:r>
          <w:rPr>
            <w:snapToGrid w:val="0"/>
          </w:rPr>
          <w:t>Po</w:t>
        </w:r>
      </w:smartTag>
      <w:r>
        <w:rPr>
          <w:snapToGrid w:val="0"/>
        </w:rPr>
        <w:t>llution areas, development and storing petrol etc. in</w:t>
      </w:r>
      <w:bookmarkEnd w:id="34"/>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35" w:name="_Toc473037874"/>
      <w:r>
        <w:rPr>
          <w:rStyle w:val="CharSectno"/>
        </w:rPr>
        <w:t>5.6</w:t>
      </w:r>
      <w:r>
        <w:rPr>
          <w:snapToGrid w:val="0"/>
        </w:rPr>
        <w:tab/>
        <w:t>Priority source protection areas, control of certain developments in</w:t>
      </w:r>
      <w:bookmarkEnd w:id="35"/>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36" w:name="_Toc473017866"/>
      <w:bookmarkStart w:id="37" w:name="_Toc473018342"/>
      <w:bookmarkStart w:id="38" w:name="_Toc473018394"/>
      <w:bookmarkStart w:id="39" w:name="_Toc473037875"/>
      <w:r>
        <w:rPr>
          <w:rStyle w:val="CharPartNo"/>
        </w:rPr>
        <w:t>31.0</w:t>
      </w:r>
      <w:r>
        <w:t xml:space="preserve"> </w:t>
      </w:r>
      <w:r>
        <w:rPr>
          <w:rStyle w:val="CharPartText"/>
        </w:rPr>
        <w:t>Offences and penalties</w:t>
      </w:r>
      <w:bookmarkEnd w:id="36"/>
      <w:bookmarkEnd w:id="37"/>
      <w:bookmarkEnd w:id="38"/>
      <w:bookmarkEnd w:id="39"/>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40" w:name="_Toc473037876"/>
      <w:r>
        <w:rPr>
          <w:rStyle w:val="CharSectno"/>
        </w:rPr>
        <w:t>31.4</w:t>
      </w:r>
      <w:r>
        <w:rPr>
          <w:snapToGrid w:val="0"/>
        </w:rPr>
        <w:tab/>
        <w:t>Penalties</w:t>
      </w:r>
      <w:bookmarkEnd w:id="40"/>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24"/>
          <w:headerReference w:type="default" r:id="rId25"/>
          <w:headerReference w:type="first" r:id="rId26"/>
          <w:pgSz w:w="11907" w:h="16840" w:code="9"/>
          <w:pgMar w:top="2381" w:right="2409" w:bottom="3543" w:left="2409" w:header="720" w:footer="3380" w:gutter="0"/>
          <w:pgNumType w:start="1"/>
          <w:cols w:space="720"/>
          <w:noEndnote/>
          <w:titlePg/>
          <w:docGrid w:linePitch="326"/>
        </w:sectPr>
      </w:pPr>
    </w:p>
    <w:p>
      <w:pPr>
        <w:pStyle w:val="yScheduleHeading"/>
      </w:pPr>
      <w:bookmarkStart w:id="41" w:name="_Toc473017868"/>
      <w:bookmarkStart w:id="42" w:name="_Toc473018344"/>
      <w:bookmarkStart w:id="43" w:name="_Toc473018396"/>
      <w:bookmarkStart w:id="44" w:name="_Toc473037877"/>
      <w:r>
        <w:rPr>
          <w:rStyle w:val="CharSchNo"/>
        </w:rPr>
        <w:t>Schedule 1</w:t>
      </w:r>
      <w:r>
        <w:rPr>
          <w:rStyle w:val="CharSDivNo"/>
        </w:rPr>
        <w:t> </w:t>
      </w:r>
      <w:r>
        <w:t>—</w:t>
      </w:r>
      <w:r>
        <w:rPr>
          <w:rStyle w:val="CharSDivText"/>
        </w:rPr>
        <w:t> </w:t>
      </w:r>
      <w:r>
        <w:rPr>
          <w:rStyle w:val="CharSchText"/>
        </w:rPr>
        <w:t>Description of South West Settlement Area</w:t>
      </w:r>
      <w:bookmarkEnd w:id="41"/>
      <w:bookmarkEnd w:id="42"/>
      <w:bookmarkEnd w:id="43"/>
      <w:bookmarkEnd w:id="44"/>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45" w:name="_Toc473017869"/>
      <w:bookmarkStart w:id="46" w:name="_Toc473018345"/>
      <w:bookmarkStart w:id="47" w:name="_Toc473018397"/>
      <w:bookmarkStart w:id="48" w:name="_Toc473037878"/>
      <w:r>
        <w:rPr>
          <w:rStyle w:val="CharSchNo"/>
        </w:rPr>
        <w:t>Schedule 2</w:t>
      </w:r>
      <w:r>
        <w:rPr>
          <w:rStyle w:val="CharSDivNo"/>
        </w:rPr>
        <w:t> </w:t>
      </w:r>
      <w:r>
        <w:t>—</w:t>
      </w:r>
      <w:r>
        <w:rPr>
          <w:rStyle w:val="CharSDivText"/>
        </w:rPr>
        <w:t> </w:t>
      </w:r>
      <w:r>
        <w:rPr>
          <w:rStyle w:val="CharSchText"/>
        </w:rPr>
        <w:t>Map of South West Settlement Area</w:t>
      </w:r>
      <w:bookmarkEnd w:id="45"/>
      <w:bookmarkEnd w:id="46"/>
      <w:bookmarkEnd w:id="47"/>
      <w:bookmarkEnd w:id="48"/>
    </w:p>
    <w:p>
      <w:pPr>
        <w:pStyle w:val="yShoulderClause"/>
      </w:pPr>
      <w:r>
        <w:t>[bl. 1.1]</w:t>
      </w:r>
    </w:p>
    <w:p>
      <w:pPr>
        <w:pStyle w:val="yFootnoteheading"/>
      </w:pPr>
      <w:r>
        <w:tab/>
        <w:t>[Heading inserted: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96552" cy="5423048"/>
                    </a:xfrm>
                    <a:prstGeom prst="rect">
                      <a:avLst/>
                    </a:prstGeom>
                  </pic:spPr>
                </pic:pic>
              </a:graphicData>
            </a:graphic>
          </wp:inline>
        </w:drawing>
      </w:r>
    </w:p>
    <w:p>
      <w:pPr>
        <w:pStyle w:val="yFootnotesection"/>
      </w:pPr>
      <w:r>
        <w:tab/>
        <w:t>[Schedule 2 inserted: Gazette 7 Jun 2016 p. 1787.]</w:t>
      </w:r>
    </w:p>
    <w:p>
      <w:pPr>
        <w:outlineLvl w:val="0"/>
        <w:sectPr>
          <w:headerReference w:type="even" r:id="rId28"/>
          <w:headerReference w:type="default" r:id="rId29"/>
          <w:pgSz w:w="11907" w:h="16840" w:code="9"/>
          <w:pgMar w:top="2381" w:right="2410" w:bottom="3544" w:left="2410" w:header="720" w:footer="3544" w:gutter="0"/>
          <w:cols w:space="720"/>
        </w:sectPr>
      </w:pPr>
    </w:p>
    <w:p>
      <w:pPr>
        <w:pStyle w:val="nHeading2"/>
      </w:pPr>
      <w:bookmarkStart w:id="50" w:name="_Toc473017870"/>
      <w:bookmarkStart w:id="51" w:name="_Toc473018346"/>
      <w:bookmarkStart w:id="52" w:name="_Toc473018398"/>
      <w:bookmarkStart w:id="53" w:name="_Toc473037879"/>
      <w:r>
        <w:t>Notes</w:t>
      </w:r>
      <w:bookmarkEnd w:id="50"/>
      <w:bookmarkEnd w:id="51"/>
      <w:bookmarkEnd w:id="52"/>
      <w:bookmarkEnd w:id="53"/>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54" w:name="_Toc473037880"/>
      <w:r>
        <w:t>Compilation table</w:t>
      </w:r>
      <w:bookmarkEnd w:id="54"/>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93" w:type="dxa"/>
            <w:gridSpan w:val="2"/>
            <w:shd w:val="clear" w:color="auto" w:fill="auto"/>
          </w:tcPr>
          <w:p>
            <w:pPr>
              <w:pStyle w:val="nTable"/>
              <w:spacing w:after="40"/>
              <w:ind w:right="113"/>
              <w:rPr>
                <w:rFonts w:ascii="Arial" w:hAnsi="Arial"/>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93"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rPr>
          <w:gridAfter w:val="1"/>
          <w:wAfter w:w="28" w:type="dxa"/>
          <w:cantSplit/>
          <w:trHeight w:val="40"/>
        </w:trPr>
        <w:tc>
          <w:tcPr>
            <w:tcW w:w="3118" w:type="dxa"/>
            <w:gridSpan w:val="2"/>
            <w:tcBorders>
              <w:bottom w:val="single" w:sz="4" w:space="0" w:color="auto"/>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bottom w:val="single" w:sz="4" w:space="0" w:color="auto"/>
            </w:tcBorders>
            <w:shd w:val="clear" w:color="auto" w:fill="auto"/>
          </w:tcPr>
          <w:p>
            <w:pPr>
              <w:pStyle w:val="nTable"/>
              <w:spacing w:after="40"/>
              <w:ind w:right="113"/>
              <w:rPr>
                <w:bCs/>
              </w:rPr>
            </w:pPr>
            <w:r>
              <w:t>10 Jan 2017 p. 233-5</w:t>
            </w:r>
          </w:p>
        </w:tc>
        <w:tc>
          <w:tcPr>
            <w:tcW w:w="2693" w:type="dxa"/>
            <w:gridSpan w:val="2"/>
            <w:tcBorders>
              <w:bottom w:val="single" w:sz="4" w:space="0" w:color="auto"/>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Footnote no longer applicable.</w:t>
      </w:r>
    </w:p>
    <w:p>
      <w:pPr>
        <w:pStyle w:val="nSubsection"/>
        <w:spacing w:before="100"/>
        <w:rPr>
          <w:snapToGrid w:val="0"/>
        </w:rPr>
      </w:pPr>
      <w:r>
        <w:rPr>
          <w:snapToGrid w:val="0"/>
          <w:vertAlign w:val="superscript"/>
        </w:rPr>
        <w:t>4</w:t>
      </w:r>
      <w:r>
        <w:rPr>
          <w:snapToGrid w:val="0"/>
        </w:rPr>
        <w:tab/>
        <w:t>Footnote no longer applicable.</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0"/>
          <w:headerReference w:type="default" r:id="rId31"/>
          <w:pgSz w:w="11907" w:h="16840" w:code="9"/>
          <w:pgMar w:top="2381" w:right="2409" w:bottom="3543" w:left="2409" w:header="720" w:footer="3380" w:gutter="0"/>
          <w:cols w:space="720"/>
          <w:noEndnote/>
          <w:docGrid w:linePitch="326"/>
        </w:sectPr>
      </w:pPr>
    </w:p>
    <w:p>
      <w:pPr>
        <w:pStyle w:val="nHeading2"/>
        <w:rPr>
          <w:sz w:val="28"/>
        </w:rPr>
      </w:pPr>
      <w:bookmarkStart w:id="56" w:name="_Toc473017872"/>
      <w:bookmarkStart w:id="57" w:name="_Toc473018348"/>
      <w:bookmarkStart w:id="58" w:name="_Toc473018400"/>
      <w:bookmarkStart w:id="59" w:name="_Toc473037881"/>
      <w:r>
        <w:rPr>
          <w:sz w:val="28"/>
        </w:rPr>
        <w:t>Defined terms</w:t>
      </w:r>
      <w:bookmarkEnd w:id="56"/>
      <w:bookmarkEnd w:id="57"/>
      <w:bookmarkEnd w:id="58"/>
      <w:bookmarkEnd w:id="5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w:t>
      </w:r>
    </w:p>
    <w:p>
      <w:pPr>
        <w:pStyle w:val="DefinedTerms"/>
      </w:pPr>
      <w:r>
        <w:t>Act</w:t>
      </w:r>
      <w:r>
        <w:tab/>
        <w:t>1</w:t>
      </w:r>
    </w:p>
    <w:p>
      <w:pPr>
        <w:pStyle w:val="DefinedTerms"/>
      </w:pPr>
      <w:r>
        <w:t>automotive business premises</w:t>
      </w:r>
      <w:r>
        <w:tab/>
        <w:t>5</w:t>
      </w:r>
    </w:p>
    <w:p>
      <w:pPr>
        <w:pStyle w:val="DefinedTerms"/>
      </w:pPr>
      <w:r>
        <w:t>bore</w:t>
      </w:r>
      <w:r>
        <w:tab/>
        <w:t>1</w:t>
      </w:r>
    </w:p>
    <w:p>
      <w:pPr>
        <w:pStyle w:val="DefinedTerms"/>
      </w:pPr>
      <w:r>
        <w:t>bulk liquid storage tank system</w:t>
      </w:r>
      <w:r>
        <w:tab/>
        <w:t>5</w:t>
      </w:r>
    </w:p>
    <w:p>
      <w:pPr>
        <w:pStyle w:val="DefinedTerms"/>
      </w:pPr>
      <w:r>
        <w:t>CALM Act land</w:t>
      </w:r>
      <w:r>
        <w:tab/>
        <w:t>4</w:t>
      </w:r>
    </w:p>
    <w:p>
      <w:pPr>
        <w:pStyle w:val="DefinedTerms"/>
      </w:pPr>
      <w:r>
        <w:t>CALM Act Minister</w:t>
      </w:r>
      <w:r>
        <w:tab/>
        <w:t>4</w:t>
      </w:r>
    </w:p>
    <w:p>
      <w:pPr>
        <w:pStyle w:val="DefinedTerms"/>
      </w:pPr>
      <w:r>
        <w:t>Corporation</w:t>
      </w:r>
      <w:r>
        <w:tab/>
        <w:t>1</w:t>
      </w:r>
    </w:p>
    <w:p>
      <w:pPr>
        <w:pStyle w:val="DefinedTerms"/>
      </w:pPr>
      <w:r>
        <w:t>Dangerous Goods Storage Regulations</w:t>
      </w:r>
      <w:r>
        <w:tab/>
        <w:t>1</w:t>
      </w:r>
    </w:p>
    <w:p>
      <w:pPr>
        <w:pStyle w:val="DefinedTerms"/>
      </w:pPr>
      <w:r>
        <w:t>designated camping site</w:t>
      </w:r>
      <w:r>
        <w:tab/>
        <w:t>1</w:t>
      </w:r>
    </w:p>
    <w:p>
      <w:pPr>
        <w:pStyle w:val="DefinedTerms"/>
      </w:pPr>
      <w:r>
        <w:t>diameter</w:t>
      </w:r>
      <w:r>
        <w:tab/>
        <w:t>1</w:t>
      </w:r>
    </w:p>
    <w:p>
      <w:pPr>
        <w:pStyle w:val="DefinedTerms"/>
      </w:pPr>
      <w:r>
        <w:t>domestic sewage</w:t>
      </w:r>
      <w:r>
        <w:tab/>
        <w:t>1</w:t>
      </w:r>
    </w:p>
    <w:p>
      <w:pPr>
        <w:pStyle w:val="DefinedTerms"/>
      </w:pPr>
      <w:r>
        <w:t>elevated storage tank system</w:t>
      </w:r>
      <w:r>
        <w:tab/>
        <w:t>5</w:t>
      </w:r>
    </w:p>
    <w:p>
      <w:pPr>
        <w:pStyle w:val="DefinedTerms"/>
      </w:pPr>
      <w:r>
        <w:t>establish</w:t>
      </w:r>
      <w:r>
        <w:tab/>
        <w:t>5</w:t>
      </w:r>
    </w:p>
    <w:p>
      <w:pPr>
        <w:pStyle w:val="DefinedTerms"/>
      </w:pPr>
      <w:r>
        <w:t>feeder</w:t>
      </w:r>
      <w:r>
        <w:tab/>
        <w:t>1</w:t>
      </w:r>
    </w:p>
    <w:p>
      <w:pPr>
        <w:pStyle w:val="DefinedTerms"/>
      </w:pPr>
      <w:r>
        <w:t>ground</w:t>
      </w:r>
      <w:r>
        <w:tab/>
        <w:t>1</w:t>
      </w:r>
    </w:p>
    <w:p>
      <w:pPr>
        <w:pStyle w:val="DefinedTerms"/>
      </w:pPr>
      <w:r>
        <w:t>ground storage tank system</w:t>
      </w:r>
      <w:r>
        <w:tab/>
        <w:t>5</w:t>
      </w:r>
    </w:p>
    <w:p>
      <w:pPr>
        <w:pStyle w:val="DefinedTerms"/>
      </w:pPr>
      <w:r>
        <w:t>hand</w:t>
      </w:r>
      <w:r>
        <w:noBreakHyphen/>
        <w:t>held tool</w:t>
      </w:r>
      <w:r>
        <w:tab/>
        <w:t>4</w:t>
      </w:r>
    </w:p>
    <w:p>
      <w:pPr>
        <w:pStyle w:val="DefinedTerms"/>
      </w:pPr>
      <w:r>
        <w:t>high</w:t>
      </w:r>
      <w:r>
        <w:noBreakHyphen/>
        <w:t>water mark</w:t>
      </w:r>
      <w:r>
        <w:tab/>
        <w:t>1</w:t>
      </w:r>
    </w:p>
    <w:p>
      <w:pPr>
        <w:pStyle w:val="DefinedTerms"/>
      </w:pPr>
      <w:r>
        <w:t>industrial waste</w:t>
      </w:r>
      <w:r>
        <w:tab/>
        <w:t>1</w:t>
      </w:r>
    </w:p>
    <w:p>
      <w:pPr>
        <w:pStyle w:val="DefinedTerms"/>
      </w:pPr>
      <w:r>
        <w:t>liquid waste</w:t>
      </w:r>
      <w:r>
        <w:tab/>
        <w:t>1</w:t>
      </w:r>
    </w:p>
    <w:p>
      <w:pPr>
        <w:pStyle w:val="DefinedTerms"/>
      </w:pPr>
      <w:r>
        <w:t>Noongar</w:t>
      </w:r>
      <w:r>
        <w:tab/>
        <w:t>1</w:t>
      </w:r>
    </w:p>
    <w:p>
      <w:pPr>
        <w:pStyle w:val="DefinedTerms"/>
      </w:pPr>
      <w:r>
        <w:t>observation well</w:t>
      </w:r>
      <w:r>
        <w:tab/>
        <w:t>1</w:t>
      </w:r>
    </w:p>
    <w:p>
      <w:pPr>
        <w:pStyle w:val="DefinedTerms"/>
      </w:pPr>
      <w:r>
        <w:t>owner</w:t>
      </w:r>
      <w:r>
        <w:tab/>
        <w:t>5</w:t>
      </w:r>
    </w:p>
    <w:p>
      <w:pPr>
        <w:pStyle w:val="DefinedTerms"/>
      </w:pPr>
      <w:r>
        <w:t>people</w:t>
      </w:r>
      <w:r>
        <w:tab/>
        <w:t>1</w:t>
      </w:r>
    </w:p>
    <w:p>
      <w:pPr>
        <w:pStyle w:val="DefinedTerms"/>
      </w:pPr>
      <w:r>
        <w:t>pesticides</w:t>
      </w:r>
      <w:r>
        <w:tab/>
        <w:t>1</w:t>
      </w:r>
    </w:p>
    <w:p>
      <w:pPr>
        <w:pStyle w:val="DefinedTerms"/>
      </w:pPr>
      <w:r>
        <w:t>petroleum product</w:t>
      </w:r>
      <w:r>
        <w:tab/>
        <w:t>1</w:t>
      </w:r>
    </w:p>
    <w:p>
      <w:pPr>
        <w:pStyle w:val="DefinedTerms"/>
      </w:pPr>
      <w:r>
        <w:t>plans</w:t>
      </w:r>
      <w:r>
        <w:tab/>
        <w:t>5</w:t>
      </w:r>
    </w:p>
    <w:p>
      <w:pPr>
        <w:pStyle w:val="DefinedTerms"/>
      </w:pPr>
      <w:r>
        <w:t>priority 1 source protection area</w:t>
      </w:r>
      <w:r>
        <w:tab/>
        <w:t>5</w:t>
      </w:r>
    </w:p>
    <w:p>
      <w:pPr>
        <w:pStyle w:val="DefinedTerms"/>
      </w:pPr>
      <w:r>
        <w:t>priority 2 source protection area</w:t>
      </w:r>
      <w:r>
        <w:tab/>
        <w:t>5</w:t>
      </w:r>
    </w:p>
    <w:p>
      <w:pPr>
        <w:pStyle w:val="DefinedTerms"/>
      </w:pPr>
      <w:r>
        <w:t>priority 3 source protection area</w:t>
      </w:r>
      <w:r>
        <w:tab/>
        <w:t>5</w:t>
      </w:r>
    </w:p>
    <w:p>
      <w:pPr>
        <w:pStyle w:val="DefinedTerms"/>
      </w:pPr>
      <w:r>
        <w:t>production well</w:t>
      </w:r>
      <w:r>
        <w:tab/>
        <w:t>1</w:t>
      </w:r>
    </w:p>
    <w:p>
      <w:pPr>
        <w:pStyle w:val="DefinedTerms"/>
      </w:pPr>
      <w:r>
        <w:t>registered Aboriginal site</w:t>
      </w:r>
      <w:r>
        <w:tab/>
        <w:t>1</w:t>
      </w:r>
    </w:p>
    <w:p>
      <w:pPr>
        <w:pStyle w:val="DefinedTerms"/>
      </w:pPr>
      <w:r>
        <w:t>size</w:t>
      </w:r>
      <w:r>
        <w:tab/>
        <w:t>1</w:t>
      </w:r>
    </w:p>
    <w:p>
      <w:pPr>
        <w:pStyle w:val="DefinedTerms"/>
      </w:pPr>
      <w:r>
        <w:t>South West Settlement Area</w:t>
      </w:r>
      <w:r>
        <w:tab/>
        <w:t>1</w:t>
      </w:r>
    </w:p>
    <w:p>
      <w:pPr>
        <w:pStyle w:val="DefinedTerms"/>
      </w:pPr>
      <w:r>
        <w:t>special provision catchment area</w:t>
      </w:r>
      <w:r>
        <w:tab/>
        <w:t>1</w:t>
      </w:r>
    </w:p>
    <w:p>
      <w:pPr>
        <w:pStyle w:val="DefinedTerms"/>
      </w:pPr>
      <w:r>
        <w:t>take</w:t>
      </w:r>
      <w:r>
        <w:tab/>
        <w:t>4</w:t>
      </w:r>
    </w:p>
    <w:p>
      <w:pPr>
        <w:pStyle w:val="DefinedTerms"/>
      </w:pPr>
      <w:r>
        <w:t>tank</w:t>
      </w:r>
      <w:r>
        <w:tab/>
        <w:t>5</w:t>
      </w:r>
    </w:p>
    <w:p>
      <w:pPr>
        <w:pStyle w:val="DefinedTerms"/>
      </w:pPr>
      <w:r>
        <w:t>underground storage or handling system</w:t>
      </w:r>
      <w:r>
        <w:tab/>
        <w:t>1</w:t>
      </w:r>
    </w:p>
    <w:p>
      <w:pPr>
        <w:pStyle w:val="DefinedTerms"/>
      </w:pPr>
      <w:r>
        <w:t>underground water</w:t>
      </w:r>
      <w:r>
        <w:tab/>
        <w:t>1</w:t>
      </w:r>
    </w:p>
    <w:p>
      <w:pPr>
        <w:pStyle w:val="DefinedTerms"/>
      </w:pPr>
      <w:r>
        <w:t>unpolluted water</w:t>
      </w:r>
      <w:r>
        <w:tab/>
        <w:t>5</w:t>
      </w:r>
    </w:p>
    <w:p>
      <w:pPr>
        <w:pStyle w:val="DefinedTerms"/>
      </w:pPr>
      <w:r>
        <w:t>wellhead</w:t>
      </w:r>
      <w:r>
        <w:tab/>
        <w:t>5</w:t>
      </w:r>
    </w:p>
    <w:p>
      <w:pPr>
        <w:pStyle w:val="DefinedTerms"/>
      </w:pPr>
      <w:r>
        <w:t>wellhead protection zone</w:t>
      </w:r>
      <w:r>
        <w:tab/>
        <w:t>4, 5</w:t>
      </w:r>
    </w:p>
    <w:p>
      <w:pPr>
        <w:pStyle w:val="DefinedTerms"/>
      </w:pPr>
      <w:r>
        <w:t>works</w:t>
      </w:r>
      <w:r>
        <w:tab/>
        <w:t>1</w:t>
      </w:r>
    </w:p>
    <w:p/>
    <w:p>
      <w:pPr>
        <w:sectPr>
          <w:headerReference w:type="even" r:id="rId32"/>
          <w:headerReference w:type="default" r:id="rId33"/>
          <w:pgSz w:w="11907" w:h="16840" w:code="9"/>
          <w:pgMar w:top="2381" w:right="2409" w:bottom="3543" w:left="2409" w:header="720" w:footer="3380" w:gutter="0"/>
          <w:cols w:space="720"/>
          <w:noEndnote/>
          <w:docGrid w:linePitch="326"/>
        </w:sectPr>
      </w:pPr>
    </w:p>
    <w:p/>
    <w:sectPr>
      <w:headerReference w:type="even" r:id="rId34"/>
      <w:headerReference w:type="default" r:id="rId35"/>
      <w:footerReference w:type="even" r:id="rId36"/>
      <w:footerReference w:type="default" r:id="rId37"/>
      <w:headerReference w:type="first" r:id="rId38"/>
      <w:footerReference w:type="first" r:id="rId39"/>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07-g0-02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Jan 2017</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07-g0-02</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07-g0-02</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07-g0-02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Jan 2017</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07-g0-02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Jan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07-g0-02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7160" w:type="dxa"/>
          <w:gridSpan w:val="2"/>
        </w:tcPr>
        <w:p>
          <w:pPr>
            <w:pStyle w:val="Header"/>
            <w:spacing w:before="40"/>
            <w:ind w:right="17"/>
            <w:jc w:val="right"/>
          </w:pPr>
        </w:p>
      </w:tc>
    </w:tr>
  </w:tbl>
  <w:p>
    <w:pPr>
      <w:pStyle w:val="Header"/>
      <w:pBdr>
        <w:top w:val="single" w:sz="4" w:space="1" w:color="auto"/>
      </w:pBdr>
    </w:pPr>
    <w:bookmarkStart w:id="49" w:name="Schedule"/>
    <w:bookmarkEnd w:id="4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55" w:name="Compilation"/>
    <w:bookmarkEnd w:id="55"/>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60" w:name="DefinedTerms"/>
    <w:bookmarkEnd w:id="60"/>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61" w:name="Coversheet"/>
    <w:bookmarkEnd w:id="6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lvlText w:val="%1."/>
      <w:lvlJc w:val="left"/>
      <w:pPr>
        <w:tabs>
          <w:tab w:val="num" w:pos="1492"/>
        </w:tabs>
        <w:ind w:left="1492" w:hanging="360"/>
      </w:pPr>
    </w:lvl>
  </w:abstractNum>
  <w:abstractNum w:abstractNumId="1">
    <w:nsid w:val="FFFFFF7D"/>
    <w:multiLevelType w:val="singleLevel"/>
    <w:tmpl w:val="15B2D0A0"/>
    <w:lvl w:ilvl="0">
      <w:start w:val="1"/>
      <w:numFmt w:val="decimal"/>
      <w:lvlText w:val="%1."/>
      <w:lvlJc w:val="left"/>
      <w:pPr>
        <w:tabs>
          <w:tab w:val="num" w:pos="1209"/>
        </w:tabs>
        <w:ind w:left="1209" w:hanging="360"/>
      </w:pPr>
    </w:lvl>
  </w:abstractNum>
  <w:abstractNum w:abstractNumId="2">
    <w:nsid w:val="FFFFFF7E"/>
    <w:multiLevelType w:val="singleLevel"/>
    <w:tmpl w:val="04EE5610"/>
    <w:lvl w:ilvl="0">
      <w:start w:val="1"/>
      <w:numFmt w:val="decimal"/>
      <w:lvlText w:val="%1."/>
      <w:lvlJc w:val="left"/>
      <w:pPr>
        <w:tabs>
          <w:tab w:val="num" w:pos="926"/>
        </w:tabs>
        <w:ind w:left="926" w:hanging="360"/>
      </w:pPr>
    </w:lvl>
  </w:abstractNum>
  <w:abstractNum w:abstractNumId="3">
    <w:nsid w:val="FFFFFF7F"/>
    <w:multiLevelType w:val="singleLevel"/>
    <w:tmpl w:val="48CC4C50"/>
    <w:lvl w:ilvl="0">
      <w:start w:val="1"/>
      <w:numFmt w:val="decimal"/>
      <w:lvlText w:val="%1."/>
      <w:lvlJc w:val="left"/>
      <w:pPr>
        <w:tabs>
          <w:tab w:val="num" w:pos="643"/>
        </w:tabs>
        <w:ind w:left="643" w:hanging="360"/>
      </w:pPr>
    </w:lvl>
  </w:abstractNum>
  <w:abstractNum w:abstractNumId="4">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lvlText w:val="%1."/>
      <w:lvlJc w:val="left"/>
      <w:pPr>
        <w:tabs>
          <w:tab w:val="num" w:pos="360"/>
        </w:tabs>
        <w:ind w:left="360" w:hanging="360"/>
      </w:pPr>
    </w:lvl>
  </w:abstractNum>
  <w:abstractNum w:abstractNumId="9">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70124102250"/>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624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10.xm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10219</Words>
  <Characters>49669</Characters>
  <Application>Microsoft Office Word</Application>
  <DocSecurity>0</DocSecurity>
  <Lines>1552</Lines>
  <Paragraphs>843</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1981 - 07-g0-02</dc:title>
  <dc:subject/>
  <dc:creator/>
  <cp:keywords/>
  <dc:description/>
  <cp:lastModifiedBy>svcMRProcess</cp:lastModifiedBy>
  <cp:revision>4</cp:revision>
  <cp:lastPrinted>2019-10-23T05:14:00Z</cp:lastPrinted>
  <dcterms:created xsi:type="dcterms:W3CDTF">2019-10-23T07:20:00Z</dcterms:created>
  <dcterms:modified xsi:type="dcterms:W3CDTF">2019-10-23T07:20:00Z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CommencementDate">
    <vt:lpwstr>20170124</vt:lpwstr>
  </property>
  <property fmtid="{D5CDD505-2E9C-101B-9397-08002B2CF9AE}" pid="8" name="AsAtDate">
    <vt:lpwstr>24 Jan 2017</vt:lpwstr>
  </property>
  <property fmtid="{D5CDD505-2E9C-101B-9397-08002B2CF9AE}" pid="9" name="Suffix">
    <vt:lpwstr>07-g0-02</vt:lpwstr>
  </property>
</Properties>
</file>