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Sexual Offenders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_Toc473101918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_Toc473101919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_Toc473101920 \h </w:instrText>
      </w:r>
      <w:r>
        <w:fldChar w:fldCharType="separate"/>
      </w:r>
      <w:r>
        <w:t>2</w:t>
      </w:r>
      <w:r>
        <w:fldChar w:fldCharType="end"/>
      </w:r>
    </w:p>
    <w:p>
      <w:pPr>
        <w:pStyle w:val="TOC8"/>
        <w:rPr>
          <w:rFonts w:asciiTheme="minorHAnsi" w:eastAsiaTheme="minorEastAsia" w:hAnsiTheme="minorHAnsi" w:cstheme="minorBidi"/>
          <w:szCs w:val="22"/>
        </w:rPr>
      </w:pPr>
      <w:r>
        <w:t>4A.</w:t>
      </w:r>
      <w:r>
        <w:tab/>
        <w:t>When person commits serious sexual offence</w:t>
      </w:r>
      <w:r>
        <w:tab/>
      </w:r>
      <w:r>
        <w:fldChar w:fldCharType="begin"/>
      </w:r>
      <w:r>
        <w:instrText xml:space="preserve"> PAGEREF _Toc473101921 \h </w:instrText>
      </w:r>
      <w:r>
        <w:fldChar w:fldCharType="separate"/>
      </w:r>
      <w:r>
        <w:t>4</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_Toc473101922 \h </w:instrText>
      </w:r>
      <w:r>
        <w:fldChar w:fldCharType="separate"/>
      </w:r>
      <w:r>
        <w:t>5</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_Toc473101923 \h </w:instrText>
      </w:r>
      <w:r>
        <w:fldChar w:fldCharType="separate"/>
      </w:r>
      <w:r>
        <w:t>5</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_Toc473101924 \h </w:instrText>
      </w:r>
      <w:r>
        <w:fldChar w:fldCharType="separate"/>
      </w:r>
      <w:r>
        <w:t>5</w:t>
      </w:r>
      <w:r>
        <w:fldChar w:fldCharType="end"/>
      </w:r>
    </w:p>
    <w:p>
      <w:pPr>
        <w:pStyle w:val="TOC8"/>
        <w:rPr>
          <w:rFonts w:asciiTheme="minorHAnsi" w:eastAsiaTheme="minorEastAsia" w:hAnsiTheme="minorHAnsi" w:cstheme="minorBidi"/>
          <w:szCs w:val="22"/>
        </w:rPr>
      </w:pPr>
      <w:r>
        <w:t>7A.</w:t>
      </w:r>
      <w:r>
        <w:tab/>
        <w:t>DPP may take proceedings in the name of State</w:t>
      </w:r>
      <w:r>
        <w:tab/>
      </w:r>
      <w:r>
        <w:fldChar w:fldCharType="begin"/>
      </w:r>
      <w:r>
        <w:instrText xml:space="preserve"> PAGEREF _Toc473101925 \h </w:instrText>
      </w:r>
      <w:r>
        <w:fldChar w:fldCharType="separate"/>
      </w:r>
      <w:r>
        <w:t>6</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_Toc473101926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_Toc473101927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Continuing detention or supervision</w:t>
      </w:r>
    </w:p>
    <w:p>
      <w:pPr>
        <w:pStyle w:val="TOC4"/>
        <w:tabs>
          <w:tab w:val="right" w:leader="dot" w:pos="7077"/>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_Toc473101930 \h </w:instrText>
      </w:r>
      <w:r>
        <w:fldChar w:fldCharType="separate"/>
      </w:r>
      <w:r>
        <w:t>8</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_Toc473101931 \h </w:instrText>
      </w:r>
      <w:r>
        <w:fldChar w:fldCharType="separate"/>
      </w:r>
      <w:r>
        <w:t>9</w:t>
      </w:r>
      <w:r>
        <w:fldChar w:fldCharType="end"/>
      </w:r>
    </w:p>
    <w:p>
      <w:pPr>
        <w:pStyle w:val="TOC8"/>
        <w:rPr>
          <w:rFonts w:asciiTheme="minorHAnsi" w:eastAsiaTheme="minorEastAsia" w:hAnsiTheme="minorHAnsi" w:cstheme="minorBidi"/>
          <w:szCs w:val="22"/>
        </w:rPr>
      </w:pPr>
      <w:r>
        <w:t>10A.</w:t>
      </w:r>
      <w:r>
        <w:tab/>
        <w:t>Offender’s duty to disclose</w:t>
      </w:r>
      <w:r>
        <w:tab/>
      </w:r>
      <w:r>
        <w:fldChar w:fldCharType="begin"/>
      </w:r>
      <w:r>
        <w:instrText xml:space="preserve"> PAGEREF _Toc473101932 \h </w:instrText>
      </w:r>
      <w:r>
        <w:fldChar w:fldCharType="separate"/>
      </w:r>
      <w:r>
        <w:t>10</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_Toc473101933 \h </w:instrText>
      </w:r>
      <w:r>
        <w:fldChar w:fldCharType="separate"/>
      </w:r>
      <w:r>
        <w:t>11</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_Toc473101934 \h </w:instrText>
      </w:r>
      <w:r>
        <w:fldChar w:fldCharType="separate"/>
      </w:r>
      <w:r>
        <w:t>11</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_Toc473101935 \h </w:instrText>
      </w:r>
      <w:r>
        <w:fldChar w:fldCharType="separate"/>
      </w:r>
      <w:r>
        <w:t>12</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_Toc473101936 \h </w:instrText>
      </w:r>
      <w:r>
        <w:fldChar w:fldCharType="separate"/>
      </w:r>
      <w:r>
        <w:t>12</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_Toc473101937 \h </w:instrText>
      </w:r>
      <w:r>
        <w:fldChar w:fldCharType="separate"/>
      </w:r>
      <w:r>
        <w:t>12</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_Toc473101938 \h </w:instrText>
      </w:r>
      <w:r>
        <w:fldChar w:fldCharType="separate"/>
      </w:r>
      <w:r>
        <w:t>14</w:t>
      </w:r>
      <w:r>
        <w:fldChar w:fldCharType="end"/>
      </w:r>
    </w:p>
    <w:p>
      <w:pPr>
        <w:pStyle w:val="TOC8"/>
        <w:rPr>
          <w:rFonts w:asciiTheme="minorHAnsi" w:eastAsiaTheme="minorEastAsia" w:hAnsiTheme="minorHAnsi" w:cstheme="minorBidi"/>
          <w:szCs w:val="22"/>
        </w:rPr>
      </w:pPr>
      <w:r>
        <w:t>17A.</w:t>
      </w:r>
      <w:r>
        <w:tab/>
        <w:t>Victim submissions</w:t>
      </w:r>
      <w:r>
        <w:tab/>
      </w:r>
      <w:r>
        <w:fldChar w:fldCharType="begin"/>
      </w:r>
      <w:r>
        <w:instrText xml:space="preserve"> PAGEREF _Toc473101939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_Toc473101941 \h </w:instrText>
      </w:r>
      <w:r>
        <w:fldChar w:fldCharType="separate"/>
      </w:r>
      <w:r>
        <w:t>16</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_Toc473101942 \h </w:instrText>
      </w:r>
      <w:r>
        <w:fldChar w:fldCharType="separate"/>
      </w:r>
      <w:r>
        <w:t>16</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_Toc473101943 \h </w:instrText>
      </w:r>
      <w:r>
        <w:fldChar w:fldCharType="separate"/>
      </w:r>
      <w:r>
        <w:t>18</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_Toc473101944 \h </w:instrText>
      </w:r>
      <w:r>
        <w:fldChar w:fldCharType="separate"/>
      </w:r>
      <w:r>
        <w:t>19</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_Toc473101945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_Toc473101947 \h </w:instrText>
      </w:r>
      <w:r>
        <w:fldChar w:fldCharType="separate"/>
      </w:r>
      <w:r>
        <w:t>22</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_Toc473101948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Summons or warrant because of contravention</w:t>
      </w:r>
      <w:r>
        <w:tab/>
      </w:r>
      <w:r>
        <w:fldChar w:fldCharType="begin"/>
      </w:r>
      <w:r>
        <w:instrText xml:space="preserve"> PAGEREF _Toc473101950 \h </w:instrText>
      </w:r>
      <w:r>
        <w:fldChar w:fldCharType="separate"/>
      </w:r>
      <w:r>
        <w:t>23</w:t>
      </w:r>
      <w:r>
        <w:fldChar w:fldCharType="end"/>
      </w:r>
    </w:p>
    <w:p>
      <w:pPr>
        <w:pStyle w:val="TOC8"/>
        <w:rPr>
          <w:rFonts w:asciiTheme="minorHAnsi" w:eastAsiaTheme="minorEastAsia" w:hAnsiTheme="minorHAnsi" w:cstheme="minorBidi"/>
          <w:szCs w:val="22"/>
        </w:rPr>
      </w:pPr>
      <w:r>
        <w:t>22.</w:t>
      </w:r>
      <w:r>
        <w:tab/>
        <w:t>DPP may seek order</w:t>
      </w:r>
      <w:r>
        <w:tab/>
      </w:r>
      <w:r>
        <w:fldChar w:fldCharType="begin"/>
      </w:r>
      <w:r>
        <w:instrText xml:space="preserve"> PAGEREF _Toc473101951 \h </w:instrText>
      </w:r>
      <w:r>
        <w:fldChar w:fldCharType="separate"/>
      </w:r>
      <w:r>
        <w:t>24</w:t>
      </w:r>
      <w:r>
        <w:fldChar w:fldCharType="end"/>
      </w:r>
    </w:p>
    <w:p>
      <w:pPr>
        <w:pStyle w:val="TOC8"/>
        <w:rPr>
          <w:rFonts w:asciiTheme="minorHAnsi" w:eastAsiaTheme="minorEastAsia" w:hAnsiTheme="minorHAnsi" w:cstheme="minorBidi"/>
          <w:szCs w:val="22"/>
        </w:rPr>
      </w:pPr>
      <w:r>
        <w:t>23A.</w:t>
      </w:r>
      <w:r>
        <w:tab/>
        <w:t>Reports</w:t>
      </w:r>
      <w:r>
        <w:tab/>
      </w:r>
      <w:r>
        <w:fldChar w:fldCharType="begin"/>
      </w:r>
      <w:r>
        <w:instrText xml:space="preserve"> PAGEREF _Toc473101952 \h </w:instrText>
      </w:r>
      <w:r>
        <w:fldChar w:fldCharType="separate"/>
      </w:r>
      <w:r>
        <w:t>24</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_Toc473101953 \h </w:instrText>
      </w:r>
      <w:r>
        <w:fldChar w:fldCharType="separate"/>
      </w:r>
      <w:r>
        <w:t>25</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_Toc473101954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_Toc473101956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_Toc473101958 \h </w:instrText>
      </w:r>
      <w:r>
        <w:fldChar w:fldCharType="separate"/>
      </w:r>
      <w:r>
        <w:t>27</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_Toc473101959 \h </w:instrText>
      </w:r>
      <w:r>
        <w:fldChar w:fldCharType="separate"/>
      </w:r>
      <w:r>
        <w:t>27</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_Toc473101960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_Toc473101962 \h </w:instrText>
      </w:r>
      <w:r>
        <w:fldChar w:fldCharType="separate"/>
      </w:r>
      <w:r>
        <w:t>28</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_Toc473101963 \h </w:instrText>
      </w:r>
      <w:r>
        <w:fldChar w:fldCharType="separate"/>
      </w:r>
      <w:r>
        <w:t>28</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_Toc473101964 \h </w:instrText>
      </w:r>
      <w:r>
        <w:fldChar w:fldCharType="separate"/>
      </w:r>
      <w:r>
        <w:t>28</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_Toc473101965 \h </w:instrText>
      </w:r>
      <w:r>
        <w:fldChar w:fldCharType="separate"/>
      </w:r>
      <w:r>
        <w:t>29</w:t>
      </w:r>
      <w:r>
        <w:fldChar w:fldCharType="end"/>
      </w:r>
    </w:p>
    <w:p>
      <w:pPr>
        <w:pStyle w:val="TOC8"/>
        <w:rPr>
          <w:rFonts w:asciiTheme="minorHAnsi" w:eastAsiaTheme="minorEastAsia" w:hAnsiTheme="minorHAnsi" w:cstheme="minorBidi"/>
          <w:szCs w:val="22"/>
        </w:rPr>
      </w:pPr>
      <w:r>
        <w:t>32.</w:t>
      </w:r>
      <w:r>
        <w:tab/>
        <w:t>Reports</w:t>
      </w:r>
      <w:r>
        <w:tab/>
      </w:r>
      <w:r>
        <w:fldChar w:fldCharType="begin"/>
      </w:r>
      <w:r>
        <w:instrText xml:space="preserve"> PAGEREF _Toc473101966 \h </w:instrText>
      </w:r>
      <w:r>
        <w:fldChar w:fldCharType="separate"/>
      </w:r>
      <w:r>
        <w:t>29</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_Toc473101967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_Toc473101969 \h </w:instrText>
      </w:r>
      <w:r>
        <w:fldChar w:fldCharType="separate"/>
      </w:r>
      <w:r>
        <w:t>31</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_Toc473101970 \h </w:instrText>
      </w:r>
      <w:r>
        <w:fldChar w:fldCharType="separate"/>
      </w:r>
      <w:r>
        <w:t>31</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_Toc473101971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8"/>
        <w:rPr>
          <w:rFonts w:asciiTheme="minorHAnsi" w:eastAsiaTheme="minorEastAsia" w:hAnsiTheme="minorHAnsi" w:cstheme="minorBidi"/>
          <w:szCs w:val="22"/>
        </w:rPr>
      </w:pPr>
      <w:r>
        <w:t>37A.</w:t>
      </w:r>
      <w:r>
        <w:tab/>
        <w:t>Terms used</w:t>
      </w:r>
      <w:r>
        <w:tab/>
      </w:r>
      <w:r>
        <w:fldChar w:fldCharType="begin"/>
      </w:r>
      <w:r>
        <w:instrText xml:space="preserve"> PAGEREF _Toc473101973 \h </w:instrText>
      </w:r>
      <w:r>
        <w:fldChar w:fldCharType="separate"/>
      </w:r>
      <w:r>
        <w:t>32</w:t>
      </w:r>
      <w:r>
        <w:fldChar w:fldCharType="end"/>
      </w:r>
    </w:p>
    <w:p>
      <w:pPr>
        <w:pStyle w:val="TOC8"/>
        <w:rPr>
          <w:rFonts w:asciiTheme="minorHAnsi" w:eastAsiaTheme="minorEastAsia" w:hAnsiTheme="minorHAnsi" w:cstheme="minorBidi"/>
          <w:szCs w:val="22"/>
        </w:rPr>
      </w:pPr>
      <w:r>
        <w:t>37B.</w:t>
      </w:r>
      <w:r>
        <w:tab/>
        <w:t>Authority to examine</w:t>
      </w:r>
      <w:r>
        <w:tab/>
      </w:r>
      <w:r>
        <w:fldChar w:fldCharType="begin"/>
      </w:r>
      <w:r>
        <w:instrText xml:space="preserve"> PAGEREF _Toc473101974 \h </w:instrText>
      </w:r>
      <w:r>
        <w:fldChar w:fldCharType="separate"/>
      </w:r>
      <w:r>
        <w:t>32</w:t>
      </w:r>
      <w:r>
        <w:fldChar w:fldCharType="end"/>
      </w:r>
    </w:p>
    <w:p>
      <w:pPr>
        <w:pStyle w:val="TOC8"/>
        <w:rPr>
          <w:rFonts w:asciiTheme="minorHAnsi" w:eastAsiaTheme="minorEastAsia" w:hAnsiTheme="minorHAnsi" w:cstheme="minorBidi"/>
          <w:szCs w:val="22"/>
        </w:rPr>
      </w:pPr>
      <w:r>
        <w:t>37.</w:t>
      </w:r>
      <w:r>
        <w:tab/>
        <w:t>Preparation of report by qualified expert</w:t>
      </w:r>
      <w:r>
        <w:tab/>
      </w:r>
      <w:r>
        <w:fldChar w:fldCharType="begin"/>
      </w:r>
      <w:r>
        <w:instrText xml:space="preserve"> PAGEREF _Toc473101975 \h </w:instrText>
      </w:r>
      <w:r>
        <w:fldChar w:fldCharType="separate"/>
      </w:r>
      <w:r>
        <w:t>32</w:t>
      </w:r>
      <w:r>
        <w:fldChar w:fldCharType="end"/>
      </w:r>
    </w:p>
    <w:p>
      <w:pPr>
        <w:pStyle w:val="TOC8"/>
        <w:rPr>
          <w:rFonts w:asciiTheme="minorHAnsi" w:eastAsiaTheme="minorEastAsia" w:hAnsiTheme="minorHAnsi" w:cstheme="minorBidi"/>
          <w:szCs w:val="22"/>
        </w:rPr>
      </w:pPr>
      <w:r>
        <w:t>38A.</w:t>
      </w:r>
      <w:r>
        <w:tab/>
        <w:t>Preparation of other report</w:t>
      </w:r>
      <w:r>
        <w:tab/>
      </w:r>
      <w:r>
        <w:fldChar w:fldCharType="begin"/>
      </w:r>
      <w:r>
        <w:instrText xml:space="preserve"> PAGEREF _Toc473101976 \h </w:instrText>
      </w:r>
      <w:r>
        <w:fldChar w:fldCharType="separate"/>
      </w:r>
      <w:r>
        <w:t>33</w:t>
      </w:r>
      <w:r>
        <w:fldChar w:fldCharType="end"/>
      </w:r>
    </w:p>
    <w:p>
      <w:pPr>
        <w:pStyle w:val="TOC8"/>
        <w:rPr>
          <w:rFonts w:asciiTheme="minorHAnsi" w:eastAsiaTheme="minorEastAsia" w:hAnsiTheme="minorHAnsi" w:cstheme="minorBidi"/>
          <w:szCs w:val="22"/>
        </w:rPr>
      </w:pPr>
      <w:r>
        <w:t>38.</w:t>
      </w:r>
      <w:r>
        <w:tab/>
        <w:t>Providing information to reporter</w:t>
      </w:r>
      <w:r>
        <w:tab/>
      </w:r>
      <w:r>
        <w:fldChar w:fldCharType="begin"/>
      </w:r>
      <w:r>
        <w:instrText xml:space="preserve"> PAGEREF _Toc473101977 \h </w:instrText>
      </w:r>
      <w:r>
        <w:fldChar w:fldCharType="separate"/>
      </w:r>
      <w:r>
        <w:t>33</w:t>
      </w:r>
      <w:r>
        <w:fldChar w:fldCharType="end"/>
      </w:r>
    </w:p>
    <w:p>
      <w:pPr>
        <w:pStyle w:val="TOC8"/>
        <w:rPr>
          <w:rFonts w:asciiTheme="minorHAnsi" w:eastAsiaTheme="minorEastAsia" w:hAnsiTheme="minorHAnsi" w:cstheme="minorBidi"/>
          <w:szCs w:val="22"/>
        </w:rPr>
      </w:pPr>
      <w:r>
        <w:t>39.</w:t>
      </w:r>
      <w:r>
        <w:tab/>
        <w:t>Copies of report to DPP and subject</w:t>
      </w:r>
      <w:r>
        <w:tab/>
      </w:r>
      <w:r>
        <w:fldChar w:fldCharType="begin"/>
      </w:r>
      <w:r>
        <w:instrText xml:space="preserve"> PAGEREF _Toc473101978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40AA.</w:t>
      </w:r>
      <w:r>
        <w:tab/>
        <w:t>Mentally unfit offender</w:t>
      </w:r>
      <w:r>
        <w:tab/>
      </w:r>
      <w:r>
        <w:fldChar w:fldCharType="begin"/>
      </w:r>
      <w:r>
        <w:instrText xml:space="preserve"> PAGEREF _Toc473101980 \h </w:instrText>
      </w:r>
      <w:r>
        <w:fldChar w:fldCharType="separate"/>
      </w:r>
      <w:r>
        <w:t>36</w:t>
      </w:r>
      <w:r>
        <w:fldChar w:fldCharType="end"/>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_Toc473101981 \h </w:instrText>
      </w:r>
      <w:r>
        <w:fldChar w:fldCharType="separate"/>
      </w:r>
      <w:r>
        <w:t>36</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_Toc473101982 \h </w:instrText>
      </w:r>
      <w:r>
        <w:fldChar w:fldCharType="separate"/>
      </w:r>
      <w:r>
        <w:t>37</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_Toc473101983 \h </w:instrText>
      </w:r>
      <w:r>
        <w:fldChar w:fldCharType="separate"/>
      </w:r>
      <w:r>
        <w:t>39</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_Toc473101984 \h </w:instrText>
      </w:r>
      <w:r>
        <w:fldChar w:fldCharType="separate"/>
      </w:r>
      <w:r>
        <w:t>39</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_Toc473101985 \h </w:instrText>
      </w:r>
      <w:r>
        <w:fldChar w:fldCharType="separate"/>
      </w:r>
      <w:r>
        <w:t>40</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_Toc473101986 \h </w:instrText>
      </w:r>
      <w:r>
        <w:fldChar w:fldCharType="separate"/>
      </w:r>
      <w:r>
        <w:t>41</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_Toc473101987 \h </w:instrText>
      </w:r>
      <w:r>
        <w:fldChar w:fldCharType="separate"/>
      </w:r>
      <w:r>
        <w:t>41</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_Toc473101988 \h </w:instrText>
      </w:r>
      <w:r>
        <w:fldChar w:fldCharType="separate"/>
      </w:r>
      <w:r>
        <w:t>42</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_Toc473101989 \h </w:instrText>
      </w:r>
      <w:r>
        <w:fldChar w:fldCharType="separate"/>
      </w:r>
      <w:r>
        <w:t>42</w:t>
      </w:r>
      <w:r>
        <w:fldChar w:fldCharType="end"/>
      </w:r>
    </w:p>
    <w:p>
      <w:pPr>
        <w:pStyle w:val="TOC8"/>
        <w:rPr>
          <w:rFonts w:asciiTheme="minorHAnsi" w:eastAsiaTheme="minorEastAsia" w:hAnsiTheme="minorHAnsi" w:cstheme="minorBidi"/>
          <w:szCs w:val="22"/>
        </w:rPr>
      </w:pPr>
      <w:r>
        <w:t>46B.</w:t>
      </w:r>
      <w:r>
        <w:tab/>
        <w:t>Exchange of information</w:t>
      </w:r>
      <w:r>
        <w:tab/>
      </w:r>
      <w:r>
        <w:fldChar w:fldCharType="begin"/>
      </w:r>
      <w:r>
        <w:instrText xml:space="preserve"> PAGEREF _Toc473101990 \h </w:instrText>
      </w:r>
      <w:r>
        <w:fldChar w:fldCharType="separate"/>
      </w:r>
      <w:r>
        <w:t>43</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_Toc473101991 \h </w:instrText>
      </w:r>
      <w:r>
        <w:fldChar w:fldCharType="separate"/>
      </w:r>
      <w:r>
        <w:t>44</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_Toc473101992 \h </w:instrText>
      </w:r>
      <w:r>
        <w:fldChar w:fldCharType="separate"/>
      </w:r>
      <w:r>
        <w:t>44</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_Toc473101993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_Toc473101995 \h </w:instrText>
      </w:r>
      <w:r>
        <w:fldChar w:fldCharType="separate"/>
      </w:r>
      <w:r>
        <w:t>46</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_Toc473101996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_Toc473101998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3" w:name="_Toc473101917"/>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pPr>
      <w:bookmarkStart w:id="4" w:name="_Toc473101918"/>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5" w:name="_Toc473101919"/>
      <w:r>
        <w:rPr>
          <w:rStyle w:val="CharSectno"/>
        </w:rPr>
        <w:t>2</w:t>
      </w:r>
      <w:r>
        <w:rPr>
          <w:snapToGrid w:val="0"/>
        </w:rPr>
        <w:t>.</w:t>
      </w:r>
      <w:r>
        <w:rPr>
          <w:snapToGrid w:val="0"/>
        </w:rPr>
        <w:tab/>
      </w:r>
      <w:r>
        <w:t>Commencement</w:t>
      </w:r>
      <w:bookmarkEnd w:id="5"/>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6" w:name="_Toc473101920"/>
      <w:r>
        <w:rPr>
          <w:rStyle w:val="CharSectno"/>
        </w:rPr>
        <w:t>3</w:t>
      </w:r>
      <w:r>
        <w:rPr>
          <w:snapToGrid w:val="0"/>
        </w:rPr>
        <w:t>.</w:t>
      </w:r>
      <w:r>
        <w:rPr>
          <w:snapToGrid w:val="0"/>
        </w:rPr>
        <w:tab/>
        <w:t>Terms used</w:t>
      </w:r>
      <w:bookmarkEnd w:id="6"/>
    </w:p>
    <w:p>
      <w:pPr>
        <w:pStyle w:val="Subsection"/>
      </w:pPr>
      <w:r>
        <w:tab/>
        <w:t>(1)</w:t>
      </w:r>
      <w:r>
        <w:tab/>
        <w:t xml:space="preserve">In this Act, unless the contrary intention appears — </w:t>
      </w:r>
    </w:p>
    <w:p>
      <w:pPr>
        <w:pStyle w:val="Defstart"/>
      </w:pPr>
      <w:r>
        <w:tab/>
      </w:r>
      <w:r>
        <w:rPr>
          <w:rStyle w:val="CharDefText"/>
        </w:rPr>
        <w:t>Board</w:t>
      </w:r>
      <w:r>
        <w:t xml:space="preserve"> means the Prisoners Review Board established by the </w:t>
      </w:r>
      <w:r>
        <w:rPr>
          <w:i/>
        </w:rPr>
        <w:t xml:space="preserve">Sentence Administration Act 2003 </w:t>
      </w:r>
      <w:r>
        <w:t>section 102;</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has the meaning given in section 4A;</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an order made under section 17(1)(a);</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order</w:t>
      </w:r>
      <w:r>
        <w:t xml:space="preserve"> means — </w:t>
      </w:r>
    </w:p>
    <w:p>
      <w:pPr>
        <w:pStyle w:val="Defpara"/>
      </w:pPr>
      <w:r>
        <w:tab/>
        <w:t>(a)</w:t>
      </w:r>
      <w:r>
        <w:tab/>
        <w:t>a continuing detention order; or</w:t>
      </w:r>
    </w:p>
    <w:p>
      <w:pPr>
        <w:pStyle w:val="Defpara"/>
      </w:pPr>
      <w:r>
        <w:tab/>
        <w:t>(b)</w:t>
      </w:r>
      <w:r>
        <w:tab/>
        <w:t>a supervision order made under section 17(1)(b);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tabs>
          <w:tab w:val="left" w:pos="879"/>
        </w:tabs>
        <w:spacing w:before="80" w:line="260" w:lineRule="atLeast"/>
        <w:ind w:left="879" w:hanging="879"/>
        <w:rPr>
          <w:snapToGrid w:val="0"/>
        </w:rPr>
      </w:pPr>
      <w:r>
        <w:rPr>
          <w:snapToGrid w:val="0"/>
        </w:rPr>
        <w:tab/>
      </w:r>
      <w:r>
        <w:rPr>
          <w:rStyle w:val="CharDefText"/>
        </w:rPr>
        <w:t>psychiatrist</w:t>
      </w:r>
      <w:r>
        <w:rPr>
          <w:snapToGrid w:val="0"/>
        </w:rPr>
        <w:t xml:space="preserve"> has the meaning given in the </w:t>
      </w:r>
      <w:r>
        <w:rPr>
          <w:i/>
          <w:snapToGrid w:val="0"/>
        </w:rPr>
        <w:t>Mental Health Act 2014</w:t>
      </w:r>
      <w:r>
        <w:rPr>
          <w:snapToGrid w:val="0"/>
        </w:rPr>
        <w:t xml:space="preserve"> section 4</w:t>
      </w:r>
      <w:r>
        <w:rPr>
          <w:iCs/>
          <w:snapToGrid w:val="0"/>
        </w:rPr>
        <w:t>;</w:t>
      </w:r>
    </w:p>
    <w:p>
      <w:pPr>
        <w:pStyle w:val="Defstart"/>
      </w:pPr>
      <w:r>
        <w:rPr>
          <w:b/>
        </w:rPr>
        <w:tab/>
      </w:r>
      <w:r>
        <w:rPr>
          <w:rStyle w:val="CharDefText"/>
        </w:rPr>
        <w:t xml:space="preserve">psychologist </w:t>
      </w:r>
      <w:r>
        <w:t xml:space="preserve">has the meaning given in the </w:t>
      </w:r>
      <w:r>
        <w:rPr>
          <w:i/>
        </w:rPr>
        <w:t>Mental Health Act 2014</w:t>
      </w:r>
      <w:r>
        <w:t xml:space="preserve"> section 4;</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holding a qualification or accreditation prescribed for the purposes of this definition;</w:t>
      </w:r>
    </w:p>
    <w:p>
      <w:pPr>
        <w:pStyle w:val="Defstart"/>
      </w:pPr>
      <w:r>
        <w:rPr>
          <w:b/>
        </w:rPr>
        <w:tab/>
      </w:r>
      <w:r>
        <w:rPr>
          <w:rStyle w:val="CharDefText"/>
        </w:rPr>
        <w:t>serious danger to the community</w:t>
      </w:r>
      <w:r>
        <w:t xml:space="preserve"> has the meaning given to that term in section 7;</w:t>
      </w:r>
    </w:p>
    <w:p>
      <w:pPr>
        <w:pStyle w:val="Defstart"/>
      </w:pPr>
      <w:r>
        <w:tab/>
      </w:r>
      <w:r>
        <w:rPr>
          <w:rStyle w:val="CharDefText"/>
        </w:rPr>
        <w:t>serious sexual offence</w:t>
      </w:r>
      <w:r>
        <w:t xml:space="preserve"> means —</w:t>
      </w:r>
    </w:p>
    <w:p>
      <w:pPr>
        <w:pStyle w:val="Defpara"/>
      </w:pPr>
      <w:r>
        <w:tab/>
        <w:t>(a)</w:t>
      </w:r>
      <w:r>
        <w:tab/>
        <w:t xml:space="preserve">a serious sexual offence as defined in the </w:t>
      </w:r>
      <w:r>
        <w:rPr>
          <w:i/>
        </w:rPr>
        <w:t>Evidence Act 1906</w:t>
      </w:r>
      <w:r>
        <w:t xml:space="preserve"> section 106A; or</w:t>
      </w:r>
    </w:p>
    <w:p>
      <w:pPr>
        <w:pStyle w:val="Defpara"/>
      </w:pPr>
      <w:r>
        <w:tab/>
        <w:t>(b)</w:t>
      </w:r>
      <w:r>
        <w:tab/>
        <w:t>an offence of conspiracy or incitement to commit an offence referred to in paragraph (a); or</w:t>
      </w:r>
    </w:p>
    <w:p>
      <w:pPr>
        <w:pStyle w:val="Defpara"/>
      </w:pPr>
      <w:r>
        <w:tab/>
        <w:t>(c)</w:t>
      </w:r>
      <w:r>
        <w:tab/>
        <w:t>an offence against a law of the Commonwealth, of another State or of a Territory that is prescribed to correspond to an offence described in paragraph (a) or (b);</w:t>
      </w:r>
    </w:p>
    <w:p>
      <w:pPr>
        <w:pStyle w:val="Defstart"/>
      </w:pPr>
      <w:r>
        <w:tab/>
      </w:r>
      <w:r>
        <w:rPr>
          <w:rStyle w:val="CharDefText"/>
        </w:rPr>
        <w:t>supervision order</w:t>
      </w:r>
      <w:r>
        <w:t xml:space="preserve"> means an order under section 17(1)(b) or 33(1)(b)(ii);</w:t>
      </w:r>
    </w:p>
    <w:p>
      <w:pPr>
        <w:pStyle w:val="Defstart"/>
      </w:pPr>
      <w:r>
        <w:tab/>
      </w:r>
      <w:r>
        <w:rPr>
          <w:rStyle w:val="CharDefText"/>
        </w:rPr>
        <w:t xml:space="preserve">under a custodial sentence </w:t>
      </w:r>
      <w:r>
        <w:t>means —</w:t>
      </w:r>
    </w:p>
    <w:p>
      <w:pPr>
        <w:pStyle w:val="Defpara"/>
      </w:pPr>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p>
    <w:p>
      <w:pPr>
        <w:pStyle w:val="Defpara"/>
      </w:pPr>
      <w:r>
        <w:tab/>
        <w:t>(b)</w:t>
      </w:r>
      <w:r>
        <w:tab/>
        <w:t>under a sentence of imprisonment imposed under a law of the Commonwealth; or</w:t>
      </w:r>
    </w:p>
    <w:p>
      <w:pPr>
        <w:pStyle w:val="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Defstart"/>
      </w:pPr>
      <w:r>
        <w:tab/>
      </w:r>
      <w:r>
        <w:rPr>
          <w:rStyle w:val="CharDefText"/>
        </w:rPr>
        <w:t>victim</w:t>
      </w:r>
      <w:r>
        <w:t xml:space="preserve"> means a person upon whom a serious sexual offence has been committed by a person who is or has been an offender;</w:t>
      </w:r>
    </w:p>
    <w:p>
      <w:pPr>
        <w:pStyle w:val="Defstart"/>
      </w:pPr>
      <w:r>
        <w:tab/>
      </w:r>
      <w:r>
        <w:rPr>
          <w:rStyle w:val="CharDefText"/>
        </w:rPr>
        <w:t>victim submission</w:t>
      </w:r>
      <w:r>
        <w:t xml:space="preserve"> means a submission made under section 17A(3) or (4).</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 No. 25 of 2014 s. 56; No. 17 of 2016 s. 4.]</w:t>
      </w:r>
    </w:p>
    <w:p>
      <w:pPr>
        <w:pStyle w:val="Heading5"/>
      </w:pPr>
      <w:bookmarkStart w:id="7" w:name="_Toc473101921"/>
      <w:r>
        <w:rPr>
          <w:rStyle w:val="CharSectno"/>
        </w:rPr>
        <w:t>4A</w:t>
      </w:r>
      <w:r>
        <w:t>.</w:t>
      </w:r>
      <w:r>
        <w:tab/>
        <w:t>When person commits serious sexual offence</w:t>
      </w:r>
      <w:bookmarkEnd w:id="7"/>
    </w:p>
    <w:p>
      <w:pPr>
        <w:pStyle w:val="Subsection"/>
      </w:pPr>
      <w:r>
        <w:tab/>
        <w:t>(1)</w:t>
      </w:r>
      <w:r>
        <w:tab/>
        <w:t xml:space="preserve">For the purposes of this Act, unless the contrary intention appears, a person commits a serious sexual offence if the person — </w:t>
      </w:r>
    </w:p>
    <w:p>
      <w:pPr>
        <w:pStyle w:val="Indenta"/>
      </w:pPr>
      <w:r>
        <w:tab/>
        <w:t>(a)</w:t>
      </w:r>
      <w:r>
        <w:tab/>
        <w:t>does an act or makes an omission in any State or Territory that constitutes a serious sexual offence; or</w:t>
      </w:r>
    </w:p>
    <w:p>
      <w:pPr>
        <w:pStyle w:val="Indenta"/>
      </w:pPr>
      <w:r>
        <w:tab/>
        <w:t>(b)</w:t>
      </w:r>
      <w:r>
        <w:tab/>
        <w:t>does an act or makes an omission outside Australia that, if done within this State, would constitute a serious sexual offence.</w:t>
      </w:r>
    </w:p>
    <w:p>
      <w:pPr>
        <w:pStyle w:val="Subsection"/>
      </w:pPr>
      <w:r>
        <w:tab/>
        <w:t>(2)</w:t>
      </w:r>
      <w:r>
        <w:tab/>
        <w:t xml:space="preserve">For the purposes of subsection (1), it makes no difference — </w:t>
      </w:r>
    </w:p>
    <w:p>
      <w:pPr>
        <w:pStyle w:val="Indenta"/>
      </w:pPr>
      <w:r>
        <w:tab/>
        <w:t>(a)</w:t>
      </w:r>
      <w:r>
        <w:tab/>
        <w:t>whether the person doing the act or making the omission would be likely to be charged with an offence; or</w:t>
      </w:r>
    </w:p>
    <w:p>
      <w:pPr>
        <w:pStyle w:val="Indenta"/>
      </w:pPr>
      <w:r>
        <w:tab/>
        <w:t>(b)</w:t>
      </w:r>
      <w:r>
        <w:tab/>
        <w:t>whether the person doing the act or making the omission would, if charged with an offence, be found mentally fit to stand trial; or</w:t>
      </w:r>
    </w:p>
    <w:p>
      <w:pPr>
        <w:pStyle w:val="Indenta"/>
      </w:pPr>
      <w:r>
        <w:tab/>
        <w:t>(c)</w:t>
      </w:r>
      <w:r>
        <w:tab/>
        <w:t>whether the person doing the act or making the omission would, if tried for an offence, be convicted.</w:t>
      </w:r>
    </w:p>
    <w:p>
      <w:pPr>
        <w:pStyle w:val="Footnotesection"/>
      </w:pPr>
      <w:r>
        <w:tab/>
        <w:t>[Section 4A inserted by No. 17 of 2016 s. 5.]</w:t>
      </w:r>
    </w:p>
    <w:p>
      <w:pPr>
        <w:pStyle w:val="Heading5"/>
      </w:pPr>
      <w:bookmarkStart w:id="8" w:name="_Toc473101922"/>
      <w:r>
        <w:rPr>
          <w:rStyle w:val="CharSectno"/>
        </w:rPr>
        <w:t>4</w:t>
      </w:r>
      <w:r>
        <w:t>.</w:t>
      </w:r>
      <w:r>
        <w:tab/>
        <w:t>Objects of this Act</w:t>
      </w:r>
      <w:bookmarkEnd w:id="8"/>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 of victims; and</w:t>
      </w:r>
    </w:p>
    <w:p>
      <w:pPr>
        <w:pStyle w:val="Indenta"/>
      </w:pPr>
      <w:r>
        <w:tab/>
        <w:t>(b)</w:t>
      </w:r>
      <w:r>
        <w:tab/>
        <w:t>to provide for continuing control, care, or treatment, of persons of a particular class.</w:t>
      </w:r>
    </w:p>
    <w:p>
      <w:pPr>
        <w:pStyle w:val="Footnotesection"/>
      </w:pPr>
      <w:r>
        <w:tab/>
        <w:t>[Section 4 amended by No. 17 of 2016 s. 6.]</w:t>
      </w:r>
    </w:p>
    <w:p>
      <w:pPr>
        <w:pStyle w:val="Heading5"/>
      </w:pPr>
      <w:bookmarkStart w:id="9" w:name="_Toc473101923"/>
      <w:r>
        <w:rPr>
          <w:rStyle w:val="CharSectno"/>
        </w:rPr>
        <w:t>5</w:t>
      </w:r>
      <w:r>
        <w:t>.</w:t>
      </w:r>
      <w:r>
        <w:tab/>
        <w:t xml:space="preserve">Application of </w:t>
      </w:r>
      <w:r>
        <w:rPr>
          <w:i/>
        </w:rPr>
        <w:t>Bail Act 1982</w:t>
      </w:r>
      <w:bookmarkEnd w:id="9"/>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10" w:name="_Toc473101924"/>
      <w:r>
        <w:rPr>
          <w:rStyle w:val="CharSectno"/>
        </w:rPr>
        <w:t>6</w:t>
      </w:r>
      <w:r>
        <w:t>.</w:t>
      </w:r>
      <w:r>
        <w:tab/>
        <w:t>Attorney General may perform functions of DPP</w:t>
      </w:r>
      <w:bookmarkEnd w:id="10"/>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1" w:name="_Toc473101925"/>
      <w:r>
        <w:rPr>
          <w:rStyle w:val="CharSectno"/>
        </w:rPr>
        <w:t>7A</w:t>
      </w:r>
      <w:r>
        <w:t>.</w:t>
      </w:r>
      <w:r>
        <w:tab/>
        <w:t>DPP may take proceedings in the name of State</w:t>
      </w:r>
      <w:bookmarkEnd w:id="11"/>
    </w:p>
    <w:p>
      <w:pPr>
        <w:pStyle w:val="Subsection"/>
        <w:keepNext/>
      </w:pPr>
      <w:r>
        <w:tab/>
      </w:r>
      <w:r>
        <w:tab/>
        <w:t>The DPP may make applications, and take other proceedings, for which this Act provides in the name of the State.</w:t>
      </w:r>
    </w:p>
    <w:p>
      <w:pPr>
        <w:pStyle w:val="Footnotesection"/>
      </w:pPr>
      <w:r>
        <w:tab/>
        <w:t>[Section 7A inserted by No. 17 of 2016 s. 7.]</w:t>
      </w:r>
    </w:p>
    <w:p>
      <w:pPr>
        <w:pStyle w:val="Heading5"/>
      </w:pPr>
      <w:bookmarkStart w:id="12" w:name="_Toc473101926"/>
      <w:r>
        <w:rPr>
          <w:rStyle w:val="CharSectno"/>
        </w:rPr>
        <w:t>7</w:t>
      </w:r>
      <w:r>
        <w:t>.</w:t>
      </w:r>
      <w:r>
        <w:tab/>
        <w:t>Serious danger to community</w:t>
      </w:r>
      <w:bookmarkEnd w:id="12"/>
    </w:p>
    <w:p>
      <w:pPr>
        <w:pStyle w:val="Subsection"/>
      </w:pPr>
      <w:r>
        <w:tab/>
        <w:t>(1)</w:t>
      </w:r>
      <w:r>
        <w:tab/>
        <w:t>Before the court dealing with an application under this Act may find that a person is a serious danger to the community, the court must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must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Subsection"/>
      </w:pPr>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Footnotesection"/>
      </w:pPr>
      <w:r>
        <w:tab/>
        <w:t>[Section 7 amended by No. 17 of 2016 s. 8 and 44.]</w:t>
      </w:r>
    </w:p>
    <w:p>
      <w:pPr>
        <w:pStyle w:val="Heading5"/>
      </w:pPr>
      <w:bookmarkStart w:id="13" w:name="_Toc473101927"/>
      <w:r>
        <w:rPr>
          <w:rStyle w:val="CharSectno"/>
        </w:rPr>
        <w:t>8A</w:t>
      </w:r>
      <w:r>
        <w:t>.</w:t>
      </w:r>
      <w:r>
        <w:tab/>
      </w:r>
      <w:r>
        <w:rPr>
          <w:i/>
        </w:rPr>
        <w:t>Courts and Tribunals (Electronic Processes Facilitation) Act 2013</w:t>
      </w:r>
      <w:r>
        <w:t xml:space="preserve"> Part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56.]</w:t>
      </w:r>
    </w:p>
    <w:p>
      <w:pPr>
        <w:pStyle w:val="Heading2"/>
      </w:pPr>
      <w:bookmarkStart w:id="14" w:name="_Toc473101928"/>
      <w:r>
        <w:rPr>
          <w:rStyle w:val="CharPartNo"/>
        </w:rPr>
        <w:t>Part 2</w:t>
      </w:r>
      <w:r>
        <w:t> — </w:t>
      </w:r>
      <w:r>
        <w:rPr>
          <w:rStyle w:val="CharPartText"/>
        </w:rPr>
        <w:t>Continuing detention or supervision</w:t>
      </w:r>
      <w:bookmarkEnd w:id="14"/>
    </w:p>
    <w:p>
      <w:pPr>
        <w:pStyle w:val="Heading3"/>
      </w:pPr>
      <w:bookmarkStart w:id="15" w:name="_Toc473101929"/>
      <w:r>
        <w:rPr>
          <w:rStyle w:val="CharDivNo"/>
        </w:rPr>
        <w:t>Division 1</w:t>
      </w:r>
      <w:r>
        <w:t> — </w:t>
      </w:r>
      <w:r>
        <w:rPr>
          <w:rStyle w:val="CharDivText"/>
        </w:rPr>
        <w:t>Application for orders</w:t>
      </w:r>
      <w:bookmarkEnd w:id="15"/>
    </w:p>
    <w:p>
      <w:pPr>
        <w:pStyle w:val="Heading5"/>
      </w:pPr>
      <w:bookmarkStart w:id="16" w:name="_Toc473101930"/>
      <w:r>
        <w:rPr>
          <w:rStyle w:val="CharSectno"/>
        </w:rPr>
        <w:t>8</w:t>
      </w:r>
      <w:r>
        <w:t>.</w:t>
      </w:r>
      <w:r>
        <w:tab/>
        <w:t>DPP may apply for orders</w:t>
      </w:r>
      <w:bookmarkEnd w:id="16"/>
    </w:p>
    <w:p>
      <w:pPr>
        <w:pStyle w:val="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Indenta"/>
      </w:pPr>
      <w:r>
        <w:tab/>
        <w:t>(a)</w:t>
      </w:r>
      <w:r>
        <w:tab/>
        <w:t>who is under a custodial sentence for a serious sexual offence; or</w:t>
      </w:r>
    </w:p>
    <w:p>
      <w:pPr>
        <w:pStyle w:val="Indenta"/>
      </w:pPr>
      <w:r>
        <w:tab/>
        <w:t>(b)</w:t>
      </w:r>
      <w:r>
        <w:tab/>
        <w:t>who has been under a custodial sentence for a serious sexual offence and who, at all times since being discharged from that sentence, has been under a custodial sentence for another offence or other offences.</w:t>
      </w:r>
    </w:p>
    <w:p>
      <w:pPr>
        <w:pStyle w:val="Subsection"/>
      </w:pPr>
      <w:r>
        <w:tab/>
        <w:t>(2A)</w:t>
      </w:r>
      <w:r>
        <w:tab/>
        <w:t>An application under subsection (1) need not specify whether the Division 2 order sought is a continuing detention order or a supervision order under section 17(1)(b).</w:t>
      </w:r>
    </w:p>
    <w:p>
      <w:pPr>
        <w:pStyle w:val="Subsection"/>
      </w:pPr>
      <w:r>
        <w:tab/>
        <w:t>(2)</w:t>
      </w:r>
      <w:r>
        <w:tab/>
        <w:t>Subsection (1) applies whether the sentence was imposed before or after the commencement of this Act and whether or not the offender is in custody.</w:t>
      </w:r>
    </w:p>
    <w:p>
      <w:pPr>
        <w:pStyle w:val="Subsection"/>
      </w:pPr>
      <w:r>
        <w:tab/>
        <w:t>(3)</w:t>
      </w:r>
      <w:r>
        <w:tab/>
        <w:t>If the offender is in custody, an application under subsection (1) cannot be filed unless there is a possibility that the offender might be released from custody within the period of one year after the application is made.</w:t>
      </w:r>
    </w:p>
    <w:p>
      <w:pPr>
        <w:pStyle w:val="Subsection"/>
      </w:pPr>
      <w:r>
        <w:tab/>
        <w:t>(4A)</w:t>
      </w:r>
      <w:r>
        <w:tab/>
        <w:t>If —</w:t>
      </w:r>
    </w:p>
    <w:p>
      <w:pPr>
        <w:pStyle w:val="Indenta"/>
      </w:pPr>
      <w:r>
        <w:tab/>
        <w:t>(a)</w:t>
      </w:r>
      <w:r>
        <w:tab/>
        <w:t xml:space="preserve">an offender is subject to a supervision order (the </w:t>
      </w:r>
      <w:r>
        <w:rPr>
          <w:rStyle w:val="CharDefText"/>
        </w:rPr>
        <w:t>current order</w:t>
      </w:r>
      <w:r>
        <w:t>); and</w:t>
      </w:r>
    </w:p>
    <w:p>
      <w:pPr>
        <w:pStyle w:val="Indenta"/>
      </w:pPr>
      <w:r>
        <w:tab/>
        <w:t>(b)</w:t>
      </w:r>
      <w:r>
        <w:tab/>
        <w:t>the current order is to expire within one year,</w:t>
      </w:r>
    </w:p>
    <w:p>
      <w:pPr>
        <w:pStyle w:val="Subsection"/>
      </w:pPr>
      <w:r>
        <w:tab/>
      </w:r>
      <w:r>
        <w:tab/>
        <w:t xml:space="preserve">the DPP may file with the Supreme Court an application for orders under section 14 and for a further supervision order under section 17(1)(b) in relation to the offender, the further order to take effect on the expiry of the current order. </w:t>
      </w:r>
    </w:p>
    <w:p>
      <w:pPr>
        <w:pStyle w:val="Subsection"/>
      </w:pPr>
      <w:r>
        <w:tab/>
        <w:t>(4)</w:t>
      </w:r>
      <w:r>
        <w:tab/>
        <w:t>An application filed under this section must be accompanied by any affidavits to be relied on by the DPP for the purpose of seeking an order or orders under section 14.</w:t>
      </w:r>
    </w:p>
    <w:p>
      <w:pPr>
        <w:pStyle w:val="Subsection"/>
      </w:pPr>
      <w:r>
        <w:tab/>
        <w:t>(5)</w:t>
      </w:r>
      <w:r>
        <w:tab/>
        <w:t>The DPP must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this section,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 No. 17 of 2016 s. 9 and 44.]</w:t>
      </w:r>
    </w:p>
    <w:p>
      <w:pPr>
        <w:pStyle w:val="Heading5"/>
      </w:pPr>
      <w:bookmarkStart w:id="17" w:name="_Toc473101931"/>
      <w:r>
        <w:rPr>
          <w:rStyle w:val="CharSectno"/>
        </w:rPr>
        <w:t>9</w:t>
      </w:r>
      <w:r>
        <w:t>.</w:t>
      </w:r>
      <w:r>
        <w:tab/>
        <w:t>Duty to disclose</w:t>
      </w:r>
      <w:bookmarkEnd w:id="17"/>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8" w:name="_Toc473101932"/>
      <w:r>
        <w:rPr>
          <w:rStyle w:val="CharSectno"/>
        </w:rPr>
        <w:t>10A</w:t>
      </w:r>
      <w:r>
        <w:t>.</w:t>
      </w:r>
      <w:r>
        <w:tab/>
        <w:t>Offender’s duty to disclose</w:t>
      </w:r>
      <w:bookmarkEnd w:id="18"/>
    </w:p>
    <w:p>
      <w:pPr>
        <w:pStyle w:val="Subsection"/>
        <w:keepNext/>
      </w:pPr>
      <w:r>
        <w:tab/>
        <w:t>(1)</w:t>
      </w:r>
      <w:r>
        <w:tab/>
        <w:t xml:space="preserve">In this section — </w:t>
      </w:r>
    </w:p>
    <w:p>
      <w:pPr>
        <w:pStyle w:val="Defstart"/>
      </w:pPr>
      <w:r>
        <w:tab/>
      </w:r>
      <w:r>
        <w:rPr>
          <w:rStyle w:val="CharDefText"/>
        </w:rPr>
        <w:t>expert evidence material</w:t>
      </w:r>
      <w:r>
        <w:t xml:space="preserve"> relevant to an application means — </w:t>
      </w:r>
    </w:p>
    <w:p>
      <w:pPr>
        <w:pStyle w:val="Defpara"/>
      </w:pPr>
      <w:r>
        <w:tab/>
        <w:t>(a)</w:t>
      </w:r>
      <w:r>
        <w:tab/>
        <w:t>a copy of every statement, recording or report obtained by the offender from any person who the offender intends to call to give expert evidence that is relevant to the application; and</w:t>
      </w:r>
    </w:p>
    <w:p>
      <w:pPr>
        <w:pStyle w:val="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pPr>
      <w:r>
        <w:tab/>
        <w:t>(c)</w:t>
      </w:r>
      <w:r>
        <w:tab/>
        <w:t>a written description of the expert evidence referred to in paragraph (b).</w:t>
      </w:r>
    </w:p>
    <w:p>
      <w:pPr>
        <w:pStyle w:val="Subsection"/>
      </w:pPr>
      <w:r>
        <w:tab/>
        <w:t>(2)</w:t>
      </w:r>
      <w:r>
        <w:tab/>
        <w:t>This section applies to an application for a Division 2 order.</w:t>
      </w:r>
    </w:p>
    <w:p>
      <w:pPr>
        <w:pStyle w:val="Subsection"/>
      </w:pPr>
      <w:r>
        <w:tab/>
        <w:t>(3)</w:t>
      </w:r>
      <w:r>
        <w:tab/>
        <w:t xml:space="preserve">Subject to subsection (5), at least 14 days before the day fixed under section 14 for the hearing of the application the offender must file with the court and give to the DPP a copy of — </w:t>
      </w:r>
    </w:p>
    <w:p>
      <w:pPr>
        <w:pStyle w:val="Indenta"/>
      </w:pPr>
      <w:r>
        <w:tab/>
        <w:t>(a)</w:t>
      </w:r>
      <w:r>
        <w:tab/>
        <w:t>any expert evidence material relevant to the application; and</w:t>
      </w:r>
    </w:p>
    <w:p>
      <w:pPr>
        <w:pStyle w:val="Indenta"/>
      </w:pPr>
      <w:r>
        <w:tab/>
        <w:t>(b)</w:t>
      </w:r>
      <w:r>
        <w:tab/>
        <w:t xml:space="preserve">written notice of any objection by the offender to — </w:t>
      </w:r>
    </w:p>
    <w:p>
      <w:pPr>
        <w:pStyle w:val="Indenti"/>
      </w:pPr>
      <w:r>
        <w:tab/>
        <w:t>(i)</w:t>
      </w:r>
      <w:r>
        <w:tab/>
        <w:t>any document that the DPP intends to adduce at the hearing of the application; or</w:t>
      </w:r>
    </w:p>
    <w:p>
      <w:pPr>
        <w:pStyle w:val="Indenti"/>
      </w:pPr>
      <w:r>
        <w:tab/>
        <w:t>(ii)</w:t>
      </w:r>
      <w:r>
        <w:tab/>
        <w:t>any evidence to be given by a witness that the DPP intends to call at the hearing of the application;</w:t>
      </w:r>
    </w:p>
    <w:p>
      <w:pPr>
        <w:pStyle w:val="Indenta"/>
      </w:pPr>
      <w:r>
        <w:tab/>
      </w:r>
      <w:r>
        <w:tab/>
        <w:t>and</w:t>
      </w:r>
    </w:p>
    <w:p>
      <w:pPr>
        <w:pStyle w:val="Indenta"/>
      </w:pPr>
      <w:r>
        <w:tab/>
        <w:t>(c)</w:t>
      </w:r>
      <w:r>
        <w:tab/>
        <w:t>written notice of the grounds for any objection mentioned in paragraph (b).</w:t>
      </w:r>
    </w:p>
    <w:p>
      <w:pPr>
        <w:pStyle w:val="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Subsection"/>
      </w:pPr>
      <w:r>
        <w:tab/>
        <w:t>(5)</w:t>
      </w:r>
      <w:r>
        <w:tab/>
        <w:t xml:space="preserve">In respect of a requirement arising under subsection (3) or (4), the court may on its own initiative or on the application of either party to the application make an order — </w:t>
      </w:r>
    </w:p>
    <w:p>
      <w:pPr>
        <w:pStyle w:val="Indenta"/>
      </w:pPr>
      <w:r>
        <w:tab/>
        <w:t>(a)</w:t>
      </w:r>
      <w:r>
        <w:tab/>
        <w:t>that dispenses with all or part of the requirement, if it is satisfied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or</w:t>
      </w:r>
    </w:p>
    <w:p>
      <w:pPr>
        <w:pStyle w:val="Indenta"/>
      </w:pPr>
      <w:r>
        <w:tab/>
        <w:t>(d)</w:t>
      </w:r>
      <w:r>
        <w:tab/>
        <w:t>as to any other matter that the court considers is just.</w:t>
      </w:r>
    </w:p>
    <w:p>
      <w:pPr>
        <w:pStyle w:val="Footnotesection"/>
      </w:pPr>
      <w:r>
        <w:tab/>
        <w:t>[Section 10A inserted by No. 17 of 2016 s. 10.]</w:t>
      </w:r>
    </w:p>
    <w:p>
      <w:pPr>
        <w:pStyle w:val="Heading5"/>
      </w:pPr>
      <w:bookmarkStart w:id="19" w:name="_Toc473101933"/>
      <w:r>
        <w:rPr>
          <w:rStyle w:val="CharSectno"/>
        </w:rPr>
        <w:t>10</w:t>
      </w:r>
      <w:r>
        <w:t>.</w:t>
      </w:r>
      <w:r>
        <w:tab/>
        <w:t>Application may proceed even if offender discharged</w:t>
      </w:r>
      <w:bookmarkEnd w:id="19"/>
    </w:p>
    <w:p>
      <w:pPr>
        <w:pStyle w:val="Subsection"/>
      </w:pPr>
      <w:r>
        <w:tab/>
      </w:r>
      <w:r>
        <w:tab/>
        <w:t xml:space="preserve">An application under section 8 may proceed and the offender may be dealt with in accordance with this Act even if, while the application is pending — </w:t>
      </w:r>
    </w:p>
    <w:p>
      <w:pPr>
        <w:pStyle w:val="Indenta"/>
      </w:pPr>
      <w:r>
        <w:tab/>
        <w:t>(a)</w:t>
      </w:r>
      <w:r>
        <w:tab/>
        <w:t>in the case of an application under section 8(1), the offender ceases to be under a custodial sentence; or</w:t>
      </w:r>
    </w:p>
    <w:p>
      <w:pPr>
        <w:pStyle w:val="Indenta"/>
      </w:pPr>
      <w:r>
        <w:tab/>
        <w:t>(b)</w:t>
      </w:r>
      <w:r>
        <w:tab/>
        <w:t>in the case of an application under section 8(4A), the offender ceases to be subject to a supervision order.</w:t>
      </w:r>
    </w:p>
    <w:p>
      <w:pPr>
        <w:pStyle w:val="Footnotesection"/>
      </w:pPr>
      <w:r>
        <w:tab/>
        <w:t>[Section 10 inserted by No. 17 of 2016 s. 11.]</w:t>
      </w:r>
    </w:p>
    <w:p>
      <w:pPr>
        <w:pStyle w:val="Heading5"/>
      </w:pPr>
      <w:bookmarkStart w:id="20" w:name="_Toc473101934"/>
      <w:r>
        <w:rPr>
          <w:rStyle w:val="CharSectno"/>
        </w:rPr>
        <w:t>11</w:t>
      </w:r>
      <w:r>
        <w:t>.</w:t>
      </w:r>
      <w:r>
        <w:tab/>
        <w:t>Fixing day for preliminary hearing</w:t>
      </w:r>
      <w:bookmarkEnd w:id="20"/>
    </w:p>
    <w:p>
      <w:pPr>
        <w:pStyle w:val="Subsection"/>
      </w:pPr>
      <w:r>
        <w:tab/>
        <w:t>(1)</w:t>
      </w:r>
      <w:r>
        <w:tab/>
        <w:t>After an application is filed under section 8, the proper officer of the court must fix a day for the matter to come before the court for a preliminary hearing.</w:t>
      </w:r>
    </w:p>
    <w:p>
      <w:pPr>
        <w:pStyle w:val="Ednotesubsection"/>
      </w:pPr>
      <w:r>
        <w:tab/>
        <w:t>[(2)</w:t>
      </w:r>
      <w:r>
        <w:tab/>
        <w:t>deleted]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Footnotesection"/>
      </w:pPr>
      <w:r>
        <w:tab/>
        <w:t>[Section 11 amended by No. 17 of 2016 s. 12.]</w:t>
      </w:r>
    </w:p>
    <w:p>
      <w:pPr>
        <w:pStyle w:val="Heading5"/>
      </w:pPr>
      <w:bookmarkStart w:id="21" w:name="_Toc473101935"/>
      <w:r>
        <w:rPr>
          <w:rStyle w:val="CharSectno"/>
        </w:rPr>
        <w:t>12</w:t>
      </w:r>
      <w:r>
        <w:t>.</w:t>
      </w:r>
      <w:r>
        <w:tab/>
        <w:t>Offender may file affidavits in response</w:t>
      </w:r>
      <w:bookmarkEnd w:id="21"/>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22" w:name="_Toc473101936"/>
      <w:r>
        <w:rPr>
          <w:rStyle w:val="CharSectno"/>
        </w:rPr>
        <w:t>13</w:t>
      </w:r>
      <w:r>
        <w:t>.</w:t>
      </w:r>
      <w:r>
        <w:tab/>
        <w:t>Contents of affidavit</w:t>
      </w:r>
      <w:bookmarkEnd w:id="22"/>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23" w:name="_Toc473101937"/>
      <w:r>
        <w:rPr>
          <w:rStyle w:val="CharSectno"/>
        </w:rPr>
        <w:t>14</w:t>
      </w:r>
      <w:r>
        <w:t>.</w:t>
      </w:r>
      <w:r>
        <w:tab/>
        <w:t>Preliminary hearing</w:t>
      </w:r>
      <w:bookmarkEnd w:id="23"/>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subject to subsection (2A), fix a day for the hearing of the application for a Division 2 order.</w:t>
      </w:r>
    </w:p>
    <w:p>
      <w:pPr>
        <w:pStyle w:val="Subsection"/>
      </w:pPr>
      <w:r>
        <w:tab/>
        <w:t>(2A)</w:t>
      </w:r>
      <w:r>
        <w:tab/>
        <w:t xml:space="preserve">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application for a Division 2 order should not be heard until that charge has been dealt with,</w:t>
      </w:r>
    </w:p>
    <w:p>
      <w:pPr>
        <w:pStyle w:val="Subsection"/>
      </w:pPr>
      <w:r>
        <w:tab/>
      </w:r>
      <w:r>
        <w:tab/>
        <w:t>the court may defer fixing a day for the hearing of the application, or if it has already fixed a day adjourn the hearing of the application, until after the further charge has been dealt with.</w:t>
      </w:r>
    </w:p>
    <w:p>
      <w:pPr>
        <w:pStyle w:val="Subsection"/>
      </w:pPr>
      <w:r>
        <w:tab/>
        <w:t>(2)</w:t>
      </w:r>
      <w:r>
        <w:tab/>
        <w:t xml:space="preserve">If the court is satisfied as described in subsection (1) — </w:t>
      </w:r>
    </w:p>
    <w:p>
      <w:pPr>
        <w:pStyle w:val="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Footnotesection"/>
      </w:pPr>
      <w:r>
        <w:tab/>
        <w:t>[Section 14 amended by No. 17 of 2016 s. 13.]</w:t>
      </w:r>
    </w:p>
    <w:p>
      <w:pPr>
        <w:pStyle w:val="Ednotesection"/>
      </w:pPr>
      <w:r>
        <w:t>[</w:t>
      </w:r>
      <w:r>
        <w:rPr>
          <w:b/>
        </w:rPr>
        <w:t>15.</w:t>
      </w:r>
      <w:r>
        <w:tab/>
        <w:t>Deleted by No. 17 of 2016 s. 14.]</w:t>
      </w:r>
    </w:p>
    <w:p>
      <w:pPr>
        <w:pStyle w:val="Heading5"/>
        <w:keepNext w:val="0"/>
        <w:keepLines w:val="0"/>
        <w:pageBreakBefore/>
        <w:spacing w:before="0"/>
      </w:pPr>
      <w:bookmarkStart w:id="24" w:name="_Toc473101938"/>
      <w:r>
        <w:rPr>
          <w:rStyle w:val="CharSectno"/>
        </w:rPr>
        <w:t>16</w:t>
      </w:r>
      <w:r>
        <w:t>.</w:t>
      </w:r>
      <w:r>
        <w:tab/>
        <w:t>Discontinuing application for Division 2 order</w:t>
      </w:r>
      <w:bookmarkEnd w:id="24"/>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When an application is taken to be dismissed under subsection (2), any order under section 14(2)(b) relating to the offender is discharged.</w:t>
      </w:r>
    </w:p>
    <w:p>
      <w:pPr>
        <w:pStyle w:val="Footnotesection"/>
      </w:pPr>
      <w:r>
        <w:tab/>
        <w:t>[Section 16 amended by No. 17 of 2016 s. 15.]</w:t>
      </w:r>
    </w:p>
    <w:p>
      <w:pPr>
        <w:pStyle w:val="Heading5"/>
      </w:pPr>
      <w:bookmarkStart w:id="25" w:name="_Toc473101939"/>
      <w:r>
        <w:rPr>
          <w:rStyle w:val="CharSectno"/>
        </w:rPr>
        <w:t>17A</w:t>
      </w:r>
      <w:r>
        <w:t>.</w:t>
      </w:r>
      <w:r>
        <w:tab/>
        <w:t>Victim submissions</w:t>
      </w:r>
      <w:bookmarkEnd w:id="25"/>
    </w:p>
    <w:p>
      <w:pPr>
        <w:pStyle w:val="Subsection"/>
      </w:pPr>
      <w:r>
        <w:tab/>
        <w:t>(1)</w:t>
      </w:r>
      <w:r>
        <w:tab/>
        <w:t xml:space="preserve">In this section — </w:t>
      </w:r>
    </w:p>
    <w:p>
      <w:pPr>
        <w:pStyle w:val="Defstart"/>
      </w:pPr>
      <w:r>
        <w:tab/>
      </w:r>
      <w:r>
        <w:rPr>
          <w:rStyle w:val="CharDefText"/>
        </w:rPr>
        <w:t>make available</w:t>
      </w:r>
      <w:r>
        <w:t xml:space="preserve"> means make available to an offender or to a person acting on behalf of, or representing, the offender.</w:t>
      </w:r>
    </w:p>
    <w:p>
      <w:pPr>
        <w:pStyle w:val="Subsection"/>
      </w:pPr>
      <w:r>
        <w:tab/>
        <w:t>(2)</w:t>
      </w:r>
      <w:r>
        <w:tab/>
        <w:t>This section applies to —</w:t>
      </w:r>
    </w:p>
    <w:p>
      <w:pPr>
        <w:pStyle w:val="Indenta"/>
      </w:pPr>
      <w:r>
        <w:tab/>
        <w:t>(a)</w:t>
      </w:r>
      <w:r>
        <w:tab/>
        <w:t>an application under section 8(1) for a Division 2 order; and</w:t>
      </w:r>
    </w:p>
    <w:p>
      <w:pPr>
        <w:pStyle w:val="Indenta"/>
      </w:pPr>
      <w:r>
        <w:tab/>
        <w:t>(b)</w:t>
      </w:r>
      <w:r>
        <w:tab/>
        <w:t>an application under section 8(4A) for an order under section 17(1)(b); and</w:t>
      </w:r>
    </w:p>
    <w:p>
      <w:pPr>
        <w:pStyle w:val="Indenta"/>
      </w:pPr>
      <w:r>
        <w:tab/>
        <w:t>(c)</w:t>
      </w:r>
      <w:r>
        <w:tab/>
        <w:t>an application under section 19 to amend the conditions of a supervision order; and</w:t>
      </w:r>
    </w:p>
    <w:p>
      <w:pPr>
        <w:pStyle w:val="Indenta"/>
      </w:pPr>
      <w:r>
        <w:tab/>
        <w:t>(d)</w:t>
      </w:r>
      <w:r>
        <w:tab/>
        <w:t>an application under section 22 for an order under section 23; and</w:t>
      </w:r>
    </w:p>
    <w:p>
      <w:pPr>
        <w:pStyle w:val="Indenta"/>
      </w:pPr>
      <w:r>
        <w:tab/>
        <w:t>(e)</w:t>
      </w:r>
      <w:r>
        <w:tab/>
        <w:t>an application under section 29 or 30 for the review of a person’s detention.</w:t>
      </w:r>
    </w:p>
    <w:p>
      <w:pPr>
        <w:pStyle w:val="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Subsection"/>
      </w:pPr>
      <w:r>
        <w:tab/>
        <w:t>(5)</w:t>
      </w:r>
      <w:r>
        <w:tab/>
        <w:t>A victim submission must be in writing.</w:t>
      </w:r>
    </w:p>
    <w:p>
      <w:pPr>
        <w:pStyle w:val="Subsection"/>
      </w:pPr>
      <w:r>
        <w:tab/>
        <w:t>(6)</w:t>
      </w:r>
      <w:r>
        <w:tab/>
        <w:t>At the hearing of an application to which this section applies, the court must make available any victim submission made if —</w:t>
      </w:r>
    </w:p>
    <w:p>
      <w:pPr>
        <w:pStyle w:val="Indenta"/>
      </w:pPr>
      <w:r>
        <w:tab/>
        <w:t>(a)</w:t>
      </w:r>
      <w:r>
        <w:tab/>
        <w:t>the court considers that making available the submission is essential in the interests of fairness and justice; and</w:t>
      </w:r>
    </w:p>
    <w:p>
      <w:pPr>
        <w:pStyle w:val="Indenta"/>
      </w:pPr>
      <w:r>
        <w:tab/>
        <w:t>(b)</w:t>
      </w:r>
      <w:r>
        <w:tab/>
        <w:t>the victim making the submission has consented to its being made available; and</w:t>
      </w:r>
    </w:p>
    <w:p>
      <w:pPr>
        <w:pStyle w:val="Indenta"/>
      </w:pPr>
      <w:r>
        <w:tab/>
        <w:t>(c)</w:t>
      </w:r>
      <w:r>
        <w:tab/>
        <w:t xml:space="preserve">the court has afforded the victim making the submission an opportunity — </w:t>
      </w:r>
    </w:p>
    <w:p>
      <w:pPr>
        <w:pStyle w:val="Indenti"/>
      </w:pPr>
      <w:r>
        <w:tab/>
        <w:t>(i)</w:t>
      </w:r>
      <w:r>
        <w:tab/>
        <w:t>to amend the submission before it is made available; or</w:t>
      </w:r>
    </w:p>
    <w:p>
      <w:pPr>
        <w:pStyle w:val="Indenti"/>
      </w:pPr>
      <w:r>
        <w:tab/>
        <w:t>(ii)</w:t>
      </w:r>
      <w:r>
        <w:tab/>
        <w:t>to withdraw the submission.</w:t>
      </w:r>
    </w:p>
    <w:p>
      <w:pPr>
        <w:pStyle w:val="Subsection"/>
      </w:pPr>
      <w:r>
        <w:tab/>
        <w:t>(7)</w:t>
      </w:r>
      <w:r>
        <w:tab/>
        <w:t>Subject to subsections (8), (9) and (10), in considering an application to which this section applies, the court can have regard to any victim submission made.</w:t>
      </w:r>
    </w:p>
    <w:p>
      <w:pPr>
        <w:pStyle w:val="Subsection"/>
      </w:pPr>
      <w:r>
        <w:tab/>
        <w:t>(8)</w:t>
      </w:r>
      <w:r>
        <w:tab/>
        <w:t>If a victim submission is not made available at the hearing because the victim making the submission has not consented, the court must not have regard to the submission.</w:t>
      </w:r>
    </w:p>
    <w:p>
      <w:pPr>
        <w:pStyle w:val="Subsection"/>
      </w:pPr>
      <w:r>
        <w:tab/>
        <w:t>(9)</w:t>
      </w:r>
      <w:r>
        <w:tab/>
        <w:t>The court must not have regard to a victim submission that has been withdrawn.</w:t>
      </w:r>
    </w:p>
    <w:p>
      <w:pPr>
        <w:pStyle w:val="Subsection"/>
      </w:pPr>
      <w:r>
        <w:tab/>
        <w:t>(10)</w:t>
      </w:r>
      <w:r>
        <w:tab/>
        <w:t>If the victim making a submission has amended the submission, the court must have regard only to the amended submission.</w:t>
      </w:r>
    </w:p>
    <w:p>
      <w:pPr>
        <w:pStyle w:val="Footnotesection"/>
      </w:pPr>
      <w:r>
        <w:tab/>
        <w:t>[Section 17A inserted by No. 17 of 2016 s. 16.]</w:t>
      </w:r>
    </w:p>
    <w:p>
      <w:pPr>
        <w:pStyle w:val="Heading3"/>
      </w:pPr>
      <w:bookmarkStart w:id="26" w:name="_Toc473101940"/>
      <w:r>
        <w:rPr>
          <w:rStyle w:val="CharDivNo"/>
        </w:rPr>
        <w:t>Division 2</w:t>
      </w:r>
      <w:r>
        <w:t> — </w:t>
      </w:r>
      <w:r>
        <w:rPr>
          <w:rStyle w:val="CharDivText"/>
        </w:rPr>
        <w:t>Orders</w:t>
      </w:r>
      <w:bookmarkEnd w:id="26"/>
    </w:p>
    <w:p>
      <w:pPr>
        <w:pStyle w:val="Heading5"/>
      </w:pPr>
      <w:bookmarkStart w:id="27" w:name="_Toc473101941"/>
      <w:r>
        <w:rPr>
          <w:rStyle w:val="CharSectno"/>
        </w:rPr>
        <w:t>17</w:t>
      </w:r>
      <w:r>
        <w:t>.</w:t>
      </w:r>
      <w:r>
        <w:tab/>
        <w:t>Division 2 orders</w:t>
      </w:r>
      <w:bookmarkEnd w:id="27"/>
    </w:p>
    <w:p>
      <w:pPr>
        <w:pStyle w:val="Subsection"/>
      </w:pPr>
      <w:r>
        <w:tab/>
        <w:t>(1)</w:t>
      </w:r>
      <w:r>
        <w:tab/>
        <w:t>If the court hearing an application for a Division 2 order finds that the offender is a serious danger to the community, the court must —</w:t>
      </w:r>
    </w:p>
    <w:p>
      <w:pPr>
        <w:pStyle w:val="Indenta"/>
      </w:pPr>
      <w:r>
        <w:tab/>
        <w:t>(a)</w:t>
      </w:r>
      <w:r>
        <w:tab/>
        <w:t>order that the offender be detained in custody for an indefinite term for control, care, or treatment; or</w:t>
      </w:r>
    </w:p>
    <w:p>
      <w:pPr>
        <w:pStyle w:val="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Subsection"/>
      </w:pPr>
      <w:r>
        <w:tab/>
        <w:t>(2)</w:t>
      </w:r>
      <w:r>
        <w:tab/>
        <w:t>In deciding whether to make an order under subsection (1)(a) or (b), the paramount consideration is to be the need to ensure adequate protection of the community.</w:t>
      </w:r>
    </w:p>
    <w:p>
      <w:pPr>
        <w:pStyle w:val="Subsection"/>
      </w:pPr>
      <w:r>
        <w:tab/>
        <w:t>(3)</w:t>
      </w:r>
      <w:r>
        <w:tab/>
        <w:t>A court hearing an application under section 8(4A) must not make an order under subsection (1)(a).</w:t>
      </w:r>
    </w:p>
    <w:p>
      <w:pPr>
        <w:pStyle w:val="Footnotesection"/>
      </w:pPr>
      <w:r>
        <w:tab/>
        <w:t>[Section 17 amended by No. 17 of 2016 s. 17.]</w:t>
      </w:r>
    </w:p>
    <w:p>
      <w:pPr>
        <w:pStyle w:val="Heading5"/>
      </w:pPr>
      <w:bookmarkStart w:id="28" w:name="_Toc473101942"/>
      <w:r>
        <w:rPr>
          <w:rStyle w:val="CharSectno"/>
        </w:rPr>
        <w:t>18</w:t>
      </w:r>
      <w:r>
        <w:t>.</w:t>
      </w:r>
      <w:r>
        <w:tab/>
        <w:t>Conditions of supervision order</w:t>
      </w:r>
      <w:bookmarkEnd w:id="28"/>
    </w:p>
    <w:p>
      <w:pPr>
        <w:pStyle w:val="Subsection"/>
      </w:pPr>
      <w:r>
        <w:tab/>
        <w:t>(1A)</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Subsection"/>
      </w:pPr>
      <w:r>
        <w:tab/>
        <w:t>(2B)</w:t>
      </w:r>
      <w:r>
        <w:tab/>
        <w:t xml:space="preserve">When considering whether to impose a requirement under subsection (2A) the court must have regard to — </w:t>
      </w:r>
    </w:p>
    <w:p>
      <w:pPr>
        <w:pStyle w:val="Indenta"/>
      </w:pPr>
      <w:r>
        <w:tab/>
        <w:t>(a)</w:t>
      </w:r>
      <w:r>
        <w:tab/>
        <w:t>the gravity and nature of the person’s offences; and</w:t>
      </w:r>
    </w:p>
    <w:p>
      <w:pPr>
        <w:pStyle w:val="Indenta"/>
      </w:pPr>
      <w:r>
        <w:tab/>
        <w:t>(b)</w:t>
      </w:r>
      <w:r>
        <w:tab/>
        <w:t>the likely impact on the victims of the person providing or making available any statement, information or opinion; and</w:t>
      </w:r>
    </w:p>
    <w:p>
      <w:pPr>
        <w:pStyle w:val="Indenta"/>
      </w:pPr>
      <w:r>
        <w:tab/>
        <w:t>(c)</w:t>
      </w:r>
      <w:r>
        <w:tab/>
        <w:t>the public interest generally.</w:t>
      </w:r>
    </w:p>
    <w:p>
      <w:pPr>
        <w:pStyle w:val="Subsection"/>
      </w:pPr>
      <w:r>
        <w:tab/>
        <w:t>(2)</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 or</w:t>
      </w:r>
    </w:p>
    <w:p>
      <w:pPr>
        <w:pStyle w:val="Indenta"/>
      </w:pPr>
      <w:r>
        <w:tab/>
        <w:t>(c)</w:t>
      </w:r>
      <w:r>
        <w:tab/>
        <w:t>to ensure adequate protection of victims of offences committed by the person subject to the order.</w:t>
      </w:r>
    </w:p>
    <w:p>
      <w:pPr>
        <w:pStyle w:val="Subsection"/>
      </w:pPr>
      <w:r>
        <w:tab/>
        <w:t>(3)</w:t>
      </w:r>
      <w:r>
        <w:tab/>
        <w:t xml:space="preserve">Without limiting subsection (2), a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 No. 17 of 2016 s. 18.]</w:t>
      </w:r>
    </w:p>
    <w:p>
      <w:pPr>
        <w:pStyle w:val="Heading5"/>
      </w:pPr>
      <w:bookmarkStart w:id="29" w:name="_Toc473101943"/>
      <w:r>
        <w:rPr>
          <w:rStyle w:val="CharSectno"/>
        </w:rPr>
        <w:t>19A</w:t>
      </w:r>
      <w:r>
        <w:t>.</w:t>
      </w:r>
      <w:r>
        <w:tab/>
        <w:t>Electronic monitoring</w:t>
      </w:r>
      <w:bookmarkEnd w:id="29"/>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keepNext/>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30" w:name="_Toc473101944"/>
      <w:r>
        <w:rPr>
          <w:rStyle w:val="CharSectno"/>
        </w:rPr>
        <w:t>19B</w:t>
      </w:r>
      <w:r>
        <w:t>.</w:t>
      </w:r>
      <w:r>
        <w:tab/>
        <w:t>Curfew</w:t>
      </w:r>
      <w:bookmarkEnd w:id="30"/>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31" w:name="_Toc473101945"/>
      <w:r>
        <w:rPr>
          <w:rStyle w:val="CharSectno"/>
        </w:rPr>
        <w:t>19C</w:t>
      </w:r>
      <w:r>
        <w:t>.</w:t>
      </w:r>
      <w:r>
        <w:tab/>
        <w:t>Enforcement of electronic monitoring and curfew requirement</w:t>
      </w:r>
      <w:bookmarkEnd w:id="31"/>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32" w:name="_Toc473101946"/>
      <w:r>
        <w:rPr>
          <w:rStyle w:val="CharDivNo"/>
        </w:rPr>
        <w:t>Division 3</w:t>
      </w:r>
      <w:r>
        <w:t> — </w:t>
      </w:r>
      <w:r>
        <w:rPr>
          <w:rStyle w:val="CharDivText"/>
        </w:rPr>
        <w:t>Amendment of supervision order</w:t>
      </w:r>
      <w:bookmarkEnd w:id="32"/>
    </w:p>
    <w:p>
      <w:pPr>
        <w:pStyle w:val="Heading5"/>
      </w:pPr>
      <w:bookmarkStart w:id="33" w:name="_Toc473101947"/>
      <w:r>
        <w:rPr>
          <w:rStyle w:val="CharSectno"/>
        </w:rPr>
        <w:t>19</w:t>
      </w:r>
      <w:r>
        <w:t>.</w:t>
      </w:r>
      <w:r>
        <w:tab/>
        <w:t>Application to amend conditions of supervision order</w:t>
      </w:r>
      <w:bookmarkEnd w:id="3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must give notice of the application to the DPP and to the chief executive officer.</w:t>
      </w:r>
    </w:p>
    <w:p>
      <w:pPr>
        <w:pStyle w:val="Subsection"/>
      </w:pPr>
      <w:r>
        <w:tab/>
        <w:t>(3)</w:t>
      </w:r>
      <w:r>
        <w:tab/>
        <w:t>If the chief executive officer makes the application, the chief executive officer must give notice of the application to the person who is subject to the order.</w:t>
      </w:r>
    </w:p>
    <w:p>
      <w:pPr>
        <w:pStyle w:val="Footnotesection"/>
      </w:pPr>
      <w:r>
        <w:tab/>
        <w:t>[Section 19 amended by No. 17 of 2016 s. 44.]</w:t>
      </w:r>
    </w:p>
    <w:p>
      <w:pPr>
        <w:pStyle w:val="Heading5"/>
      </w:pPr>
      <w:bookmarkStart w:id="34" w:name="_Toc473101948"/>
      <w:r>
        <w:rPr>
          <w:rStyle w:val="CharSectno"/>
        </w:rPr>
        <w:t>20</w:t>
      </w:r>
      <w:r>
        <w:t>.</w:t>
      </w:r>
      <w:r>
        <w:tab/>
        <w:t>Amendment of conditions of supervision order</w:t>
      </w:r>
      <w:bookmarkEnd w:id="34"/>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must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Footnotesection"/>
      </w:pPr>
      <w:r>
        <w:tab/>
        <w:t>[Section 20 amended by No. 17 of 2016 s. 44.]</w:t>
      </w:r>
    </w:p>
    <w:p>
      <w:pPr>
        <w:pStyle w:val="Heading3"/>
      </w:pPr>
      <w:bookmarkStart w:id="35" w:name="_Toc473101949"/>
      <w:r>
        <w:rPr>
          <w:rStyle w:val="CharDivNo"/>
        </w:rPr>
        <w:t>Division 4</w:t>
      </w:r>
      <w:r>
        <w:t> — </w:t>
      </w:r>
      <w:r>
        <w:rPr>
          <w:rStyle w:val="CharDivText"/>
        </w:rPr>
        <w:t>Contravention of supervision order</w:t>
      </w:r>
      <w:bookmarkEnd w:id="35"/>
    </w:p>
    <w:p>
      <w:pPr>
        <w:pStyle w:val="Heading5"/>
      </w:pPr>
      <w:bookmarkStart w:id="36" w:name="_Toc473101950"/>
      <w:r>
        <w:rPr>
          <w:rStyle w:val="CharSectno"/>
        </w:rPr>
        <w:t>21</w:t>
      </w:r>
      <w:r>
        <w:t>.</w:t>
      </w:r>
      <w:r>
        <w:tab/>
        <w:t>Summons or warrant because of contravention</w:t>
      </w:r>
      <w:bookmarkEnd w:id="36"/>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must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 No. 17 of 2016 s. 44.]</w:t>
      </w:r>
    </w:p>
    <w:p>
      <w:pPr>
        <w:pStyle w:val="Heading5"/>
      </w:pPr>
      <w:bookmarkStart w:id="37" w:name="_Toc473101951"/>
      <w:r>
        <w:rPr>
          <w:rStyle w:val="CharSectno"/>
        </w:rPr>
        <w:t>22</w:t>
      </w:r>
      <w:r>
        <w:t>.</w:t>
      </w:r>
      <w:r>
        <w:tab/>
        <w:t>DPP may seek order</w:t>
      </w:r>
      <w:bookmarkEnd w:id="37"/>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38" w:name="_Toc473101952"/>
      <w:r>
        <w:rPr>
          <w:rStyle w:val="CharSectno"/>
        </w:rPr>
        <w:t>23A</w:t>
      </w:r>
      <w:r>
        <w:t>.</w:t>
      </w:r>
      <w:r>
        <w:tab/>
        <w:t>Reports</w:t>
      </w:r>
      <w:bookmarkEnd w:id="38"/>
    </w:p>
    <w:p>
      <w:pPr>
        <w:pStyle w:val="Subsection"/>
      </w:pPr>
      <w:r>
        <w:tab/>
      </w:r>
      <w:r>
        <w:tab/>
        <w:t xml:space="preserve">After an application is made under section 22 in relation to a person the Supreme Court — </w:t>
      </w:r>
    </w:p>
    <w:p>
      <w:pPr>
        <w:pStyle w:val="Indenta"/>
        <w:spacing w:before="120"/>
      </w:pPr>
      <w:r>
        <w:tab/>
        <w:t>(a)</w:t>
      </w:r>
      <w:r>
        <w:tab/>
        <w:t>may order that the person undergo examination by one or more qualified experts named by the court for the purposes of preparing a report in accordance with section 37; and</w:t>
      </w:r>
    </w:p>
    <w:p>
      <w:pPr>
        <w:pStyle w:val="Indenta"/>
        <w:spacing w:before="120"/>
      </w:pPr>
      <w:r>
        <w:tab/>
        <w:t>(b)</w:t>
      </w:r>
      <w:r>
        <w:tab/>
        <w:t>on the application of the DPP or of the person, may order that a person or body named by the court prepare a report in accordance with section 38A on questions or topics set out in the order.</w:t>
      </w:r>
    </w:p>
    <w:p>
      <w:pPr>
        <w:pStyle w:val="Footnotesection"/>
      </w:pPr>
      <w:r>
        <w:tab/>
        <w:t>[Section 23A inserted by No. 17 of 2016 s. 19.]</w:t>
      </w:r>
    </w:p>
    <w:p>
      <w:pPr>
        <w:pStyle w:val="Heading5"/>
      </w:pPr>
      <w:bookmarkStart w:id="39" w:name="_Toc473101953"/>
      <w:r>
        <w:rPr>
          <w:rStyle w:val="CharSectno"/>
        </w:rPr>
        <w:t>23</w:t>
      </w:r>
      <w:r>
        <w:t>.</w:t>
      </w:r>
      <w:r>
        <w:tab/>
        <w:t>Court may make order</w:t>
      </w:r>
      <w:bookmarkEnd w:id="39"/>
    </w:p>
    <w:p>
      <w:pPr>
        <w:pStyle w:val="Subsection"/>
        <w:keepNext/>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or extending the period for which the offender is to be subject to the conditions of the supervision order, or both; or</w:t>
      </w:r>
    </w:p>
    <w:p>
      <w:pPr>
        <w:pStyle w:val="Indenta"/>
      </w:pPr>
      <w:r>
        <w:tab/>
        <w:t>(b)</w:t>
      </w:r>
      <w:r>
        <w:tab/>
        <w:t>if the court is also satisfied that there is an unacceptable risk that, if an order under this paragraph were not made, the person would commit a serious sexual offence, make a continuing detention order in relation to the person; or</w:t>
      </w:r>
    </w:p>
    <w:p>
      <w:pPr>
        <w:pStyle w:val="Indenta"/>
      </w:pPr>
      <w:r>
        <w:tab/>
        <w:t>(c)</w:t>
      </w:r>
      <w:r>
        <w:tab/>
        <w:t>make no order.</w:t>
      </w:r>
    </w:p>
    <w:p>
      <w:pPr>
        <w:pStyle w:val="Subsection"/>
      </w:pPr>
      <w:r>
        <w:tab/>
        <w:t>(2A)</w:t>
      </w:r>
      <w:r>
        <w:tab/>
        <w:t>In considering whether it is satisfied as required in subsection (1)(b), the court must disregard the possibility that the person might temporarily be prevented from committing a serious sexual offence by imprisonment, by remand in custody or by the imposition of bail conditions.</w:t>
      </w:r>
    </w:p>
    <w:p>
      <w:pPr>
        <w:pStyle w:val="Subsection"/>
      </w:pPr>
      <w:r>
        <w:tab/>
        <w:t>(2)</w:t>
      </w:r>
      <w:r>
        <w:tab/>
        <w:t>In deciding whether to make an order under subsection (1), the paramount consideration is to be the need to ensure adequate protection of the community.</w:t>
      </w:r>
    </w:p>
    <w:p>
      <w:pPr>
        <w:pStyle w:val="Footnotesection"/>
      </w:pPr>
      <w:r>
        <w:tab/>
        <w:t>[Section 23 amended by No. 3 of 2011 s. 10; No. 17 of 2016 s. 20.]</w:t>
      </w:r>
    </w:p>
    <w:p>
      <w:pPr>
        <w:pStyle w:val="Heading5"/>
      </w:pPr>
      <w:bookmarkStart w:id="40" w:name="_Toc473101954"/>
      <w:r>
        <w:rPr>
          <w:rStyle w:val="CharSectno"/>
        </w:rPr>
        <w:t>24A</w:t>
      </w:r>
      <w:r>
        <w:t>.</w:t>
      </w:r>
      <w:r>
        <w:tab/>
        <w:t>Orders made during contravention proceedings</w:t>
      </w:r>
      <w:bookmarkEnd w:id="40"/>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 amended by No. 17 of 2016 s. 21.]</w:t>
      </w:r>
    </w:p>
    <w:p>
      <w:pPr>
        <w:pStyle w:val="Heading3"/>
        <w:keepNext w:val="0"/>
        <w:pageBreakBefore/>
        <w:spacing w:before="0"/>
      </w:pPr>
      <w:bookmarkStart w:id="41" w:name="_Toc473101955"/>
      <w:r>
        <w:rPr>
          <w:rStyle w:val="CharDivNo"/>
        </w:rPr>
        <w:t>Division 5</w:t>
      </w:r>
      <w:r>
        <w:t> — </w:t>
      </w:r>
      <w:r>
        <w:rPr>
          <w:rStyle w:val="CharDivText"/>
        </w:rPr>
        <w:t>Supervision order extended due to imprisonment</w:t>
      </w:r>
      <w:bookmarkEnd w:id="41"/>
    </w:p>
    <w:p>
      <w:pPr>
        <w:pStyle w:val="Heading5"/>
      </w:pPr>
      <w:bookmarkStart w:id="42" w:name="_Toc473101956"/>
      <w:r>
        <w:rPr>
          <w:rStyle w:val="CharSectno"/>
        </w:rPr>
        <w:t>24</w:t>
      </w:r>
      <w:r>
        <w:t>.</w:t>
      </w:r>
      <w:r>
        <w:tab/>
        <w:t>Extension of supervision order</w:t>
      </w:r>
      <w:bookmarkEnd w:id="42"/>
    </w:p>
    <w:p>
      <w:pPr>
        <w:pStyle w:val="Subsection"/>
      </w:pPr>
      <w:r>
        <w:tab/>
        <w:t>(1)</w:t>
      </w:r>
      <w:r>
        <w:tab/>
        <w:t>This section applies if a person who is subject to a supervision order is sentenced to a term or period of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Footnotesection"/>
      </w:pPr>
      <w:r>
        <w:tab/>
        <w:t>[Section 24 amended by No. 17 of 2016 s. 22.]</w:t>
      </w:r>
    </w:p>
    <w:p>
      <w:pPr>
        <w:pStyle w:val="Heading3"/>
        <w:rPr>
          <w:rStyle w:val="CharDivText"/>
        </w:rPr>
      </w:pPr>
      <w:bookmarkStart w:id="43" w:name="_Toc473101957"/>
      <w:r>
        <w:rPr>
          <w:rStyle w:val="CharDivNo"/>
        </w:rPr>
        <w:t>Division 6</w:t>
      </w:r>
      <w:r>
        <w:t> — </w:t>
      </w:r>
      <w:r>
        <w:rPr>
          <w:rStyle w:val="CharDivText"/>
        </w:rPr>
        <w:t>General provisions for Part 2</w:t>
      </w:r>
      <w:bookmarkEnd w:id="43"/>
    </w:p>
    <w:p>
      <w:pPr>
        <w:pStyle w:val="Heading5"/>
      </w:pPr>
      <w:bookmarkStart w:id="44" w:name="_Toc473101958"/>
      <w:r>
        <w:rPr>
          <w:rStyle w:val="CharSectno"/>
        </w:rPr>
        <w:t>25</w:t>
      </w:r>
      <w:r>
        <w:t>.</w:t>
      </w:r>
      <w:r>
        <w:tab/>
        <w:t>Effect of continuing detention order</w:t>
      </w:r>
      <w:bookmarkEnd w:id="44"/>
    </w:p>
    <w:p>
      <w:pPr>
        <w:pStyle w:val="Subsection"/>
      </w:pPr>
      <w:r>
        <w:tab/>
      </w:r>
      <w:r>
        <w:tab/>
        <w:t>A continuing detention order has effect in accordance with its terms from the time the order is made until rescinded by a further order of the Supreme Court.</w:t>
      </w:r>
    </w:p>
    <w:p>
      <w:pPr>
        <w:pStyle w:val="Heading5"/>
      </w:pPr>
      <w:bookmarkStart w:id="45" w:name="_Toc473101959"/>
      <w:r>
        <w:rPr>
          <w:rStyle w:val="CharSectno"/>
        </w:rPr>
        <w:t>26</w:t>
      </w:r>
      <w:r>
        <w:t>.</w:t>
      </w:r>
      <w:r>
        <w:tab/>
        <w:t>Effect of supervision order</w:t>
      </w:r>
      <w:bookmarkEnd w:id="45"/>
    </w:p>
    <w:p>
      <w:pPr>
        <w:pStyle w:val="Subsection"/>
      </w:pPr>
      <w:r>
        <w:tab/>
      </w:r>
      <w:r>
        <w:tab/>
        <w:t>A supervision order has effect in accordance with its terms.</w:t>
      </w:r>
    </w:p>
    <w:p>
      <w:pPr>
        <w:pStyle w:val="Heading5"/>
      </w:pPr>
      <w:bookmarkStart w:id="46" w:name="_Toc473101960"/>
      <w:r>
        <w:rPr>
          <w:rStyle w:val="CharSectno"/>
        </w:rPr>
        <w:t>27</w:t>
      </w:r>
      <w:r>
        <w:t>.</w:t>
      </w:r>
      <w:r>
        <w:tab/>
        <w:t>Court to give reasons</w:t>
      </w:r>
      <w:bookmarkEnd w:id="46"/>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47" w:name="_Toc473101961"/>
      <w:r>
        <w:rPr>
          <w:rStyle w:val="CharPartNo"/>
        </w:rPr>
        <w:t>Part 3</w:t>
      </w:r>
      <w:r>
        <w:rPr>
          <w:rStyle w:val="CharDivNo"/>
        </w:rPr>
        <w:t> </w:t>
      </w:r>
      <w:r>
        <w:t>—</w:t>
      </w:r>
      <w:r>
        <w:rPr>
          <w:rStyle w:val="CharDivText"/>
        </w:rPr>
        <w:t> </w:t>
      </w:r>
      <w:r>
        <w:rPr>
          <w:rStyle w:val="CharPartText"/>
        </w:rPr>
        <w:t>Reviews of detention</w:t>
      </w:r>
      <w:bookmarkEnd w:id="47"/>
    </w:p>
    <w:p>
      <w:pPr>
        <w:pStyle w:val="Footnoteheading"/>
      </w:pPr>
      <w:r>
        <w:tab/>
        <w:t>[Heading amended by No. 17 of 2016 s. 23.]</w:t>
      </w:r>
    </w:p>
    <w:p>
      <w:pPr>
        <w:pStyle w:val="Heading5"/>
      </w:pPr>
      <w:bookmarkStart w:id="48" w:name="_Toc473101962"/>
      <w:r>
        <w:rPr>
          <w:rStyle w:val="CharSectno"/>
        </w:rPr>
        <w:t>28</w:t>
      </w:r>
      <w:r>
        <w:t>.</w:t>
      </w:r>
      <w:r>
        <w:tab/>
        <w:t>Purpose of this Part</w:t>
      </w:r>
      <w:bookmarkEnd w:id="48"/>
    </w:p>
    <w:p>
      <w:pPr>
        <w:pStyle w:val="Subsection"/>
      </w:pPr>
      <w:r>
        <w:tab/>
      </w:r>
      <w:r>
        <w:tab/>
        <w:t>The purpose of this Part is to ensure that a person’s detention under a continuing detention order is regularly reviewed.</w:t>
      </w:r>
    </w:p>
    <w:p>
      <w:pPr>
        <w:pStyle w:val="Heading5"/>
      </w:pPr>
      <w:bookmarkStart w:id="49" w:name="_Toc473101963"/>
      <w:r>
        <w:rPr>
          <w:rStyle w:val="CharSectno"/>
        </w:rPr>
        <w:t>29</w:t>
      </w:r>
      <w:r>
        <w:t>.</w:t>
      </w:r>
      <w:r>
        <w:tab/>
        <w:t>Review — periodic</w:t>
      </w:r>
      <w:bookmarkEnd w:id="49"/>
    </w:p>
    <w:p>
      <w:pPr>
        <w:pStyle w:val="Subsection"/>
      </w:pPr>
      <w:r>
        <w:tab/>
        <w:t>(1)</w:t>
      </w:r>
      <w:r>
        <w:tab/>
        <w:t>While a person is subject to a continuing detention order, the DPP may apply to the Supreme Court for the person’s detention under the order to be reviewed as specified in subsection (2).</w:t>
      </w:r>
    </w:p>
    <w:p>
      <w:pPr>
        <w:pStyle w:val="Subsection"/>
      </w:pPr>
      <w:r>
        <w:tab/>
        <w:t>(2)</w:t>
      </w:r>
      <w:r>
        <w:tab/>
        <w:t xml:space="preserve">The DPP must apply under subsection (1) so as to ensure that reviews are carried out — </w:t>
      </w:r>
    </w:p>
    <w:p>
      <w:pPr>
        <w:pStyle w:val="Indenta"/>
      </w:pPr>
      <w:r>
        <w:tab/>
        <w:t>(a)</w:t>
      </w:r>
      <w:r>
        <w:tab/>
        <w:t>as soon as practicable after the end of a period of 1 year commencing when the person is first in custody on a day on which the person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30.</w:t>
      </w:r>
    </w:p>
    <w:p>
      <w:pPr>
        <w:pStyle w:val="Subsection"/>
      </w:pPr>
      <w:r>
        <w:tab/>
        <w:t>(3)</w:t>
      </w:r>
      <w:r>
        <w:tab/>
        <w:t>The periods mentioned in subsection (2)(a) and (b) are extended by any period during which the person is in custody serving a sentence of imprisonment.</w:t>
      </w:r>
    </w:p>
    <w:p>
      <w:pPr>
        <w:pStyle w:val="Footnotesection"/>
      </w:pPr>
      <w:r>
        <w:tab/>
        <w:t>[Section 29 amended by No. 17 of 2016 s. 24.]</w:t>
      </w:r>
    </w:p>
    <w:p>
      <w:pPr>
        <w:pStyle w:val="Heading5"/>
      </w:pPr>
      <w:bookmarkStart w:id="50" w:name="_Toc473101964"/>
      <w:r>
        <w:rPr>
          <w:rStyle w:val="CharSectno"/>
        </w:rPr>
        <w:t>30</w:t>
      </w:r>
      <w:r>
        <w:t>.</w:t>
      </w:r>
      <w:r>
        <w:tab/>
        <w:t>Review — application by person subject to order</w:t>
      </w:r>
      <w:bookmarkEnd w:id="50"/>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at least one year after the last occasion on which the person’s detention has been reviewed under section 29(2)(b).</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Footnotesection"/>
      </w:pPr>
      <w:r>
        <w:tab/>
        <w:t>[Section 30 amended by No. 17 of 2016 s. 25.]</w:t>
      </w:r>
    </w:p>
    <w:p>
      <w:pPr>
        <w:pStyle w:val="Heading5"/>
      </w:pPr>
      <w:bookmarkStart w:id="51" w:name="_Toc473101965"/>
      <w:r>
        <w:rPr>
          <w:rStyle w:val="CharSectno"/>
        </w:rPr>
        <w:t>31</w:t>
      </w:r>
      <w:r>
        <w:t>.</w:t>
      </w:r>
      <w:r>
        <w:tab/>
        <w:t>Dealing with application</w:t>
      </w:r>
      <w:bookmarkEnd w:id="51"/>
    </w:p>
    <w:p>
      <w:pPr>
        <w:pStyle w:val="Subsection"/>
      </w:pPr>
      <w:r>
        <w:tab/>
        <w:t>(1)</w:t>
      </w:r>
      <w:r>
        <w:tab/>
        <w:t>As soon as practicable after an application is made under section 29 or 30,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Footnotesection"/>
      </w:pPr>
      <w:r>
        <w:tab/>
        <w:t>[Section 31 amended by No. 17 of 2016 s. 26 and 44.]</w:t>
      </w:r>
    </w:p>
    <w:p>
      <w:pPr>
        <w:pStyle w:val="Heading5"/>
      </w:pPr>
      <w:bookmarkStart w:id="52" w:name="_Toc473101966"/>
      <w:r>
        <w:rPr>
          <w:rStyle w:val="CharSectno"/>
        </w:rPr>
        <w:t>32</w:t>
      </w:r>
      <w:r>
        <w:t>.</w:t>
      </w:r>
      <w:r>
        <w:tab/>
        <w:t>Reports</w:t>
      </w:r>
      <w:bookmarkEnd w:id="52"/>
    </w:p>
    <w:p>
      <w:pPr>
        <w:pStyle w:val="Subsection"/>
      </w:pPr>
      <w:r>
        <w:tab/>
        <w:t>(1)</w:t>
      </w:r>
      <w:r>
        <w:tab/>
        <w:t>Unless the court otherwise orders, the chief executive officer must engage one or more qualified experts to prepare reports in accordance with section 37 to be used on a review under this Part.</w:t>
      </w:r>
    </w:p>
    <w:p>
      <w:pPr>
        <w:pStyle w:val="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Footnotesection"/>
      </w:pPr>
      <w:r>
        <w:tab/>
        <w:t>[Section 32 inserted by No. 17 of 2016 s. 27.]</w:t>
      </w:r>
    </w:p>
    <w:p>
      <w:pPr>
        <w:pStyle w:val="Heading5"/>
      </w:pPr>
      <w:bookmarkStart w:id="53" w:name="_Toc473101967"/>
      <w:r>
        <w:rPr>
          <w:rStyle w:val="CharSectno"/>
        </w:rPr>
        <w:t>33</w:t>
      </w:r>
      <w:r>
        <w:t>.</w:t>
      </w:r>
      <w:r>
        <w:tab/>
        <w:t>Review of detention under continuing detention order</w:t>
      </w:r>
      <w:bookmarkEnd w:id="53"/>
    </w:p>
    <w:p>
      <w:pPr>
        <w:pStyle w:val="Subsection"/>
      </w:pPr>
      <w:r>
        <w:tab/>
        <w:t>(1)</w:t>
      </w:r>
      <w:r>
        <w:tab/>
        <w:t xml:space="preserve">On a review of a person’s detention under section 31 — </w:t>
      </w:r>
    </w:p>
    <w:p>
      <w:pPr>
        <w:pStyle w:val="Indenta"/>
      </w:pPr>
      <w:r>
        <w:tab/>
        <w:t>(a)</w:t>
      </w:r>
      <w:r>
        <w:tab/>
        <w:t>if the court does not find that the person remains a serious danger to the community it must rescind the continuing detention order; or</w:t>
      </w:r>
    </w:p>
    <w:p>
      <w:pPr>
        <w:pStyle w:val="Indenta"/>
      </w:pPr>
      <w:r>
        <w:tab/>
        <w:t>(b)</w:t>
      </w:r>
      <w:r>
        <w:tab/>
        <w:t xml:space="preserve">if the court finds that the person remains a serious danger to the community it must — </w:t>
      </w:r>
    </w:p>
    <w:p>
      <w:pPr>
        <w:pStyle w:val="Indenti"/>
      </w:pPr>
      <w:r>
        <w:tab/>
        <w:t>(i)</w:t>
      </w:r>
      <w:r>
        <w:tab/>
        <w:t>affirm the continuing detention order; or</w:t>
      </w:r>
    </w:p>
    <w:p>
      <w:pPr>
        <w:pStyle w:val="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Ednotesubsection"/>
      </w:pPr>
      <w:r>
        <w:tab/>
        <w:t>[(2)</w:t>
      </w:r>
      <w:r>
        <w:tab/>
        <w:t>deleted]</w:t>
      </w:r>
    </w:p>
    <w:p>
      <w:pPr>
        <w:pStyle w:val="Subsection"/>
      </w:pPr>
      <w:r>
        <w:tab/>
        <w:t>(3)</w:t>
      </w:r>
      <w:r>
        <w:tab/>
        <w:t>In making a decision under subsection (1)(b), the paramount consideration is to be the need to ensure adequate protection of the community.</w:t>
      </w:r>
    </w:p>
    <w:p>
      <w:pPr>
        <w:pStyle w:val="Footnotesection"/>
      </w:pPr>
      <w:r>
        <w:tab/>
        <w:t>[Section 33 amended by No. 17 of 2016 s. 28.]</w:t>
      </w:r>
    </w:p>
    <w:p>
      <w:pPr>
        <w:pStyle w:val="Heading2"/>
      </w:pPr>
      <w:bookmarkStart w:id="54" w:name="_Toc473101968"/>
      <w:r>
        <w:rPr>
          <w:rStyle w:val="CharPartNo"/>
        </w:rPr>
        <w:t>Part 4</w:t>
      </w:r>
      <w:r>
        <w:rPr>
          <w:rStyle w:val="CharDivNo"/>
        </w:rPr>
        <w:t> </w:t>
      </w:r>
      <w:r>
        <w:t>—</w:t>
      </w:r>
      <w:r>
        <w:rPr>
          <w:rStyle w:val="CharDivText"/>
        </w:rPr>
        <w:t> </w:t>
      </w:r>
      <w:r>
        <w:rPr>
          <w:rStyle w:val="CharPartText"/>
        </w:rPr>
        <w:t>Appeals</w:t>
      </w:r>
      <w:bookmarkEnd w:id="54"/>
    </w:p>
    <w:p>
      <w:pPr>
        <w:pStyle w:val="Heading5"/>
      </w:pPr>
      <w:bookmarkStart w:id="55" w:name="_Toc473101969"/>
      <w:r>
        <w:rPr>
          <w:rStyle w:val="CharSectno"/>
        </w:rPr>
        <w:t>34</w:t>
      </w:r>
      <w:r>
        <w:t>.</w:t>
      </w:r>
      <w:r>
        <w:tab/>
        <w:t>Appeals</w:t>
      </w:r>
      <w:bookmarkEnd w:id="55"/>
    </w:p>
    <w:p>
      <w:pPr>
        <w:pStyle w:val="Subsection"/>
      </w:pPr>
      <w:r>
        <w:tab/>
        <w:t>(1)</w:t>
      </w:r>
      <w:r>
        <w:tab/>
        <w:t>The DPP or a person in relation to whom the court makes a decision under this Act, other than this Part,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Footnotesection"/>
      </w:pPr>
      <w:r>
        <w:tab/>
        <w:t>[Section 34 amended by No. 17 of 2016 s. 29.]</w:t>
      </w:r>
    </w:p>
    <w:p>
      <w:pPr>
        <w:pStyle w:val="Heading5"/>
      </w:pPr>
      <w:bookmarkStart w:id="56" w:name="_Toc473101970"/>
      <w:r>
        <w:rPr>
          <w:rStyle w:val="CharSectno"/>
        </w:rPr>
        <w:t>35</w:t>
      </w:r>
      <w:r>
        <w:t>.</w:t>
      </w:r>
      <w:r>
        <w:tab/>
        <w:t>Appeal does not stay decision</w:t>
      </w:r>
      <w:bookmarkEnd w:id="56"/>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Footnotesection"/>
      </w:pPr>
      <w:r>
        <w:tab/>
        <w:t>[Section 35 amended by No. 17 of 2016 s. 30.]</w:t>
      </w:r>
    </w:p>
    <w:p>
      <w:pPr>
        <w:pStyle w:val="Heading5"/>
      </w:pPr>
      <w:bookmarkStart w:id="57" w:name="_Toc473101971"/>
      <w:r>
        <w:rPr>
          <w:rStyle w:val="CharSectno"/>
        </w:rPr>
        <w:t>36</w:t>
      </w:r>
      <w:r>
        <w:t>.</w:t>
      </w:r>
      <w:r>
        <w:tab/>
        <w:t>Dealing with appeal</w:t>
      </w:r>
      <w:bookmarkEnd w:id="57"/>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58" w:name="_Toc473101972"/>
      <w:r>
        <w:rPr>
          <w:rStyle w:val="CharPartNo"/>
        </w:rPr>
        <w:t>Part 5</w:t>
      </w:r>
      <w:r>
        <w:rPr>
          <w:rStyle w:val="CharDivNo"/>
        </w:rPr>
        <w:t> </w:t>
      </w:r>
      <w:r>
        <w:t>—</w:t>
      </w:r>
      <w:r>
        <w:rPr>
          <w:rStyle w:val="CharDivText"/>
        </w:rPr>
        <w:t> </w:t>
      </w:r>
      <w:r>
        <w:rPr>
          <w:rStyle w:val="CharPartText"/>
        </w:rPr>
        <w:t>Reports</w:t>
      </w:r>
      <w:bookmarkEnd w:id="58"/>
    </w:p>
    <w:p>
      <w:pPr>
        <w:pStyle w:val="Footnoteheading"/>
      </w:pPr>
      <w:r>
        <w:tab/>
        <w:t>[Heading inserted by No. 17 of 2016 s. 31.]</w:t>
      </w:r>
    </w:p>
    <w:p>
      <w:pPr>
        <w:pStyle w:val="Heading5"/>
      </w:pPr>
      <w:bookmarkStart w:id="59" w:name="_Toc473101973"/>
      <w:r>
        <w:rPr>
          <w:rStyle w:val="CharSectno"/>
        </w:rPr>
        <w:t>37A</w:t>
      </w:r>
      <w:r>
        <w:t>.</w:t>
      </w:r>
      <w:r>
        <w:tab/>
        <w:t>Terms used</w:t>
      </w:r>
      <w:bookmarkEnd w:id="59"/>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14(2)(a) or (ba), 23A(a) or (b) or 32(1) or (2);</w:t>
      </w:r>
    </w:p>
    <w:p>
      <w:pPr>
        <w:pStyle w:val="Defstart"/>
      </w:pPr>
      <w:r>
        <w:rPr>
          <w:b/>
        </w:rPr>
        <w:tab/>
      </w:r>
      <w:r>
        <w:rPr>
          <w:rStyle w:val="CharDefText"/>
        </w:rPr>
        <w:t>reporter</w:t>
      </w:r>
      <w:r>
        <w:t xml:space="preserve"> means —</w:t>
      </w:r>
    </w:p>
    <w:p>
      <w:pPr>
        <w:pStyle w:val="Defpara"/>
      </w:pPr>
      <w:r>
        <w:tab/>
        <w:t>(a)</w:t>
      </w:r>
      <w:r>
        <w:tab/>
        <w:t>a qualified expert ordered or engaged to provide a report in relation to a person under section 37; or</w:t>
      </w:r>
    </w:p>
    <w:p>
      <w:pPr>
        <w:pStyle w:val="Defpara"/>
      </w:pPr>
      <w:r>
        <w:tab/>
        <w:t>(b)</w:t>
      </w:r>
      <w:r>
        <w:tab/>
        <w:t>a person or body ordered or engaged to provide a report in relation to a person under section 38A;</w:t>
      </w:r>
    </w:p>
    <w:p>
      <w:pPr>
        <w:pStyle w:val="Defstart"/>
      </w:pPr>
      <w:r>
        <w:rPr>
          <w:b/>
        </w:rPr>
        <w:tab/>
      </w:r>
      <w:r>
        <w:rPr>
          <w:rStyle w:val="CharDefText"/>
        </w:rPr>
        <w:t xml:space="preserve">subject </w:t>
      </w:r>
      <w:r>
        <w:t>means a person in relation to whom a report is to be prepared in accordance with</w:t>
      </w:r>
      <w:r>
        <w:rPr>
          <w:rStyle w:val="CharDefText"/>
          <w:b w:val="0"/>
          <w:i w:val="0"/>
        </w:rPr>
        <w:t xml:space="preserve"> section</w:t>
      </w:r>
      <w:r>
        <w:rPr>
          <w:b/>
        </w:rPr>
        <w:t> </w:t>
      </w:r>
      <w:r>
        <w:t>37 or 38A.</w:t>
      </w:r>
    </w:p>
    <w:p>
      <w:pPr>
        <w:pStyle w:val="Footnotesection"/>
      </w:pPr>
      <w:r>
        <w:tab/>
        <w:t>[Section 37A inserted by No. 17 of 2016 s. 32.]</w:t>
      </w:r>
    </w:p>
    <w:p>
      <w:pPr>
        <w:pStyle w:val="Heading5"/>
      </w:pPr>
      <w:bookmarkStart w:id="60" w:name="_Toc473101974"/>
      <w:r>
        <w:rPr>
          <w:rStyle w:val="CharSectno"/>
        </w:rPr>
        <w:t>37B</w:t>
      </w:r>
      <w:r>
        <w:t>.</w:t>
      </w:r>
      <w:r>
        <w:tab/>
        <w:t>Authority to examine</w:t>
      </w:r>
      <w:bookmarkEnd w:id="60"/>
    </w:p>
    <w:p>
      <w:pPr>
        <w:pStyle w:val="Subsection"/>
      </w:pPr>
      <w:r>
        <w:tab/>
      </w:r>
      <w:r>
        <w:tab/>
        <w:t>This section authorises a reporter to examine a subject and to report in accordance with section 37 or 38A.</w:t>
      </w:r>
    </w:p>
    <w:p>
      <w:pPr>
        <w:pStyle w:val="Footnotesection"/>
      </w:pPr>
      <w:r>
        <w:tab/>
        <w:t>[Section 37B inserted by No. 17 of 2016 s. 32.]</w:t>
      </w:r>
    </w:p>
    <w:p>
      <w:pPr>
        <w:pStyle w:val="Heading5"/>
      </w:pPr>
      <w:bookmarkStart w:id="61" w:name="_Toc473101975"/>
      <w:r>
        <w:rPr>
          <w:rStyle w:val="CharSectno"/>
        </w:rPr>
        <w:t>37</w:t>
      </w:r>
      <w:r>
        <w:t>.</w:t>
      </w:r>
      <w:r>
        <w:tab/>
        <w:t>Preparation of report by qualified expert</w:t>
      </w:r>
      <w:bookmarkEnd w:id="61"/>
    </w:p>
    <w:p>
      <w:pPr>
        <w:pStyle w:val="Subsection"/>
      </w:pPr>
      <w:r>
        <w:tab/>
        <w:t>(1)</w:t>
      </w:r>
      <w:r>
        <w:tab/>
        <w:t xml:space="preserve">A qualified expert ordered or engaged to provide a report in relation to a person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risk that, if the subject were not subject to a continuing detention order or a supervision order, the subject would commit a serious sexual offence; and</w:t>
      </w:r>
    </w:p>
    <w:p>
      <w:pPr>
        <w:pStyle w:val="Indenta"/>
      </w:pPr>
      <w:r>
        <w:tab/>
        <w:t>(b)</w:t>
      </w:r>
      <w:r>
        <w:tab/>
        <w:t>the reasons for the reporter’s assessment.</w:t>
      </w:r>
    </w:p>
    <w:p>
      <w:pPr>
        <w:pStyle w:val="Subsection"/>
      </w:pPr>
      <w:r>
        <w:tab/>
        <w:t>(3)</w:t>
      </w:r>
      <w:r>
        <w:tab/>
        <w:t>The reporter must have regard to any report or information given under section 38(1).</w:t>
      </w:r>
    </w:p>
    <w:p>
      <w:pPr>
        <w:pStyle w:val="Subsection"/>
      </w:pPr>
      <w:r>
        <w:tab/>
        <w:t>(4)</w:t>
      </w:r>
      <w:r>
        <w:tab/>
        <w:t>The reporter must prepare the report even if the subject does not cooperate, or does not cooperate fully, in the examination.</w:t>
      </w:r>
    </w:p>
    <w:p>
      <w:pPr>
        <w:pStyle w:val="Footnotesection"/>
      </w:pPr>
      <w:r>
        <w:tab/>
        <w:t>[Section 37 inserted by No. 17 of 2016 s. 33.]</w:t>
      </w:r>
    </w:p>
    <w:p>
      <w:pPr>
        <w:pStyle w:val="Heading5"/>
      </w:pPr>
      <w:bookmarkStart w:id="62" w:name="_Toc473101976"/>
      <w:r>
        <w:rPr>
          <w:rStyle w:val="CharSectno"/>
        </w:rPr>
        <w:t>38A</w:t>
      </w:r>
      <w:r>
        <w:t>.</w:t>
      </w:r>
      <w:r>
        <w:tab/>
        <w:t>Preparation of other report</w:t>
      </w:r>
      <w:bookmarkEnd w:id="62"/>
    </w:p>
    <w:p>
      <w:pPr>
        <w:pStyle w:val="Subsection"/>
      </w:pPr>
      <w:r>
        <w:tab/>
        <w:t>(1)</w:t>
      </w:r>
      <w:r>
        <w:tab/>
        <w:t xml:space="preserve">A person or body ordered or engaged to provide a report in relation to a person under this section must — </w:t>
      </w:r>
    </w:p>
    <w:p>
      <w:pPr>
        <w:pStyle w:val="Indenta"/>
      </w:pPr>
      <w:r>
        <w:tab/>
        <w:t>(a)</w:t>
      </w:r>
      <w:r>
        <w:tab/>
        <w:t xml:space="preserve">examine the subject, if in their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 </w:t>
      </w:r>
    </w:p>
    <w:p>
      <w:pPr>
        <w:pStyle w:val="Indenta"/>
      </w:pPr>
      <w:r>
        <w:tab/>
        <w:t>(a)</w:t>
      </w:r>
      <w:r>
        <w:tab/>
        <w:t>set out 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38(2A).</w:t>
      </w:r>
    </w:p>
    <w:p>
      <w:pPr>
        <w:pStyle w:val="Subsection"/>
      </w:pPr>
      <w:r>
        <w:tab/>
        <w:t>(4)</w:t>
      </w:r>
      <w:r>
        <w:tab/>
        <w:t>The reporter must prepare the report even if the subject does not cooperate, or does not cooperate fully, in any examination the reporter considers necessary or desirable.</w:t>
      </w:r>
    </w:p>
    <w:p>
      <w:pPr>
        <w:pStyle w:val="Footnotesection"/>
      </w:pPr>
      <w:r>
        <w:tab/>
        <w:t>[Section 38A inserted by No. 17 of 2016 s. 33.]</w:t>
      </w:r>
    </w:p>
    <w:p>
      <w:pPr>
        <w:pStyle w:val="Heading5"/>
      </w:pPr>
      <w:bookmarkStart w:id="63" w:name="_Toc473101977"/>
      <w:r>
        <w:rPr>
          <w:rStyle w:val="CharSectno"/>
        </w:rPr>
        <w:t>38</w:t>
      </w:r>
      <w:r>
        <w:t>.</w:t>
      </w:r>
      <w:r>
        <w:tab/>
        <w:t>Providing information to reporter</w:t>
      </w:r>
      <w:bookmarkEnd w:id="63"/>
    </w:p>
    <w:p>
      <w:pPr>
        <w:pStyle w:val="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Indenta"/>
      </w:pPr>
      <w:r>
        <w:tab/>
        <w:t>(a)</w:t>
      </w:r>
      <w:r>
        <w:tab/>
        <w:t>that is in the chief executive officer’s possession or to which the chief executive officer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(2B)</w:t>
      </w:r>
      <w:r>
        <w:tab/>
        <w:t xml:space="preserve">Before giving any document to a reporter under subsection (1) or (2A) the chief executive officer may edit the document to remove or erase any material — </w:t>
      </w:r>
    </w:p>
    <w:p>
      <w:pPr>
        <w:pStyle w:val="Indenta"/>
      </w:pPr>
      <w:r>
        <w:tab/>
        <w:t>(a)</w:t>
      </w:r>
      <w:r>
        <w:tab/>
        <w:t>that would identify any person other than the subject; or</w:t>
      </w:r>
    </w:p>
    <w:p>
      <w:pPr>
        <w:pStyle w:val="Indenta"/>
      </w:pPr>
      <w:r>
        <w:tab/>
        <w:t>(b)</w:t>
      </w:r>
      <w:r>
        <w:tab/>
        <w:t>where a report is to be prepared under section 37, that does not relate to the subject; or</w:t>
      </w:r>
    </w:p>
    <w:p>
      <w:pPr>
        <w:pStyle w:val="Indenta"/>
      </w:pPr>
      <w:r>
        <w:tab/>
        <w:t>(c)</w:t>
      </w:r>
      <w:r>
        <w:tab/>
        <w:t>where a report is to be prepared under section 38A, that is not relevant to the questions and topics to be addressed in the report.</w:t>
      </w:r>
    </w:p>
    <w:p>
      <w:pPr>
        <w:pStyle w:val="Subsection"/>
      </w:pPr>
      <w:r>
        <w:tab/>
        <w:t>(2)</w:t>
      </w:r>
      <w:r>
        <w:tab/>
        <w:t>The chief executive officer must give to the DPP a copy of anything that the chief executive officer gives to a reporter under subsection (1) or (2A).</w:t>
      </w:r>
    </w:p>
    <w:p>
      <w:pPr>
        <w:pStyle w:val="Subsection"/>
      </w:pPr>
      <w:r>
        <w:tab/>
        <w:t>(3)</w:t>
      </w:r>
      <w:r>
        <w:tab/>
        <w:t>A person in possession of any medical, psychiatric, prison, or other relevant report or information relating to the subject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Footnotesection"/>
      </w:pPr>
      <w:r>
        <w:tab/>
        <w:t>[Section 38 amended by No. 17 of 2016 s. 34.]</w:t>
      </w:r>
    </w:p>
    <w:p>
      <w:pPr>
        <w:pStyle w:val="Heading5"/>
      </w:pPr>
      <w:bookmarkStart w:id="64" w:name="_Toc473101978"/>
      <w:r>
        <w:rPr>
          <w:rStyle w:val="CharSectno"/>
        </w:rPr>
        <w:t>39</w:t>
      </w:r>
      <w:r>
        <w:t>.</w:t>
      </w:r>
      <w:r>
        <w:tab/>
        <w:t>Copies of report to DPP and subject</w:t>
      </w:r>
      <w:bookmarkEnd w:id="64"/>
    </w:p>
    <w:p>
      <w:pPr>
        <w:pStyle w:val="Subsection"/>
      </w:pPr>
      <w:r>
        <w:tab/>
        <w:t>(1)</w:t>
      </w:r>
      <w:r>
        <w:tab/>
        <w:t>A reporter who prepares a report under section 37 or 38A must give a copy of the report to the DPP within 7 days after finalising the report.</w:t>
      </w:r>
    </w:p>
    <w:p>
      <w:pPr>
        <w:pStyle w:val="Subsection"/>
      </w:pPr>
      <w:r>
        <w:tab/>
        <w:t>(2)</w:t>
      </w:r>
      <w:r>
        <w:tab/>
        <w:t>Before the end of the day after the day on which the DPP receives a report under subsection (1), the DPP must give a copy of the report to the subject.</w:t>
      </w:r>
    </w:p>
    <w:p>
      <w:pPr>
        <w:pStyle w:val="Footnotesection"/>
      </w:pPr>
      <w:r>
        <w:tab/>
        <w:t>[Section 39 inserted by No. 17 of 2016 s. 35.]</w:t>
      </w:r>
    </w:p>
    <w:p>
      <w:pPr>
        <w:pStyle w:val="Heading2"/>
      </w:pPr>
      <w:bookmarkStart w:id="65" w:name="_Toc473101979"/>
      <w:r>
        <w:rPr>
          <w:rStyle w:val="CharPartNo"/>
        </w:rPr>
        <w:t>Part 6</w:t>
      </w:r>
      <w:r>
        <w:rPr>
          <w:rStyle w:val="CharDivNo"/>
        </w:rPr>
        <w:t> </w:t>
      </w:r>
      <w:r>
        <w:t>—</w:t>
      </w:r>
      <w:r>
        <w:rPr>
          <w:rStyle w:val="CharDivText"/>
        </w:rPr>
        <w:t> </w:t>
      </w:r>
      <w:r>
        <w:rPr>
          <w:rStyle w:val="CharPartText"/>
        </w:rPr>
        <w:t>General</w:t>
      </w:r>
      <w:bookmarkEnd w:id="65"/>
    </w:p>
    <w:p>
      <w:pPr>
        <w:pStyle w:val="Heading5"/>
      </w:pPr>
      <w:bookmarkStart w:id="66" w:name="_Toc473101980"/>
      <w:r>
        <w:rPr>
          <w:rStyle w:val="CharSectno"/>
        </w:rPr>
        <w:t>40AA</w:t>
      </w:r>
      <w:r>
        <w:t>.</w:t>
      </w:r>
      <w:r>
        <w:tab/>
        <w:t>Mentally unfit offender</w:t>
      </w:r>
      <w:bookmarkEnd w:id="66"/>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Footnotesection"/>
      </w:pPr>
      <w:r>
        <w:tab/>
        <w:t>[Section 40AA inserted by No. 17 of 2016 s. 36.]</w:t>
      </w:r>
    </w:p>
    <w:p>
      <w:pPr>
        <w:pStyle w:val="Heading5"/>
      </w:pPr>
      <w:bookmarkStart w:id="67" w:name="_Toc473101981"/>
      <w:r>
        <w:rPr>
          <w:rStyle w:val="CharSectno"/>
        </w:rPr>
        <w:t>40A</w:t>
      </w:r>
      <w:r>
        <w:t>.</w:t>
      </w:r>
      <w:r>
        <w:tab/>
        <w:t>Offence of contravening supervision order</w:t>
      </w:r>
      <w:bookmarkEnd w:id="67"/>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keepNext/>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68" w:name="_Toc473101982"/>
      <w:r>
        <w:rPr>
          <w:rStyle w:val="CharSectno"/>
        </w:rPr>
        <w:t>40B</w:t>
      </w:r>
      <w:r>
        <w:t>.</w:t>
      </w:r>
      <w:r>
        <w:tab/>
        <w:t>Procedure on some charges of offences under s. 40A</w:t>
      </w:r>
      <w:bookmarkEnd w:id="68"/>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69" w:name="_Toc473101983"/>
      <w:r>
        <w:rPr>
          <w:rStyle w:val="CharSectno"/>
        </w:rPr>
        <w:t>40</w:t>
      </w:r>
      <w:r>
        <w:t>.</w:t>
      </w:r>
      <w:r>
        <w:tab/>
        <w:t>Proceedings to be criminal proceedings</w:t>
      </w:r>
      <w:bookmarkEnd w:id="69"/>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7(2).</w:t>
      </w:r>
    </w:p>
    <w:p>
      <w:pPr>
        <w:pStyle w:val="Footnotesection"/>
      </w:pPr>
      <w:r>
        <w:tab/>
        <w:t>[Section 40 amended by No. 17 of 2016 s. 37.]</w:t>
      </w:r>
    </w:p>
    <w:p>
      <w:pPr>
        <w:pStyle w:val="Heading5"/>
      </w:pPr>
      <w:bookmarkStart w:id="70" w:name="_Toc473101984"/>
      <w:r>
        <w:rPr>
          <w:rStyle w:val="CharSectno"/>
        </w:rPr>
        <w:t>41</w:t>
      </w:r>
      <w:r>
        <w:t>.</w:t>
      </w:r>
      <w:r>
        <w:tab/>
        <w:t>Deciding certain matters on the papers</w:t>
      </w:r>
      <w:bookmarkEnd w:id="70"/>
      <w:r>
        <w:t xml:space="preserve"> </w:t>
      </w:r>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keepNext/>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 /</w:t>
      </w:r>
    </w:p>
    <w:p>
      <w:pPr>
        <w:pStyle w:val="Indenta"/>
      </w:pPr>
      <w:r>
        <w:tab/>
        <w:t>(b)</w:t>
      </w:r>
      <w:r>
        <w:tab/>
        <w:t>anything relevant contained in the official transcript of any relevant proceeding against the offender or person subject to the order; or</w:t>
      </w:r>
    </w:p>
    <w:p>
      <w:pPr>
        <w:pStyle w:val="Indenta"/>
      </w:pPr>
      <w:r>
        <w:tab/>
        <w:t>(c)</w:t>
      </w:r>
      <w:r>
        <w:tab/>
        <w:t>any relevant material that was tendered to the court, or that informed the court, in a relevant proceeding against the offender or person subject to the order; or</w:t>
      </w:r>
    </w:p>
    <w:p>
      <w:pPr>
        <w:pStyle w:val="Indenta"/>
      </w:pPr>
      <w:r>
        <w:tab/>
        <w:t>(d)</w:t>
      </w:r>
      <w:r>
        <w:tab/>
        <w:t>any relevant material of the kind mentioned in section 7(3) relating to the offender or person subject to the order.</w:t>
      </w:r>
    </w:p>
    <w:p>
      <w:pPr>
        <w:pStyle w:val="Footnotesection"/>
      </w:pPr>
      <w:r>
        <w:tab/>
        <w:t>[Section 41 amended by No. 17 of 2016 s. 38.]</w:t>
      </w:r>
    </w:p>
    <w:p>
      <w:pPr>
        <w:pStyle w:val="Heading5"/>
      </w:pPr>
      <w:bookmarkStart w:id="71" w:name="_Toc473101985"/>
      <w:r>
        <w:rPr>
          <w:rStyle w:val="CharSectno"/>
        </w:rPr>
        <w:t>42</w:t>
      </w:r>
      <w:r>
        <w:t>.</w:t>
      </w:r>
      <w:r>
        <w:tab/>
        <w:t>Evidence in certain hearings</w:t>
      </w:r>
      <w:bookmarkEnd w:id="71"/>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 xml:space="preserve">any document relevant to a person’s antecedents or criminal record; </w:t>
      </w:r>
    </w:p>
    <w:p>
      <w:pPr>
        <w:pStyle w:val="Indenta"/>
      </w:pPr>
      <w:r>
        <w:tab/>
        <w:t>(b)</w:t>
      </w:r>
      <w:r>
        <w:tab/>
        <w:t xml:space="preserve">anything relevant contained in the official transcript of any relevant proceeding against a person; or </w:t>
      </w:r>
    </w:p>
    <w:p>
      <w:pPr>
        <w:pStyle w:val="Indenta"/>
      </w:pPr>
      <w:r>
        <w:tab/>
        <w:t>(c)</w:t>
      </w:r>
      <w:r>
        <w:tab/>
        <w:t>any relevant material that was tendered to the court, or that informed the court, in a relevant proceeding against a person; or</w:t>
      </w:r>
    </w:p>
    <w:p>
      <w:pPr>
        <w:pStyle w:val="Indenta"/>
      </w:pPr>
      <w:r>
        <w:tab/>
        <w:t>(d)</w:t>
      </w:r>
      <w:r>
        <w:tab/>
        <w:t>any relevant material of the kind mentioned in section 7(3) relating to a person.</w:t>
      </w:r>
    </w:p>
    <w:p>
      <w:pPr>
        <w:pStyle w:val="Footnotesection"/>
      </w:pPr>
      <w:r>
        <w:tab/>
        <w:t>[Section 42 amended by No. 17 of 2016 s. 39.]</w:t>
      </w:r>
    </w:p>
    <w:p>
      <w:pPr>
        <w:pStyle w:val="Heading5"/>
      </w:pPr>
      <w:bookmarkStart w:id="72" w:name="_Toc473101986"/>
      <w:r>
        <w:rPr>
          <w:rStyle w:val="CharSectno"/>
        </w:rPr>
        <w:t>43</w:t>
      </w:r>
      <w:r>
        <w:t>.</w:t>
      </w:r>
      <w:r>
        <w:tab/>
        <w:t>Court may give directions</w:t>
      </w:r>
      <w:bookmarkEnd w:id="72"/>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42(4); or</w:t>
      </w:r>
    </w:p>
    <w:p>
      <w:pPr>
        <w:pStyle w:val="Indenta"/>
      </w:pPr>
      <w:r>
        <w:tab/>
        <w:t>(b)</w:t>
      </w:r>
      <w:r>
        <w:tab/>
        <w:t>otherwise in relation to the conduct of a proceeding under this Act.</w:t>
      </w:r>
    </w:p>
    <w:p>
      <w:pPr>
        <w:pStyle w:val="Footnotesection"/>
      </w:pPr>
      <w:r>
        <w:tab/>
        <w:t>[Section 43 amended by No. 17 of 2016 s. 40.]</w:t>
      </w:r>
    </w:p>
    <w:p>
      <w:pPr>
        <w:pStyle w:val="Heading5"/>
      </w:pPr>
      <w:bookmarkStart w:id="73" w:name="_Toc473101987"/>
      <w:r>
        <w:rPr>
          <w:rStyle w:val="CharSectno"/>
        </w:rPr>
        <w:t>44</w:t>
      </w:r>
      <w:r>
        <w:t>.</w:t>
      </w:r>
      <w:r>
        <w:tab/>
        <w:t>Appearance at hearings</w:t>
      </w:r>
      <w:bookmarkEnd w:id="73"/>
    </w:p>
    <w:p>
      <w:pPr>
        <w:pStyle w:val="Subsection"/>
      </w:pPr>
      <w:r>
        <w:tab/>
        <w:t>(1A)</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Subsection"/>
      </w:pPr>
      <w:r>
        <w:tab/>
        <w:t>(3)</w:t>
      </w:r>
      <w:r>
        <w:tab/>
        <w:t>The court may direct that a person entitled under this section to appear is to appear by means of a video link or an audio link.</w:t>
      </w:r>
    </w:p>
    <w:p>
      <w:pPr>
        <w:pStyle w:val="Footnotesection"/>
      </w:pPr>
      <w:r>
        <w:tab/>
        <w:t>[Section 44 amended by No. 17 of 2016 s. 41.]</w:t>
      </w:r>
    </w:p>
    <w:p>
      <w:pPr>
        <w:pStyle w:val="Heading5"/>
      </w:pPr>
      <w:bookmarkStart w:id="74" w:name="_Toc473101988"/>
      <w:r>
        <w:rPr>
          <w:rStyle w:val="CharSectno"/>
        </w:rPr>
        <w:t>45</w:t>
      </w:r>
      <w:r>
        <w:t>.</w:t>
      </w:r>
      <w:r>
        <w:tab/>
        <w:t>Warrant of commitment upon order for detention</w:t>
      </w:r>
      <w:bookmarkEnd w:id="74"/>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75" w:name="_Toc473101989"/>
      <w:r>
        <w:rPr>
          <w:rStyle w:val="CharSectno"/>
        </w:rPr>
        <w:t>46A</w:t>
      </w:r>
      <w:r>
        <w:t>.</w:t>
      </w:r>
      <w:r>
        <w:tab/>
        <w:t>Protection from personal liability</w:t>
      </w:r>
      <w:bookmarkEnd w:id="75"/>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qualified expert ordered or engaged to provide a report under section 37; or</w:t>
      </w:r>
    </w:p>
    <w:p>
      <w:pPr>
        <w:pStyle w:val="Defpara"/>
      </w:pPr>
      <w:r>
        <w:tab/>
        <w:t>(d)</w:t>
      </w:r>
      <w:r>
        <w:tab/>
        <w:t>a person or body ordered or engaged to provide a report under section 38A.</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 amended by No. 17 of 2016 s. 42.]</w:t>
      </w:r>
    </w:p>
    <w:p>
      <w:pPr>
        <w:pStyle w:val="Heading5"/>
      </w:pPr>
      <w:bookmarkStart w:id="76" w:name="_Toc473101990"/>
      <w:r>
        <w:rPr>
          <w:rStyle w:val="CharSectno"/>
        </w:rPr>
        <w:t>46B</w:t>
      </w:r>
      <w:r>
        <w:t>.</w:t>
      </w:r>
      <w:r>
        <w:tab/>
        <w:t>Exchange of information</w:t>
      </w:r>
      <w:bookmarkEnd w:id="76"/>
    </w:p>
    <w:p>
      <w:pPr>
        <w:pStyle w:val="Subsection"/>
      </w:pPr>
      <w:r>
        <w:tab/>
        <w:t>(1)</w:t>
      </w:r>
      <w:r>
        <w:tab/>
        <w:t xml:space="preserve">In this section — </w:t>
      </w:r>
    </w:p>
    <w:p>
      <w:pPr>
        <w:pStyle w:val="Defstart"/>
      </w:pPr>
      <w:r>
        <w:tab/>
      </w:r>
      <w:r>
        <w:rPr>
          <w:rStyle w:val="CharDefText"/>
        </w:rPr>
        <w:t>agency</w:t>
      </w:r>
      <w:r>
        <w:t xml:space="preserve"> means — </w:t>
      </w:r>
    </w:p>
    <w:p>
      <w:pPr>
        <w:pStyle w:val="Defpara"/>
      </w:pPr>
      <w:r>
        <w:tab/>
        <w:t>(a)</w:t>
      </w:r>
      <w:r>
        <w:tab/>
        <w:t>the Department that principally assists the Minister administering this Act; and</w:t>
      </w:r>
    </w:p>
    <w:p>
      <w:pPr>
        <w:pStyle w:val="Defpara"/>
      </w:pPr>
      <w:r>
        <w:tab/>
        <w:t>(b)</w:t>
      </w:r>
      <w:r>
        <w:tab/>
        <w:t xml:space="preserve">the Department that principally assists the Minister administering the </w:t>
      </w:r>
      <w:r>
        <w:rPr>
          <w:i/>
        </w:rPr>
        <w:t>Prisons Act 1981</w:t>
      </w:r>
      <w:r>
        <w:t>; and</w:t>
      </w:r>
    </w:p>
    <w:p>
      <w:pPr>
        <w:pStyle w:val="Defpara"/>
      </w:pPr>
      <w:r>
        <w:tab/>
        <w:t>(c)</w:t>
      </w:r>
      <w:r>
        <w:tab/>
        <w:t>the Office of the Director of Public Prosecutions; and</w:t>
      </w:r>
    </w:p>
    <w:p>
      <w:pPr>
        <w:pStyle w:val="Defpara"/>
      </w:pPr>
      <w:r>
        <w:tab/>
        <w:t>(d)</w:t>
      </w:r>
      <w:r>
        <w:tab/>
        <w:t xml:space="preserve">the Police Force of Western Australia provided for by the </w:t>
      </w:r>
      <w:r>
        <w:rPr>
          <w:i/>
        </w:rPr>
        <w:t>Police Act 1892</w:t>
      </w:r>
      <w:r>
        <w:t>; and</w:t>
      </w:r>
    </w:p>
    <w:p>
      <w:pPr>
        <w:pStyle w:val="Defpara"/>
      </w:pPr>
      <w:r>
        <w:tab/>
        <w:t>(e)</w:t>
      </w:r>
      <w:r>
        <w:tab/>
        <w:t>the Department designated as the Police Service; and</w:t>
      </w:r>
    </w:p>
    <w:p>
      <w:pPr>
        <w:pStyle w:val="Defpara"/>
      </w:pPr>
      <w:r>
        <w:tab/>
        <w:t>(f)</w:t>
      </w:r>
      <w:r>
        <w:tab/>
        <w:t>the Board;</w:t>
      </w:r>
    </w:p>
    <w:p>
      <w:pPr>
        <w:pStyle w:val="Defstart"/>
      </w:pPr>
      <w:r>
        <w:tab/>
      </w:r>
      <w:r>
        <w:rPr>
          <w:rStyle w:val="CharDefText"/>
        </w:rPr>
        <w:t xml:space="preserve">head </w:t>
      </w:r>
      <w:r>
        <w:t xml:space="preserve">means — </w:t>
      </w:r>
    </w:p>
    <w:p>
      <w:pPr>
        <w:pStyle w:val="Defpara"/>
      </w:pPr>
      <w:r>
        <w:tab/>
        <w:t>(a)</w:t>
      </w:r>
      <w:r>
        <w:tab/>
        <w:t>in relation to the Department that principally assists the Minister administering this Act, the chief executive officer of that Department; and</w:t>
      </w:r>
    </w:p>
    <w:p>
      <w:pPr>
        <w:pStyle w:val="Defpara"/>
      </w:pPr>
      <w:r>
        <w:tab/>
        <w:t>(b)</w:t>
      </w:r>
      <w:r>
        <w:tab/>
        <w:t xml:space="preserve">in relation to the Department that principally assists the Minister administering the </w:t>
      </w:r>
      <w:r>
        <w:rPr>
          <w:i/>
        </w:rPr>
        <w:t>Prisons Act 1981</w:t>
      </w:r>
      <w:r>
        <w:t>, the chief executive officer of that Department; and</w:t>
      </w:r>
    </w:p>
    <w:p>
      <w:pPr>
        <w:pStyle w:val="Defpara"/>
      </w:pPr>
      <w:r>
        <w:tab/>
        <w:t>(c)</w:t>
      </w:r>
      <w:r>
        <w:tab/>
        <w:t>in relation to the Office of the Director of Public Prosecutions, the DPP; and</w:t>
      </w:r>
    </w:p>
    <w:p>
      <w:pPr>
        <w:pStyle w:val="Defpara"/>
      </w:pPr>
      <w:r>
        <w:tab/>
        <w:t>(d)</w:t>
      </w:r>
      <w:r>
        <w:tab/>
        <w:t>in relation to the Police Force of Western Australia and the Department designated as the Police Service, the Commissioner of Police; and</w:t>
      </w:r>
    </w:p>
    <w:p>
      <w:pPr>
        <w:pStyle w:val="Defpara"/>
      </w:pPr>
      <w:r>
        <w:tab/>
        <w:t>(e)</w:t>
      </w:r>
      <w:r>
        <w:tab/>
        <w:t>in relation to the Board, the chairperson of the Board;</w:t>
      </w:r>
    </w:p>
    <w:p>
      <w:pPr>
        <w:pStyle w:val="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Footnotesection"/>
      </w:pPr>
      <w:r>
        <w:tab/>
        <w:t>[Section 46B inserted by No. 17 of 2016 s. 43.]</w:t>
      </w:r>
    </w:p>
    <w:p>
      <w:pPr>
        <w:pStyle w:val="Heading5"/>
      </w:pPr>
      <w:bookmarkStart w:id="77" w:name="_Toc473101991"/>
      <w:r>
        <w:rPr>
          <w:rStyle w:val="CharSectno"/>
        </w:rPr>
        <w:t>46</w:t>
      </w:r>
      <w:r>
        <w:t>.</w:t>
      </w:r>
      <w:r>
        <w:tab/>
        <w:t>Approved forms</w:t>
      </w:r>
      <w:bookmarkEnd w:id="77"/>
    </w:p>
    <w:p>
      <w:pPr>
        <w:pStyle w:val="Subsection"/>
      </w:pPr>
      <w:r>
        <w:tab/>
      </w:r>
      <w:r>
        <w:tab/>
        <w:t>The chief executive officer may approve forms for use under this Act.</w:t>
      </w:r>
    </w:p>
    <w:p>
      <w:pPr>
        <w:pStyle w:val="Heading5"/>
      </w:pPr>
      <w:bookmarkStart w:id="78" w:name="_Toc473101992"/>
      <w:r>
        <w:rPr>
          <w:rStyle w:val="CharSectno"/>
        </w:rPr>
        <w:t>47</w:t>
      </w:r>
      <w:r>
        <w:t>.</w:t>
      </w:r>
      <w:r>
        <w:tab/>
        <w:t>Regulations</w:t>
      </w:r>
      <w:bookmarkEnd w:id="7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9" w:name="_Toc473101993"/>
      <w:r>
        <w:rPr>
          <w:rStyle w:val="CharSectno"/>
        </w:rPr>
        <w:t>48</w:t>
      </w:r>
      <w:r>
        <w:t>.</w:t>
      </w:r>
      <w:r>
        <w:tab/>
        <w:t>Transitional provisions (Sch. 1)</w:t>
      </w:r>
      <w:bookmarkEnd w:id="79"/>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0" w:name="_Toc473101994"/>
      <w:r>
        <w:rPr>
          <w:rStyle w:val="CharSchNo"/>
        </w:rPr>
        <w:t>Schedule 1</w:t>
      </w:r>
      <w:r>
        <w:t> — </w:t>
      </w:r>
      <w:r>
        <w:rPr>
          <w:rStyle w:val="CharSchText"/>
        </w:rPr>
        <w:t>Transitional provisions</w:t>
      </w:r>
      <w:bookmarkEnd w:id="80"/>
    </w:p>
    <w:p>
      <w:pPr>
        <w:pStyle w:val="yShoulderClause"/>
      </w:pPr>
      <w:r>
        <w:t>[s. 48]</w:t>
      </w:r>
    </w:p>
    <w:p>
      <w:pPr>
        <w:pStyle w:val="yFootnoteheading"/>
      </w:pPr>
      <w:r>
        <w:tab/>
        <w:t>[Heading inserted by No. 3 of 2011 s. 16.]</w:t>
      </w:r>
    </w:p>
    <w:p>
      <w:pPr>
        <w:pStyle w:val="yHeading5"/>
        <w:spacing w:before="180"/>
      </w:pPr>
      <w:bookmarkStart w:id="81" w:name="_Toc473101995"/>
      <w:r>
        <w:rPr>
          <w:rStyle w:val="CharSClsNo"/>
        </w:rPr>
        <w:t>1</w:t>
      </w:r>
      <w:r>
        <w:t>.</w:t>
      </w:r>
      <w:r>
        <w:rPr>
          <w:b w:val="0"/>
        </w:rPr>
        <w:tab/>
      </w:r>
      <w:r>
        <w:t xml:space="preserve">Provisions for </w:t>
      </w:r>
      <w:r>
        <w:rPr>
          <w:i/>
        </w:rPr>
        <w:t>Dangerous Sexual Offenders Amendment Act 2011</w:t>
      </w:r>
      <w:bookmarkEnd w:id="81"/>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82" w:name="_Toc473101996"/>
      <w:r>
        <w:rPr>
          <w:rStyle w:val="CharSClsNo"/>
        </w:rPr>
        <w:t>2</w:t>
      </w:r>
      <w:r>
        <w:t>.</w:t>
      </w:r>
      <w:r>
        <w:tab/>
        <w:t xml:space="preserve">Provisions for </w:t>
      </w:r>
      <w:r>
        <w:rPr>
          <w:i/>
        </w:rPr>
        <w:t>Dangerous Sexual Offenders Amendment Act 2012</w:t>
      </w:r>
      <w:bookmarkEnd w:id="82"/>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4" w:name="_Toc473101997"/>
      <w:r>
        <w:t>Notes</w:t>
      </w:r>
      <w:bookmarkEnd w:id="84"/>
    </w:p>
    <w:p>
      <w:pPr>
        <w:pStyle w:val="nSubsection"/>
      </w:pPr>
      <w:r>
        <w:rPr>
          <w:vertAlign w:val="superscript"/>
        </w:rPr>
        <w:t>1</w:t>
      </w:r>
      <w:r>
        <w:tab/>
        <w:t xml:space="preserve">This reprint is a compilation as at 20 January 2017 of the </w:t>
      </w:r>
      <w:r>
        <w:rPr>
          <w:i/>
        </w:rPr>
        <w:fldChar w:fldCharType="begin"/>
      </w:r>
      <w:r>
        <w:rPr>
          <w:i/>
        </w:rPr>
        <w:instrText xml:space="preserve"> STYLEREF "Name Of Act/Reg"</w:instrText>
      </w:r>
      <w:r>
        <w:rPr>
          <w:i/>
        </w:rPr>
        <w:fldChar w:fldCharType="separate"/>
      </w:r>
      <w:r>
        <w:rPr>
          <w:i/>
          <w:noProof/>
        </w:rPr>
        <w:t>Dangerous Sexual Offenders Act 2006</w:t>
      </w:r>
      <w:r>
        <w:rPr>
          <w:i/>
        </w:rPr>
        <w:fldChar w:fldCharType="end"/>
      </w:r>
      <w:r>
        <w:t xml:space="preserve"> and includes the amendments made by the other written laws referred to in the following table.  The table also contains information about any reprint.</w:t>
      </w:r>
    </w:p>
    <w:p>
      <w:pPr>
        <w:pStyle w:val="nHeading3"/>
        <w:rPr>
          <w:snapToGrid w:val="0"/>
        </w:rPr>
      </w:pPr>
      <w:bookmarkStart w:id="85" w:name="_Toc473101998"/>
      <w: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1"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1"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1"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1"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7"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snapToGrid w:val="0"/>
              </w:rPr>
              <w:t>Dangerous Sexual Offenders Legislation Amendment Act 2016</w:t>
            </w:r>
            <w:r>
              <w:rPr>
                <w:noProof/>
              </w:rPr>
              <w:t xml:space="preserve"> Pt. 2</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Dangerous Sexual Offenders Act 2006</w:t>
            </w:r>
            <w:r>
              <w:rPr>
                <w:b/>
                <w:snapToGrid w:val="0"/>
              </w:rPr>
              <w:t xml:space="preserve"> as at 20 Jan 2017</w:t>
            </w:r>
            <w:r>
              <w:rPr>
                <w:snapToGrid w:val="0"/>
              </w:rPr>
              <w:t xml:space="preserve"> (includes amendments listed above)</w:t>
            </w:r>
          </w:p>
        </w:tc>
      </w:tr>
    </w:tbl>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87" w:name="_Toc473101999"/>
      <w:r>
        <w:rPr>
          <w:sz w:val="28"/>
        </w:rPr>
        <w:t>Defined terms</w:t>
      </w:r>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46B(1)</w:t>
      </w:r>
    </w:p>
    <w:p>
      <w:pPr>
        <w:pStyle w:val="DefinedTerms"/>
      </w:pPr>
      <w:r>
        <w:t>approved</w:t>
      </w:r>
      <w:r>
        <w:tab/>
        <w:t>19A(3)</w:t>
      </w:r>
    </w:p>
    <w:p>
      <w:pPr>
        <w:pStyle w:val="DefinedTerms"/>
      </w:pPr>
      <w:r>
        <w:t>audio link</w:t>
      </w:r>
      <w:r>
        <w:tab/>
        <w:t>44(1A)</w:t>
      </w:r>
    </w:p>
    <w:p>
      <w:pPr>
        <w:pStyle w:val="DefinedTerms"/>
      </w:pPr>
      <w:r>
        <w:t>Board</w:t>
      </w:r>
      <w:r>
        <w:tab/>
        <w:t>3(1)</w:t>
      </w:r>
    </w:p>
    <w:p>
      <w:pPr>
        <w:pStyle w:val="DefinedTerms"/>
      </w:pPr>
      <w:r>
        <w:t>chief executive officer</w:t>
      </w:r>
      <w:r>
        <w:tab/>
        <w:t>3(1)</w:t>
      </w:r>
    </w:p>
    <w:p>
      <w:pPr>
        <w:pStyle w:val="DefinedTerms"/>
      </w:pPr>
      <w:r>
        <w:t>commencement day</w:t>
      </w:r>
      <w:r>
        <w:tab/>
        <w:t>Sch. 1 cl. 1(1) and cl.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current order</w:t>
      </w:r>
      <w:r>
        <w:tab/>
        <w:t>8(4A)(a)</w:t>
      </w:r>
    </w:p>
    <w:p>
      <w:pPr>
        <w:pStyle w:val="DefinedTerms"/>
      </w:pPr>
      <w:r>
        <w:t>Division 2 order</w:t>
      </w:r>
      <w:r>
        <w:tab/>
        <w:t>3(1)</w:t>
      </w:r>
    </w:p>
    <w:p>
      <w:pPr>
        <w:pStyle w:val="DefinedTerms"/>
      </w:pPr>
      <w:r>
        <w:t>DPP</w:t>
      </w:r>
      <w:r>
        <w:tab/>
        <w:t>3(1)</w:t>
      </w:r>
    </w:p>
    <w:p>
      <w:pPr>
        <w:pStyle w:val="DefinedTerms"/>
      </w:pPr>
      <w:r>
        <w:t>expert evidence material</w:t>
      </w:r>
      <w:r>
        <w:tab/>
        <w:t>10A(1)</w:t>
      </w:r>
    </w:p>
    <w:p>
      <w:pPr>
        <w:pStyle w:val="DefinedTerms"/>
      </w:pPr>
      <w:r>
        <w:t>found not mentally fit</w:t>
      </w:r>
      <w:r>
        <w:tab/>
        <w:t>40AA(1)</w:t>
      </w:r>
    </w:p>
    <w:p>
      <w:pPr>
        <w:pStyle w:val="DefinedTerms"/>
      </w:pPr>
      <w:r>
        <w:t xml:space="preserve">head </w:t>
      </w:r>
      <w:r>
        <w:tab/>
        <w:t>46B(1)</w:t>
      </w:r>
    </w:p>
    <w:p>
      <w:pPr>
        <w:pStyle w:val="DefinedTerms"/>
      </w:pPr>
      <w:r>
        <w:t>make available</w:t>
      </w:r>
      <w:r>
        <w:tab/>
        <w:t>17A(1)</w:t>
      </w:r>
    </w:p>
    <w:p>
      <w:pPr>
        <w:pStyle w:val="DefinedTerms"/>
      </w:pPr>
      <w:r>
        <w:t>make public</w:t>
      </w:r>
      <w:r>
        <w:tab/>
        <w:t>18(1A)</w:t>
      </w:r>
    </w:p>
    <w:p>
      <w:pPr>
        <w:pStyle w:val="DefinedTerms"/>
      </w:pPr>
      <w:r>
        <w:t>offender</w:t>
      </w:r>
      <w:r>
        <w:tab/>
        <w:t>3(1), 8(1)</w:t>
      </w:r>
    </w:p>
    <w:p>
      <w:pPr>
        <w:pStyle w:val="DefinedTerms"/>
      </w:pPr>
      <w:r>
        <w:t>officer</w:t>
      </w:r>
      <w:r>
        <w:tab/>
        <w:t>46B(1)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 xml:space="preserve">psychologist </w:t>
      </w:r>
      <w:r>
        <w:tab/>
        <w:t>3(1)</w:t>
      </w:r>
    </w:p>
    <w:p>
      <w:pPr>
        <w:pStyle w:val="DefinedTerms"/>
      </w:pPr>
      <w:r>
        <w:t>qualified expert</w:t>
      </w:r>
      <w:r>
        <w:tab/>
        <w:t>3(1)</w:t>
      </w:r>
    </w:p>
    <w:p>
      <w:pPr>
        <w:pStyle w:val="DefinedTerms"/>
      </w:pPr>
      <w:r>
        <w:t>qualified psychologist</w:t>
      </w:r>
      <w:r>
        <w:tab/>
        <w:t>3(1)</w:t>
      </w:r>
    </w:p>
    <w:p>
      <w:pPr>
        <w:pStyle w:val="DefinedTerms"/>
      </w:pPr>
      <w:r>
        <w:t>relevant proceeding</w:t>
      </w:r>
      <w:r>
        <w:tab/>
        <w:t>41(1A), 42(1A)</w:t>
      </w:r>
    </w:p>
    <w:p>
      <w:pPr>
        <w:pStyle w:val="DefinedTerms"/>
      </w:pPr>
      <w:r>
        <w:t>report</w:t>
      </w:r>
      <w:r>
        <w:tab/>
        <w:t>37A</w:t>
      </w:r>
    </w:p>
    <w:p>
      <w:pPr>
        <w:pStyle w:val="DefinedTerms"/>
      </w:pPr>
      <w:r>
        <w:t>reporter</w:t>
      </w:r>
      <w:r>
        <w:tab/>
        <w:t>37A</w:t>
      </w:r>
    </w:p>
    <w:p>
      <w:pPr>
        <w:pStyle w:val="DefinedTerms"/>
      </w:pPr>
      <w:r>
        <w:t>section</w:t>
      </w:r>
      <w:r>
        <w:tab/>
        <w:t>37A</w:t>
      </w:r>
    </w:p>
    <w:p>
      <w:pPr>
        <w:pStyle w:val="DefinedTerms"/>
      </w:pPr>
      <w:r>
        <w:t>serious danger to the community</w:t>
      </w:r>
      <w:r>
        <w:tab/>
        <w:t>3(1)</w:t>
      </w:r>
    </w:p>
    <w:p>
      <w:pPr>
        <w:pStyle w:val="DefinedTerms"/>
      </w:pPr>
      <w:r>
        <w:t>serious sexual offence</w:t>
      </w:r>
      <w:r>
        <w:tab/>
        <w:t>3(1)</w:t>
      </w:r>
    </w:p>
    <w:p>
      <w:pPr>
        <w:pStyle w:val="DefinedTerms"/>
      </w:pPr>
      <w:r>
        <w:t>specified</w:t>
      </w:r>
      <w:r>
        <w:tab/>
        <w:t>19B(3)</w:t>
      </w:r>
    </w:p>
    <w:p>
      <w:pPr>
        <w:pStyle w:val="DefinedTerms"/>
      </w:pPr>
      <w:r>
        <w:t xml:space="preserve">subject </w:t>
      </w:r>
      <w:r>
        <w:tab/>
        <w:t>37A</w:t>
      </w:r>
    </w:p>
    <w:p>
      <w:pPr>
        <w:pStyle w:val="DefinedTerms"/>
      </w:pPr>
      <w:r>
        <w:t>supervision order</w:t>
      </w:r>
      <w:r>
        <w:tab/>
        <w:t>3(1)</w:t>
      </w:r>
    </w:p>
    <w:p>
      <w:pPr>
        <w:pStyle w:val="DefinedTerms"/>
      </w:pPr>
      <w:r>
        <w:t xml:space="preserve">under a custodial sentence </w:t>
      </w:r>
      <w:r>
        <w:tab/>
        <w:t>3(1)</w:t>
      </w:r>
    </w:p>
    <w:p>
      <w:pPr>
        <w:pStyle w:val="DefinedTerms"/>
        <w:keepNext/>
      </w:pPr>
      <w:r>
        <w:t>victim</w:t>
      </w:r>
      <w:r>
        <w:tab/>
        <w:t>3(1)</w:t>
      </w:r>
    </w:p>
    <w:p>
      <w:pPr>
        <w:pStyle w:val="DefinedTerms"/>
        <w:keepNext/>
      </w:pPr>
      <w:r>
        <w:t>victim submission</w:t>
      </w:r>
      <w:r>
        <w:tab/>
        <w:t>3(1)</w:t>
      </w:r>
    </w:p>
    <w:p>
      <w:pPr>
        <w:pStyle w:val="DefinedTerms"/>
      </w:pPr>
      <w:r>
        <w:t>video link</w:t>
      </w:r>
      <w:r>
        <w:tab/>
        <w:t>44(1A)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15074820"/>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 w:name="WAFER_20161018154442" w:val="RemoveTocBookmarks,RemoveUnusedBookmarks,RemoveLanguageTags,UsedStyles,ResetPageSize,RemoveCustomizations"/>
    <w:docVar w:name="WAFER_20161018154442_GUID" w:val="adc0c963-8501-45b8-9532-7e1e91fd3c95"/>
    <w:docVar w:name="WAFER_20161215074812" w:val="RemoveTocBookmarks,RemoveUnusedBookmarks,RemoveLanguageTags,UsedStyles,RemoveTrackChanges"/>
    <w:docVar w:name="WAFER_20161215074812_GUID" w:val="db2f6e4e-191e-4978-abcc-2ec61235089c"/>
    <w:docVar w:name="WAFER_20161215074820" w:val="RemoveTocBookmarks,RemoveLanguageTags,RemoveTrackChanges,RunningHeaders"/>
    <w:docVar w:name="WAFER_20161215074820_GUID" w:val="03ce103a-23a1-4c88-b9a5-f1a3462cf9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A051-3DDB-4CDA-896A-96DCD6C9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12169</Words>
  <Characters>57564</Characters>
  <Application>Microsoft Office Word</Application>
  <DocSecurity>0</DocSecurity>
  <Lines>1599</Lines>
  <Paragraphs>982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68751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2006 - 02-a0-00</dc:title>
  <dc:subject/>
  <dc:creator/>
  <cp:keywords/>
  <dc:description/>
  <cp:lastModifiedBy>svcMRProcess</cp:lastModifiedBy>
  <cp:revision>4</cp:revision>
  <cp:lastPrinted>2017-01-23T02:25:00Z</cp:lastPrinted>
  <dcterms:created xsi:type="dcterms:W3CDTF">2018-08-27T10:05:00Z</dcterms:created>
  <dcterms:modified xsi:type="dcterms:W3CDTF">2018-08-27T10:05:00Z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DocumentType">
    <vt:lpwstr>Act</vt:lpwstr>
  </property>
  <property fmtid="{D5CDD505-2E9C-101B-9397-08002B2CF9AE}" pid="5" name="ReprintedAsAt">
    <vt:filetime>2017-01-19T16:00:00Z</vt:filetime>
  </property>
  <property fmtid="{D5CDD505-2E9C-101B-9397-08002B2CF9AE}" pid="6" name="ReprintNo">
    <vt:lpwstr>2</vt:lpwstr>
  </property>
  <property fmtid="{D5CDD505-2E9C-101B-9397-08002B2CF9AE}" pid="7" name="CommencementDate">
    <vt:lpwstr>20170120</vt:lpwstr>
  </property>
  <property fmtid="{D5CDD505-2E9C-101B-9397-08002B2CF9AE}" pid="8" name="AsAtDate">
    <vt:lpwstr>20 Jan 2017</vt:lpwstr>
  </property>
  <property fmtid="{D5CDD505-2E9C-101B-9397-08002B2CF9AE}" pid="9" name="Suffix">
    <vt:lpwstr>02-a0-00</vt:lpwstr>
  </property>
</Properties>
</file>