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_Toc473105257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_Toc473105258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_Toc473105260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Determinations having an interpretive effect</w:t>
      </w:r>
    </w:p>
    <w:p>
      <w:pPr>
        <w:pStyle w:val="TOC8"/>
        <w:rPr>
          <w:rFonts w:asciiTheme="minorHAnsi" w:eastAsiaTheme="minorEastAsia" w:hAnsiTheme="minorHAnsi" w:cstheme="minorBidi"/>
          <w:szCs w:val="22"/>
        </w:rPr>
      </w:pPr>
      <w:r>
        <w:t>5</w:t>
      </w:r>
      <w:r>
        <w:rPr>
          <w:snapToGrid w:val="0"/>
        </w:rPr>
        <w:t>.</w:t>
      </w:r>
      <w:r>
        <w:rPr>
          <w:snapToGrid w:val="0"/>
        </w:rPr>
        <w:tab/>
        <w:t>Eligibility as a senior</w:t>
      </w:r>
      <w:r>
        <w:tab/>
      </w:r>
      <w:r>
        <w:fldChar w:fldCharType="begin"/>
      </w:r>
      <w:r>
        <w:instrText xml:space="preserve"> PAGEREF _Toc473105262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State concession cards for persons not otherwise eligible</w:t>
      </w:r>
      <w:r>
        <w:tab/>
      </w:r>
      <w:r>
        <w:fldChar w:fldCharType="begin"/>
      </w:r>
      <w:r>
        <w:instrText xml:space="preserve"> PAGEREF _Toc473105263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Entitlement of a person as regards land</w:t>
      </w:r>
      <w:r>
        <w:tab/>
      </w:r>
      <w:r>
        <w:fldChar w:fldCharType="begin"/>
      </w:r>
      <w:r>
        <w:instrText xml:space="preserve"> PAGEREF _Toc473105264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Administration</w:t>
      </w:r>
    </w:p>
    <w:p>
      <w:pPr>
        <w:pStyle w:val="TOC8"/>
        <w:rPr>
          <w:rFonts w:asciiTheme="minorHAnsi" w:eastAsiaTheme="minorEastAsia" w:hAnsiTheme="minorHAnsi" w:cstheme="minorBidi"/>
          <w:szCs w:val="22"/>
        </w:rPr>
      </w:pPr>
      <w:r>
        <w:t>8</w:t>
      </w:r>
      <w:r>
        <w:rPr>
          <w:snapToGrid w:val="0"/>
        </w:rPr>
        <w:t>.</w:t>
      </w:r>
      <w:r>
        <w:rPr>
          <w:snapToGrid w:val="0"/>
        </w:rPr>
        <w:tab/>
        <w:t>Purposes</w:t>
      </w:r>
      <w:r>
        <w:tab/>
      </w:r>
      <w:r>
        <w:fldChar w:fldCharType="begin"/>
      </w:r>
      <w:r>
        <w:instrText xml:space="preserve"> PAGEREF _Toc473105266 \h </w:instrText>
      </w:r>
      <w:r>
        <w:fldChar w:fldCharType="separate"/>
      </w:r>
      <w:r>
        <w:t>9</w:t>
      </w:r>
      <w:r>
        <w:fldChar w:fldCharType="end"/>
      </w:r>
    </w:p>
    <w:p>
      <w:pPr>
        <w:pStyle w:val="TOC8"/>
        <w:rPr>
          <w:rFonts w:asciiTheme="minorHAnsi" w:eastAsiaTheme="minorEastAsia" w:hAnsiTheme="minorHAnsi" w:cstheme="minorBidi"/>
          <w:szCs w:val="22"/>
        </w:rPr>
      </w:pPr>
      <w:r>
        <w:t>9.</w:t>
      </w:r>
      <w:r>
        <w:tab/>
        <w:t>Ministerial directions and procedural manuals</w:t>
      </w:r>
      <w:r>
        <w:tab/>
      </w:r>
      <w:r>
        <w:fldChar w:fldCharType="begin"/>
      </w:r>
      <w:r>
        <w:instrText xml:space="preserve"> PAGEREF _Toc473105267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of functions</w:t>
      </w:r>
      <w:r>
        <w:tab/>
      </w:r>
      <w:r>
        <w:fldChar w:fldCharType="begin"/>
      </w:r>
      <w:r>
        <w:instrText xml:space="preserve"> PAGEREF _Toc473105268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to have access to information</w:t>
      </w:r>
      <w:r>
        <w:tab/>
      </w:r>
      <w:r>
        <w:fldChar w:fldCharType="begin"/>
      </w:r>
      <w:r>
        <w:instrText xml:space="preserve"> PAGEREF _Toc473105269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Review of determinations</w:t>
      </w:r>
    </w:p>
    <w:p>
      <w:pPr>
        <w:pStyle w:val="TOC8"/>
        <w:rPr>
          <w:rFonts w:asciiTheme="minorHAnsi" w:eastAsiaTheme="minorEastAsia" w:hAnsiTheme="minorHAnsi" w:cstheme="minorBidi"/>
          <w:szCs w:val="22"/>
        </w:rPr>
      </w:pPr>
      <w:r>
        <w:t>12</w:t>
      </w:r>
      <w:r>
        <w:rPr>
          <w:snapToGrid w:val="0"/>
        </w:rPr>
        <w:t>.</w:t>
      </w:r>
      <w:r>
        <w:rPr>
          <w:snapToGrid w:val="0"/>
        </w:rPr>
        <w:tab/>
        <w:t>Determination may be referred for review</w:t>
      </w:r>
      <w:r>
        <w:tab/>
      </w:r>
      <w:r>
        <w:fldChar w:fldCharType="begin"/>
      </w:r>
      <w:r>
        <w:instrText xml:space="preserve"> PAGEREF _Toc473105271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Investigation by authorised review officer</w:t>
      </w:r>
      <w:r>
        <w:tab/>
      </w:r>
      <w:r>
        <w:fldChar w:fldCharType="begin"/>
      </w:r>
      <w:r>
        <w:instrText xml:space="preserve"> PAGEREF _Toc473105272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review or complaint</w:t>
      </w:r>
      <w:r>
        <w:tab/>
      </w:r>
      <w:r>
        <w:fldChar w:fldCharType="begin"/>
      </w:r>
      <w:r>
        <w:instrText xml:space="preserve"> PAGEREF _Toc473105273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Compensation for errors</w:t>
      </w:r>
      <w:r>
        <w:tab/>
      </w:r>
      <w:r>
        <w:fldChar w:fldCharType="begin"/>
      </w:r>
      <w:r>
        <w:instrText xml:space="preserve"> PAGEREF _Toc473105274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Reimbursement</w:t>
      </w:r>
    </w:p>
    <w:p>
      <w:pPr>
        <w:pStyle w:val="TOC8"/>
        <w:rPr>
          <w:rFonts w:asciiTheme="minorHAnsi" w:eastAsiaTheme="minorEastAsia" w:hAnsiTheme="minorHAnsi" w:cstheme="minorBidi"/>
          <w:szCs w:val="22"/>
        </w:rPr>
      </w:pPr>
      <w:r>
        <w:t>16</w:t>
      </w:r>
      <w:r>
        <w:rPr>
          <w:snapToGrid w:val="0"/>
        </w:rPr>
        <w:t>.</w:t>
      </w:r>
      <w:r>
        <w:rPr>
          <w:snapToGrid w:val="0"/>
        </w:rPr>
        <w:tab/>
        <w:t>Claims by administrative authorities</w:t>
      </w:r>
      <w:r>
        <w:tab/>
      </w:r>
      <w:r>
        <w:fldChar w:fldCharType="begin"/>
      </w:r>
      <w:r>
        <w:instrText xml:space="preserve"> PAGEREF _Toc473105276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claims for reimbursement</w:t>
      </w:r>
      <w:r>
        <w:tab/>
      </w:r>
      <w:r>
        <w:fldChar w:fldCharType="begin"/>
      </w:r>
      <w:r>
        <w:instrText xml:space="preserve"> PAGEREF _Toc473105277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w:t>
      </w:r>
      <w:r>
        <w:rPr>
          <w:snapToGrid w:val="0"/>
        </w:rPr>
        <w:t> — </w:t>
      </w:r>
      <w:r>
        <w:t>Transitional provisions</w:t>
      </w:r>
    </w:p>
    <w:p>
      <w:pPr>
        <w:pStyle w:val="TOC8"/>
        <w:rPr>
          <w:rFonts w:asciiTheme="minorHAnsi" w:eastAsiaTheme="minorEastAsia" w:hAnsiTheme="minorHAnsi" w:cstheme="minorBidi"/>
          <w:szCs w:val="22"/>
        </w:rPr>
      </w:pPr>
      <w:r>
        <w:t>18</w:t>
      </w:r>
      <w:r>
        <w:rPr>
          <w:snapToGrid w:val="0"/>
        </w:rPr>
        <w:t>.</w:t>
      </w:r>
      <w:r>
        <w:rPr>
          <w:snapToGrid w:val="0"/>
        </w:rPr>
        <w:tab/>
        <w:t>Existing registrations</w:t>
      </w:r>
      <w:r>
        <w:tab/>
      </w:r>
      <w:r>
        <w:fldChar w:fldCharType="begin"/>
      </w:r>
      <w:r>
        <w:instrText xml:space="preserve"> PAGEREF _Toc473105279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Continued deferment of past rates and charges</w:t>
      </w:r>
      <w:r>
        <w:tab/>
      </w:r>
      <w:r>
        <w:fldChar w:fldCharType="begin"/>
      </w:r>
      <w:r>
        <w:instrText xml:space="preserve"> PAGEREF _Toc473105280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Rebates or deferments previously allowable to continue to have effect on future rates and charges</w:t>
      </w:r>
      <w:r>
        <w:tab/>
      </w:r>
      <w:r>
        <w:fldChar w:fldCharType="begin"/>
      </w:r>
      <w:r>
        <w:instrText xml:space="preserve"> PAGEREF _Toc473105281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Transitional effect of existing registrations, rebates allowable, and continued deferment</w:t>
      </w:r>
      <w:r>
        <w:tab/>
      </w:r>
      <w:r>
        <w:fldChar w:fldCharType="begin"/>
      </w:r>
      <w:r>
        <w:instrText xml:space="preserve"> PAGEREF _Toc473105282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2 — Eligibility and entitlement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Eligibility</w:t>
      </w:r>
    </w:p>
    <w:p>
      <w:pPr>
        <w:pStyle w:val="TOC8"/>
        <w:rPr>
          <w:rFonts w:asciiTheme="minorHAnsi" w:eastAsiaTheme="minorEastAsia" w:hAnsiTheme="minorHAnsi" w:cstheme="minorBidi"/>
          <w:szCs w:val="22"/>
        </w:rPr>
      </w:pPr>
      <w:r>
        <w:t>22</w:t>
      </w:r>
      <w:r>
        <w:rPr>
          <w:snapToGrid w:val="0"/>
        </w:rPr>
        <w:t>.</w:t>
      </w:r>
      <w:r>
        <w:rPr>
          <w:snapToGrid w:val="0"/>
        </w:rPr>
        <w:tab/>
        <w:t>Seniors may apply for registration</w:t>
      </w:r>
      <w:r>
        <w:tab/>
      </w:r>
      <w:r>
        <w:fldChar w:fldCharType="begin"/>
      </w:r>
      <w:r>
        <w:instrText xml:space="preserve"> PAGEREF _Toc473105285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Pensioners eligible to apply for registration</w:t>
      </w:r>
      <w:r>
        <w:tab/>
      </w:r>
      <w:r>
        <w:fldChar w:fldCharType="begin"/>
      </w:r>
      <w:r>
        <w:instrText xml:space="preserve"> PAGEREF _Toc473105286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Other persons prescribed as eligible</w:t>
      </w:r>
      <w:r>
        <w:tab/>
      </w:r>
      <w:r>
        <w:fldChar w:fldCharType="begin"/>
      </w:r>
      <w:r>
        <w:instrText xml:space="preserve"> PAGEREF _Toc473105287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Means tests</w:t>
      </w:r>
      <w:r>
        <w:tab/>
      </w:r>
      <w:r>
        <w:fldChar w:fldCharType="begin"/>
      </w:r>
      <w:r>
        <w:instrText xml:space="preserve"> PAGEREF _Toc473105288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of eligibility, production of relevant card or authorisation</w:t>
      </w:r>
      <w:r>
        <w:tab/>
      </w:r>
      <w:r>
        <w:fldChar w:fldCharType="begin"/>
      </w:r>
      <w:r>
        <w:instrText xml:space="preserve"> PAGEREF _Toc473105289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Entitlement</w:t>
      </w:r>
    </w:p>
    <w:p>
      <w:pPr>
        <w:pStyle w:val="TOC8"/>
        <w:rPr>
          <w:rFonts w:asciiTheme="minorHAnsi" w:eastAsiaTheme="minorEastAsia" w:hAnsiTheme="minorHAnsi" w:cstheme="minorBidi"/>
          <w:szCs w:val="22"/>
        </w:rPr>
      </w:pPr>
      <w:r>
        <w:t>27</w:t>
      </w:r>
      <w:r>
        <w:rPr>
          <w:snapToGrid w:val="0"/>
        </w:rPr>
        <w:t>.</w:t>
      </w:r>
      <w:r>
        <w:rPr>
          <w:snapToGrid w:val="0"/>
        </w:rPr>
        <w:tab/>
        <w:t>Concept of land belonging to a person</w:t>
      </w:r>
      <w:r>
        <w:tab/>
      </w:r>
      <w:r>
        <w:fldChar w:fldCharType="begin"/>
      </w:r>
      <w:r>
        <w:instrText xml:space="preserve"> PAGEREF _Toc473105291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Proportionate interests</w:t>
      </w:r>
      <w:r>
        <w:tab/>
      </w:r>
      <w:r>
        <w:fldChar w:fldCharType="begin"/>
      </w:r>
      <w:r>
        <w:instrText xml:space="preserve"> PAGEREF _Toc473105292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Relevant interests</w:t>
      </w:r>
      <w:r>
        <w:tab/>
      </w:r>
      <w:r>
        <w:fldChar w:fldCharType="begin"/>
      </w:r>
      <w:r>
        <w:instrText xml:space="preserve"> PAGEREF _Toc473105293 \h </w:instrText>
      </w:r>
      <w:r>
        <w:fldChar w:fldCharType="separate"/>
      </w:r>
      <w:r>
        <w:t>32</w:t>
      </w:r>
      <w:r>
        <w:fldChar w:fldCharType="end"/>
      </w:r>
    </w:p>
    <w:p>
      <w:pPr>
        <w:pStyle w:val="TOC8"/>
        <w:rPr>
          <w:rFonts w:asciiTheme="minorHAnsi" w:eastAsiaTheme="minorEastAsia" w:hAnsiTheme="minorHAnsi" w:cstheme="minorBidi"/>
          <w:szCs w:val="22"/>
        </w:rPr>
      </w:pPr>
      <w:r>
        <w:t>29A.</w:t>
      </w:r>
      <w:r>
        <w:tab/>
        <w:t>Relevant interest — resident of retirement village</w:t>
      </w:r>
      <w:r>
        <w:tab/>
      </w:r>
      <w:r>
        <w:fldChar w:fldCharType="begin"/>
      </w:r>
      <w:r>
        <w:instrText xml:space="preserve"> PAGEREF _Toc473105294 \h </w:instrText>
      </w:r>
      <w:r>
        <w:fldChar w:fldCharType="separate"/>
      </w:r>
      <w:r>
        <w:t>33</w:t>
      </w:r>
      <w:r>
        <w:fldChar w:fldCharType="end"/>
      </w:r>
    </w:p>
    <w:p>
      <w:pPr>
        <w:pStyle w:val="TOC8"/>
        <w:rPr>
          <w:rFonts w:asciiTheme="minorHAnsi" w:eastAsiaTheme="minorEastAsia" w:hAnsiTheme="minorHAnsi" w:cstheme="minorBidi"/>
          <w:szCs w:val="22"/>
        </w:rPr>
      </w:pPr>
      <w:r>
        <w:t>29B.</w:t>
      </w:r>
      <w:r>
        <w:tab/>
        <w:t>Relevant interest — owner</w:t>
      </w:r>
      <w:r>
        <w:noBreakHyphen/>
        <w:t>occupier of caravan or park home</w:t>
      </w:r>
      <w:r>
        <w:tab/>
      </w:r>
      <w:r>
        <w:fldChar w:fldCharType="begin"/>
      </w:r>
      <w:r>
        <w:instrText xml:space="preserve"> PAGEREF _Toc473105295 \h </w:instrText>
      </w:r>
      <w:r>
        <w:fldChar w:fldCharType="separate"/>
      </w:r>
      <w:r>
        <w:t>35</w:t>
      </w:r>
      <w:r>
        <w:fldChar w:fldCharType="end"/>
      </w:r>
    </w:p>
    <w:p>
      <w:pPr>
        <w:pStyle w:val="TOC8"/>
        <w:rPr>
          <w:rFonts w:asciiTheme="minorHAnsi" w:eastAsiaTheme="minorEastAsia" w:hAnsiTheme="minorHAnsi" w:cstheme="minorBidi"/>
          <w:szCs w:val="22"/>
        </w:rPr>
      </w:pPr>
      <w:r>
        <w:t>29C.</w:t>
      </w:r>
      <w:r>
        <w:tab/>
        <w:t>Relevant interest — owner</w:t>
      </w:r>
      <w:r>
        <w:noBreakHyphen/>
        <w:t>occupier of relocatable home</w:t>
      </w:r>
      <w:r>
        <w:tab/>
      </w:r>
      <w:r>
        <w:fldChar w:fldCharType="begin"/>
      </w:r>
      <w:r>
        <w:instrText xml:space="preserve"> PAGEREF _Toc473105296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Ordinary place of residence, not in actual occupation</w:t>
      </w:r>
      <w:r>
        <w:tab/>
      </w:r>
      <w:r>
        <w:fldChar w:fldCharType="begin"/>
      </w:r>
      <w:r>
        <w:instrText xml:space="preserve"> PAGEREF _Toc473105297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cases of former joint occupation</w:t>
      </w:r>
      <w:r>
        <w:tab/>
      </w:r>
      <w:r>
        <w:fldChar w:fldCharType="begin"/>
      </w:r>
      <w:r>
        <w:instrText xml:space="preserve"> PAGEREF _Toc473105298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registration process</w:t>
      </w:r>
    </w:p>
    <w:p>
      <w:pPr>
        <w:pStyle w:val="TOC8"/>
        <w:rPr>
          <w:rFonts w:asciiTheme="minorHAnsi" w:eastAsiaTheme="minorEastAsia" w:hAnsiTheme="minorHAnsi" w:cstheme="minorBidi"/>
          <w:szCs w:val="22"/>
        </w:rPr>
      </w:pPr>
      <w:r>
        <w:t>32</w:t>
      </w:r>
      <w:r>
        <w:rPr>
          <w:snapToGrid w:val="0"/>
        </w:rPr>
        <w:t>.</w:t>
      </w:r>
      <w:r>
        <w:rPr>
          <w:snapToGrid w:val="0"/>
        </w:rPr>
        <w:tab/>
        <w:t>Registration</w:t>
      </w:r>
      <w:r>
        <w:tab/>
      </w:r>
      <w:r>
        <w:fldChar w:fldCharType="begin"/>
      </w:r>
      <w:r>
        <w:instrText xml:space="preserve"> PAGEREF _Toc473105300 \h </w:instrText>
      </w:r>
      <w:r>
        <w:fldChar w:fldCharType="separate"/>
      </w:r>
      <w:r>
        <w:t>41</w:t>
      </w:r>
      <w:r>
        <w:fldChar w:fldCharType="end"/>
      </w:r>
    </w:p>
    <w:p>
      <w:pPr>
        <w:pStyle w:val="TOC8"/>
        <w:rPr>
          <w:rFonts w:asciiTheme="minorHAnsi" w:eastAsiaTheme="minorEastAsia" w:hAnsiTheme="minorHAnsi" w:cstheme="minorBidi"/>
          <w:szCs w:val="22"/>
        </w:rPr>
      </w:pPr>
      <w:r>
        <w:t>32A.</w:t>
      </w:r>
      <w:r>
        <w:tab/>
        <w:t>Entitlement of surviving spouse or de facto partner</w:t>
      </w:r>
      <w:r>
        <w:tab/>
      </w:r>
      <w:r>
        <w:fldChar w:fldCharType="begin"/>
      </w:r>
      <w:r>
        <w:instrText xml:space="preserve"> PAGEREF _Toc473105301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of registration</w:t>
      </w:r>
      <w:r>
        <w:tab/>
      </w:r>
      <w:r>
        <w:fldChar w:fldCharType="begin"/>
      </w:r>
      <w:r>
        <w:instrText xml:space="preserve"> PAGEREF _Toc473105302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Change in circumstances of registered person</w:t>
      </w:r>
      <w:r>
        <w:tab/>
      </w:r>
      <w:r>
        <w:fldChar w:fldCharType="begin"/>
      </w:r>
      <w:r>
        <w:instrText xml:space="preserve"> PAGEREF _Toc473105303 \h </w:instrText>
      </w:r>
      <w:r>
        <w:fldChar w:fldCharType="separate"/>
      </w:r>
      <w:r>
        <w:t>51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registration</w:t>
      </w:r>
      <w:r>
        <w:tab/>
      </w:r>
      <w:r>
        <w:fldChar w:fldCharType="begin"/>
      </w:r>
      <w:r>
        <w:instrText xml:space="preserve"> PAGEREF _Toc473105304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Amendment or cancellation of registration</w:t>
      </w:r>
      <w:r>
        <w:tab/>
      </w:r>
      <w:r>
        <w:fldChar w:fldCharType="begin"/>
      </w:r>
      <w:r>
        <w:instrText xml:space="preserve"> PAGEREF _Toc473105305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38</w:t>
      </w:r>
      <w:r>
        <w:rPr>
          <w:snapToGrid w:val="0"/>
        </w:rPr>
        <w:t>.</w:t>
      </w:r>
      <w:r>
        <w:rPr>
          <w:snapToGrid w:val="0"/>
        </w:rPr>
        <w:tab/>
        <w:t>Offences</w:t>
      </w:r>
      <w:r>
        <w:tab/>
      </w:r>
      <w:r>
        <w:fldChar w:fldCharType="begin"/>
      </w:r>
      <w:r>
        <w:instrText xml:space="preserve"> PAGEREF _Toc473105307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Persons allowed rebate or deferment incorrectly</w:t>
      </w:r>
      <w:r>
        <w:tab/>
      </w:r>
      <w:r>
        <w:fldChar w:fldCharType="begin"/>
      </w:r>
      <w:r>
        <w:instrText xml:space="preserve"> PAGEREF _Toc473105308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3 — Rebates</w:t>
      </w:r>
    </w:p>
    <w:p>
      <w:pPr>
        <w:pStyle w:val="TOC8"/>
        <w:rPr>
          <w:rFonts w:asciiTheme="minorHAnsi" w:eastAsiaTheme="minorEastAsia" w:hAnsiTheme="minorHAnsi" w:cstheme="minorBidi"/>
          <w:szCs w:val="22"/>
        </w:rPr>
      </w:pPr>
      <w:r>
        <w:t>40.</w:t>
      </w:r>
      <w:r>
        <w:tab/>
        <w:t>Rebates to registered persons</w:t>
      </w:r>
      <w:r>
        <w:tab/>
      </w:r>
      <w:r>
        <w:fldChar w:fldCharType="begin"/>
      </w:r>
      <w:r>
        <w:instrText xml:space="preserve"> PAGEREF _Toc473105310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Effect of payment of rebated amount</w:t>
      </w:r>
      <w:r>
        <w:tab/>
      </w:r>
      <w:r>
        <w:fldChar w:fldCharType="begin"/>
      </w:r>
      <w:r>
        <w:instrText xml:space="preserve"> PAGEREF _Toc473105311 \h </w:instrText>
      </w:r>
      <w:r>
        <w:fldChar w:fldCharType="separate"/>
      </w:r>
      <w:r>
        <w:t>61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Charges for periods preceding, or for improvements made or services provided subsequent to, registration</w:t>
      </w:r>
      <w:r>
        <w:tab/>
      </w:r>
      <w:r>
        <w:fldChar w:fldCharType="begin"/>
      </w:r>
      <w:r>
        <w:instrText xml:space="preserve"> PAGEREF _Toc473105312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4 — Deferment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Where charges may be deferred</w:t>
      </w:r>
    </w:p>
    <w:p>
      <w:pPr>
        <w:pStyle w:val="TOC8"/>
        <w:rPr>
          <w:rFonts w:asciiTheme="minorHAnsi" w:eastAsiaTheme="minorEastAsia" w:hAnsiTheme="minorHAnsi" w:cstheme="minorBidi"/>
          <w:szCs w:val="22"/>
        </w:rPr>
      </w:pPr>
      <w:r>
        <w:t>43</w:t>
      </w:r>
      <w:r>
        <w:rPr>
          <w:snapToGrid w:val="0"/>
        </w:rPr>
        <w:t>.</w:t>
      </w:r>
      <w:r>
        <w:rPr>
          <w:snapToGrid w:val="0"/>
        </w:rPr>
        <w:tab/>
        <w:t>Circumstances where deferment may be allowed</w:t>
      </w:r>
      <w:r>
        <w:tab/>
      </w:r>
      <w:r>
        <w:fldChar w:fldCharType="begin"/>
      </w:r>
      <w:r>
        <w:instrText xml:space="preserve"> PAGEREF _Toc473105315 \h </w:instrText>
      </w:r>
      <w:r>
        <w:fldChar w:fldCharType="separate"/>
      </w:r>
      <w:r>
        <w:t>64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Deferred payment of rates by eligible pensioner</w:t>
      </w:r>
      <w:r>
        <w:tab/>
      </w:r>
      <w:r>
        <w:fldChar w:fldCharType="begin"/>
      </w:r>
      <w:r>
        <w:instrText xml:space="preserve"> PAGEREF _Toc473105316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Where charges may remain deferred in favour of a spouse</w:t>
      </w:r>
      <w:r>
        <w:t xml:space="preserve"> or de facto partner</w:t>
      </w:r>
      <w:r>
        <w:tab/>
      </w:r>
      <w:r>
        <w:fldChar w:fldCharType="begin"/>
      </w:r>
      <w:r>
        <w:instrText xml:space="preserve"> PAGEREF _Toc473105317 \h </w:instrText>
      </w:r>
      <w:r>
        <w:fldChar w:fldCharType="separate"/>
      </w:r>
      <w:r>
        <w:t>67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Continuing liability for payment of deferred charges to be a charge on the land</w:t>
      </w:r>
      <w:r>
        <w:tab/>
      </w:r>
      <w:r>
        <w:fldChar w:fldCharType="begin"/>
      </w:r>
      <w:r>
        <w:instrText xml:space="preserve"> PAGEREF _Toc473105318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Where charges may not be deferred</w:t>
      </w:r>
    </w:p>
    <w:p>
      <w:pPr>
        <w:pStyle w:val="TOC8"/>
        <w:rPr>
          <w:rFonts w:asciiTheme="minorHAnsi" w:eastAsiaTheme="minorEastAsia" w:hAnsiTheme="minorHAnsi" w:cstheme="minorBidi"/>
          <w:szCs w:val="22"/>
        </w:rPr>
      </w:pPr>
      <w:r>
        <w:t>47</w:t>
      </w:r>
      <w:r>
        <w:rPr>
          <w:snapToGrid w:val="0"/>
        </w:rPr>
        <w:t>.</w:t>
      </w:r>
      <w:r>
        <w:rPr>
          <w:snapToGrid w:val="0"/>
        </w:rPr>
        <w:tab/>
        <w:t>Charges likely not to be recoverable</w:t>
      </w:r>
      <w:r>
        <w:tab/>
      </w:r>
      <w:r>
        <w:fldChar w:fldCharType="begin"/>
      </w:r>
      <w:r>
        <w:instrText xml:space="preserve"> PAGEREF _Toc473105320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48</w:t>
      </w:r>
      <w:r>
        <w:rPr>
          <w:snapToGrid w:val="0"/>
        </w:rPr>
        <w:t>.</w:t>
      </w:r>
      <w:r>
        <w:rPr>
          <w:snapToGrid w:val="0"/>
        </w:rPr>
        <w:tab/>
        <w:t>Registration of documents</w:t>
      </w:r>
      <w:r>
        <w:tab/>
      </w:r>
      <w:r>
        <w:fldChar w:fldCharType="begin"/>
      </w:r>
      <w:r>
        <w:instrText xml:space="preserve"> PAGEREF _Toc473105322 \h </w:instrText>
      </w:r>
      <w:r>
        <w:fldChar w:fldCharType="separate"/>
      </w:r>
      <w:r>
        <w:t>71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 xml:space="preserve">Recovery of deferred charges not prevented by </w:t>
      </w:r>
      <w:r>
        <w:rPr>
          <w:i/>
          <w:snapToGrid w:val="0"/>
        </w:rPr>
        <w:t>Limitation Act 2005</w:t>
      </w:r>
      <w:r>
        <w:tab/>
      </w:r>
      <w:r>
        <w:fldChar w:fldCharType="begin"/>
      </w:r>
      <w:r>
        <w:instrText xml:space="preserve"> PAGEREF _Toc473105323 \h </w:instrText>
      </w:r>
      <w:r>
        <w:fldChar w:fldCharType="separate"/>
      </w:r>
      <w:r>
        <w:t>71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Regulations</w:t>
      </w:r>
      <w:r>
        <w:tab/>
      </w:r>
      <w:r>
        <w:fldChar w:fldCharType="begin"/>
      </w:r>
      <w:r>
        <w:instrText xml:space="preserve"> PAGEREF _Toc473105324 \h </w:instrText>
      </w:r>
      <w:r>
        <w:fldChar w:fldCharType="separate"/>
      </w:r>
      <w:r>
        <w:t>71</w:t>
      </w:r>
      <w:r>
        <w:fldChar w:fldCharType="end"/>
      </w:r>
    </w:p>
    <w:p>
      <w:pPr>
        <w:pStyle w:val="TOC8"/>
        <w:rPr>
          <w:rFonts w:asciiTheme="minorHAnsi" w:eastAsiaTheme="minorEastAsia" w:hAnsiTheme="minorHAnsi" w:cstheme="minorBidi"/>
          <w:szCs w:val="22"/>
        </w:rPr>
      </w:pPr>
      <w:r>
        <w:t>53.</w:t>
      </w:r>
      <w:r>
        <w:tab/>
        <w:t>Transitional provisions</w:t>
      </w:r>
      <w:r>
        <w:tab/>
      </w:r>
      <w:r>
        <w:fldChar w:fldCharType="begin"/>
      </w:r>
      <w:r>
        <w:instrText xml:space="preserve"> PAGEREF _Toc473105325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section 40</w:t>
      </w:r>
      <w:r>
        <w:tab/>
      </w:r>
      <w:r>
        <w:fldChar w:fldCharType="begin"/>
      </w:r>
      <w:r>
        <w:instrText xml:space="preserve"> PAGEREF _Toc473105328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_Toc473105330 \h </w:instrText>
      </w:r>
      <w:r>
        <w:fldChar w:fldCharType="separate"/>
      </w:r>
      <w:r>
        <w:t>74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_Toc473105331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after="720"/>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rFonts w:ascii="Times" w:hAnsi="Times"/>
          <w:snapToGrid w:val="0"/>
          <w:vertAlign w:val="superscript"/>
        </w:rPr>
        <w:t> </w:t>
      </w:r>
      <w:r>
        <w:rPr>
          <w:rFonts w:ascii="Times" w:hAnsi="Times"/>
          <w:b w:val="0"/>
          <w:snapToGrid w:val="0"/>
          <w:vertAlign w:val="superscript"/>
        </w:rPr>
        <w:t>2</w:t>
      </w:r>
      <w:r>
        <w:rPr>
          <w:snapToGrid w:val="0"/>
        </w:rPr>
        <w:t xml:space="preserve"> and the </w:t>
      </w:r>
      <w:r>
        <w:rPr>
          <w:i/>
          <w:snapToGrid w:val="0"/>
        </w:rPr>
        <w:t>Seniors (Water Service Charges Rebates) Act 1990</w:t>
      </w:r>
      <w:r>
        <w:rPr>
          <w:rFonts w:ascii="Times" w:hAnsi="Times"/>
          <w:snapToGrid w:val="0"/>
          <w:vertAlign w:val="superscript"/>
        </w:rPr>
        <w:t> </w:t>
      </w:r>
      <w:r>
        <w:rPr>
          <w:rFonts w:ascii="Times" w:hAnsi="Times"/>
          <w:b w:val="0"/>
          <w:snapToGrid w:val="0"/>
          <w:vertAlign w:val="superscript"/>
        </w:rPr>
        <w:t>2</w:t>
      </w:r>
      <w:r>
        <w:rPr>
          <w:snapToGrid w:val="0"/>
        </w:rPr>
        <w:t xml:space="preserve">, to make consequential amendments to the </w:t>
      </w:r>
      <w:r>
        <w:rPr>
          <w:i/>
          <w:snapToGrid w:val="0"/>
        </w:rPr>
        <w:t>Local Government Act 1960</w:t>
      </w:r>
      <w:r>
        <w:rPr>
          <w:rFonts w:ascii="Times" w:hAnsi="Times"/>
          <w:snapToGrid w:val="0"/>
          <w:vertAlign w:val="superscript"/>
        </w:rPr>
        <w:t> </w:t>
      </w:r>
      <w:r>
        <w:rPr>
          <w:rFonts w:ascii="Times" w:hAnsi="Times"/>
          <w:b w:val="0"/>
          <w:snapToGrid w:val="0"/>
          <w:vertAlign w:val="superscript"/>
        </w:rPr>
        <w:t>3, 4</w:t>
      </w:r>
      <w:r>
        <w:rPr>
          <w:snapToGrid w:val="0"/>
        </w:rPr>
        <w:t xml:space="preserve"> and the </w:t>
      </w:r>
      <w:r>
        <w:rPr>
          <w:i/>
          <w:snapToGrid w:val="0"/>
        </w:rPr>
        <w:t>Soil and Land Conservation Act 1945</w:t>
      </w:r>
      <w:r>
        <w:rPr>
          <w:rFonts w:ascii="Times" w:hAnsi="Times"/>
          <w:b w:val="0"/>
          <w:snapToGrid w:val="0"/>
          <w:vertAlign w:val="superscript"/>
        </w:rPr>
        <w:t> 4</w:t>
      </w:r>
      <w:r>
        <w:rPr>
          <w:snapToGrid w:val="0"/>
        </w:rPr>
        <w:t>, and for related purposes.</w:t>
      </w:r>
    </w:p>
    <w:p>
      <w:pPr>
        <w:pStyle w:val="Heading2"/>
      </w:pPr>
      <w:bookmarkStart w:id="3" w:name="_Toc473105255"/>
      <w:r>
        <w:rPr>
          <w:rStyle w:val="CharPartNo"/>
        </w:rPr>
        <w:t>Part 1</w:t>
      </w:r>
      <w:r>
        <w:t> — </w:t>
      </w:r>
      <w:r>
        <w:rPr>
          <w:rStyle w:val="CharPartText"/>
        </w:rPr>
        <w:t>Administration</w:t>
      </w:r>
      <w:bookmarkEnd w:id="3"/>
    </w:p>
    <w:p>
      <w:pPr>
        <w:pStyle w:val="Heading3"/>
        <w:spacing w:before="200"/>
      </w:pPr>
      <w:bookmarkStart w:id="4" w:name="_Toc473105256"/>
      <w:r>
        <w:rPr>
          <w:rStyle w:val="CharDivNo"/>
        </w:rPr>
        <w:t>Division 1</w:t>
      </w:r>
      <w:r>
        <w:rPr>
          <w:snapToGrid w:val="0"/>
        </w:rPr>
        <w:t> — </w:t>
      </w:r>
      <w:r>
        <w:rPr>
          <w:rStyle w:val="CharDivText"/>
        </w:rPr>
        <w:t>Preliminary</w:t>
      </w:r>
      <w:bookmarkEnd w:id="4"/>
    </w:p>
    <w:p>
      <w:pPr>
        <w:pStyle w:val="Heading5"/>
        <w:spacing w:before="180"/>
        <w:rPr>
          <w:snapToGrid w:val="0"/>
        </w:rPr>
      </w:pPr>
      <w:bookmarkStart w:id="5" w:name="_Toc473105257"/>
      <w:r>
        <w:rPr>
          <w:rStyle w:val="CharSectno"/>
        </w:rPr>
        <w:t>1</w:t>
      </w:r>
      <w:r>
        <w:rPr>
          <w:snapToGrid w:val="0"/>
        </w:rPr>
        <w:t>.</w:t>
      </w:r>
      <w:r>
        <w:rPr>
          <w:snapToGrid w:val="0"/>
        </w:rPr>
        <w:tab/>
        <w:t>Short title</w:t>
      </w:r>
      <w:bookmarkEnd w:id="5"/>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spacing w:before="180"/>
        <w:rPr>
          <w:snapToGrid w:val="0"/>
        </w:rPr>
      </w:pPr>
      <w:bookmarkStart w:id="6" w:name="_Toc473105258"/>
      <w:r>
        <w:rPr>
          <w:rStyle w:val="CharSectno"/>
        </w:rPr>
        <w:t>2</w:t>
      </w:r>
      <w:r>
        <w:rPr>
          <w:snapToGrid w:val="0"/>
        </w:rPr>
        <w:t>.</w:t>
      </w:r>
      <w:r>
        <w:rPr>
          <w:snapToGrid w:val="0"/>
        </w:rPr>
        <w:tab/>
        <w:t>Commencement</w:t>
      </w:r>
      <w:bookmarkEnd w:id="6"/>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spacing w:before="200"/>
      </w:pPr>
      <w:bookmarkStart w:id="7" w:name="_Toc473105259"/>
      <w:r>
        <w:rPr>
          <w:rStyle w:val="CharDivNo"/>
        </w:rPr>
        <w:t>Division 2</w:t>
      </w:r>
      <w:r>
        <w:rPr>
          <w:snapToGrid w:val="0"/>
        </w:rPr>
        <w:t> — </w:t>
      </w:r>
      <w:r>
        <w:rPr>
          <w:rStyle w:val="CharDivText"/>
        </w:rPr>
        <w:t>Interpretation</w:t>
      </w:r>
      <w:bookmarkEnd w:id="7"/>
    </w:p>
    <w:p>
      <w:pPr>
        <w:pStyle w:val="Heading5"/>
        <w:spacing w:before="180"/>
        <w:rPr>
          <w:snapToGrid w:val="0"/>
        </w:rPr>
      </w:pPr>
      <w:bookmarkStart w:id="8" w:name="_Toc473105260"/>
      <w:r>
        <w:rPr>
          <w:rStyle w:val="CharSectno"/>
        </w:rPr>
        <w:t>3</w:t>
      </w:r>
      <w:r>
        <w:rPr>
          <w:snapToGrid w:val="0"/>
        </w:rPr>
        <w:t>.</w:t>
      </w:r>
      <w:r>
        <w:rPr>
          <w:snapToGrid w:val="0"/>
        </w:rPr>
        <w:tab/>
        <w:t>Terms used</w:t>
      </w:r>
      <w:bookmarkEnd w:id="8"/>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spacing w:before="60"/>
      </w:pPr>
      <w:r>
        <w:rPr>
          <w:b/>
        </w:rPr>
        <w:tab/>
      </w:r>
      <w:r>
        <w:rPr>
          <w:rStyle w:val="CharDefText"/>
        </w:rPr>
        <w:t>charged period</w:t>
      </w:r>
      <w:r>
        <w:t>, as regards any prescribed charge, means the year or part of a year for which that charge is to be or was made and has a meaning affected by section 40(2A);</w:t>
      </w:r>
    </w:p>
    <w:p>
      <w:pPr>
        <w:pStyle w:val="Defstart"/>
        <w:spacing w:before="60"/>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spacing w:before="60"/>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spacing w:before="60"/>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5</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 or</w:t>
      </w:r>
    </w:p>
    <w:p>
      <w:pPr>
        <w:pStyle w:val="Defpara"/>
      </w:pPr>
      <w:r>
        <w:tab/>
        <w:t>(ab)</w:t>
      </w:r>
      <w:r>
        <w:tab/>
        <w:t>a de facto partner of that person; or</w:t>
      </w:r>
    </w:p>
    <w:p>
      <w:pPr>
        <w:pStyle w:val="Defpara"/>
      </w:pPr>
      <w:r>
        <w:tab/>
        <w:t>(b)</w:t>
      </w:r>
      <w:r>
        <w:tab/>
        <w:t>a child of that person being a child —</w:t>
      </w:r>
    </w:p>
    <w:p>
      <w:pPr>
        <w:pStyle w:val="Defsubpara"/>
      </w:pPr>
      <w:r>
        <w:tab/>
        <w:t>(i)</w:t>
      </w:r>
      <w:r>
        <w:tab/>
        <w:t>who is less than 18 years of age; or</w:t>
      </w:r>
    </w:p>
    <w:p>
      <w:pPr>
        <w:pStyle w:val="Defsubpara"/>
      </w:pPr>
      <w:r>
        <w:tab/>
        <w:t>(ii)</w:t>
      </w:r>
      <w:r>
        <w:tab/>
        <w:t>who is 18 years of age or more but less than 25 years of age, and who is receiving full</w:t>
      </w:r>
      <w: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pPr>
      <w:r>
        <w:tab/>
        <w:t>(i)</w:t>
      </w:r>
      <w:r>
        <w:tab/>
        <w:t>in housekeeping for that person; and</w:t>
      </w:r>
    </w:p>
    <w:p>
      <w:pPr>
        <w:pStyle w:val="Defsubpara"/>
        <w:keepLines w:val="0"/>
      </w:pPr>
      <w:r>
        <w:tab/>
        <w:t>(ii)</w:t>
      </w:r>
      <w: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pPr>
      <w:r>
        <w:tab/>
        <w:t>(i)</w:t>
      </w:r>
      <w:r>
        <w:tab/>
        <w:t>a seniors’ card; or</w:t>
      </w:r>
    </w:p>
    <w:p>
      <w:pPr>
        <w:pStyle w:val="Defsubpara"/>
        <w:keepLines w:val="0"/>
      </w:pPr>
      <w:r>
        <w:tab/>
        <w:t>(ii)</w:t>
      </w:r>
      <w:r>
        <w:tab/>
        <w:t>a pensioner concession card; or</w:t>
      </w:r>
    </w:p>
    <w:p>
      <w:pPr>
        <w:pStyle w:val="Defsubpara"/>
        <w:keepLines w:val="0"/>
      </w:pPr>
      <w:r>
        <w:tab/>
        <w:t>(iii)</w:t>
      </w:r>
      <w:r>
        <w:tab/>
        <w:t>a State concession card; or</w:t>
      </w:r>
    </w:p>
    <w:p>
      <w:pPr>
        <w:pStyle w:val="Defsubpara"/>
      </w:pPr>
      <w:r>
        <w:tab/>
        <w:t>(iv)</w:t>
      </w:r>
      <w:r>
        <w:tab/>
        <w:t>a Commonwealth seniors health card;</w:t>
      </w:r>
    </w:p>
    <w:p>
      <w:pPr>
        <w:pStyle w:val="Defpara"/>
      </w:pPr>
      <w:r>
        <w:tab/>
      </w:r>
      <w:r>
        <w:tab/>
        <w:t>or</w:t>
      </w:r>
    </w:p>
    <w:p>
      <w:pPr>
        <w:pStyle w:val="Defpara"/>
      </w:pPr>
      <w:r>
        <w:tab/>
        <w:t>(b)</w:t>
      </w:r>
      <w:r>
        <w:tab/>
        <w:t>to apply for registration of an entitlement; or</w:t>
      </w:r>
    </w:p>
    <w:p>
      <w:pPr>
        <w:pStyle w:val="Defpara"/>
        <w:keepNext/>
        <w:keepLines/>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w:t>
      </w:r>
    </w:p>
    <w:p>
      <w:pPr>
        <w:pStyle w:val="Defstart"/>
      </w:pPr>
      <w:r>
        <w:rPr>
          <w:szCs w:val="24"/>
        </w:rPr>
        <w:tab/>
      </w:r>
      <w:r>
        <w:rPr>
          <w:rStyle w:val="CharDefText"/>
        </w:rPr>
        <w:t>final payment day</w:t>
      </w:r>
      <w:r>
        <w:t xml:space="preserve"> for a Water Corporation charge, in relation to a person, means</w:t>
      </w:r>
      <w:r>
        <w:rPr>
          <w:szCs w:val="24"/>
        </w:rPr>
        <w:t xml:space="preserve"> — </w:t>
      </w:r>
    </w:p>
    <w:p>
      <w:pPr>
        <w:pStyle w:val="Defpara"/>
      </w:pPr>
      <w:r>
        <w:tab/>
        <w:t>(a)</w:t>
      </w:r>
      <w:r>
        <w:tab/>
        <w:t>the 50</w:t>
      </w:r>
      <w:r>
        <w:rPr>
          <w:vertAlign w:val="superscript"/>
        </w:rPr>
        <w:t>th</w:t>
      </w:r>
      <w:r>
        <w:t xml:space="preserve"> day after the date of the notice requiring payment for that charge; or</w:t>
      </w:r>
    </w:p>
    <w:p>
      <w:pPr>
        <w:pStyle w:val="Defpara"/>
      </w:pPr>
      <w:r>
        <w:tab/>
        <w:t>(b)</w:t>
      </w:r>
      <w:r>
        <w:tab/>
        <w:t>a day, determined by the Water Corporation in relation to the person, that is after the day referred to in paragraph (a) but not more than 70 days after that day;</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 means test</w:t>
      </w:r>
      <w:r>
        <w:t xml:space="preserve"> means —</w:t>
      </w:r>
    </w:p>
    <w:p>
      <w:pPr>
        <w:pStyle w:val="Defpara"/>
      </w:pPr>
      <w:r>
        <w:tab/>
        <w:t>(a)</w:t>
      </w:r>
      <w:r>
        <w:tab/>
        <w:t>unless paragraph (b) applies —</w:t>
      </w:r>
    </w:p>
    <w:p>
      <w:pPr>
        <w:pStyle w:val="Defsubpara"/>
        <w:keepLines w:val="0"/>
      </w:pPr>
      <w:r>
        <w:tab/>
        <w:t>(i)</w:t>
      </w:r>
      <w:r>
        <w:tab/>
        <w:t>the ordinary income test; and</w:t>
      </w:r>
    </w:p>
    <w:p>
      <w:pPr>
        <w:pStyle w:val="Defsubpara"/>
        <w:keepLines w:val="0"/>
      </w:pPr>
      <w:r>
        <w:tab/>
        <w:t>(ii)</w:t>
      </w:r>
      <w:r>
        <w:tab/>
        <w:t>the maintenance income test; and</w:t>
      </w:r>
    </w:p>
    <w:p>
      <w:pPr>
        <w:pStyle w:val="Defsubpara"/>
        <w:keepLines w:val="0"/>
      </w:pPr>
      <w:r>
        <w:tab/>
        <w:t>(iii)</w:t>
      </w:r>
      <w: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keepNext/>
        <w:rPr>
          <w:b/>
        </w:rPr>
      </w:pPr>
      <w:r>
        <w:tab/>
        <w:t>(b)</w:t>
      </w:r>
      <w:r>
        <w:tab/>
        <w:t>where another test of the income or assets of any person is prescribed under section 25, that other test;</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keepNext/>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r>
      <w:r>
        <w:tab/>
        <w:t>or</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pPr>
      <w:r>
        <w:tab/>
        <w:t>(i)</w:t>
      </w:r>
      <w:r>
        <w:tab/>
        <w:t xml:space="preserve">the </w:t>
      </w:r>
      <w:r>
        <w:rPr>
          <w:i/>
          <w:iCs/>
        </w:rPr>
        <w:t>Water Services Act 2012</w:t>
      </w:r>
      <w:r>
        <w:t>; or</w:t>
      </w:r>
    </w:p>
    <w:p>
      <w:pPr>
        <w:pStyle w:val="Ednotedefsubpara"/>
      </w:pPr>
      <w:r>
        <w:tab/>
        <w:t>[(ii)</w:t>
      </w:r>
      <w:r>
        <w:tab/>
        <w:t>deleted]</w:t>
      </w:r>
    </w:p>
    <w:p>
      <w:pPr>
        <w:pStyle w:val="Defsubpara"/>
        <w:keepLines w:val="0"/>
      </w:pPr>
      <w:r>
        <w:tab/>
        <w:t>(iii)</w:t>
      </w:r>
      <w:r>
        <w:tab/>
        <w:t xml:space="preserve">the </w:t>
      </w:r>
      <w:r>
        <w:rPr>
          <w:i/>
        </w:rPr>
        <w:t>Health (Miscellaneous Provisions) Act 1911</w:t>
      </w:r>
      <w:r>
        <w:t>; or</w:t>
      </w:r>
    </w:p>
    <w:p>
      <w:pPr>
        <w:pStyle w:val="Defsubpara"/>
        <w:keepLines w:val="0"/>
      </w:pPr>
      <w:r>
        <w:tab/>
        <w:t>(iv)</w:t>
      </w:r>
      <w:r>
        <w:tab/>
        <w:t xml:space="preserve">the </w:t>
      </w:r>
      <w:r>
        <w:rPr>
          <w:i/>
        </w:rPr>
        <w:t>Local Government Act 1995</w:t>
      </w:r>
      <w:r>
        <w:t>;</w:t>
      </w:r>
    </w:p>
    <w:p>
      <w:pPr>
        <w:pStyle w:val="Defpara"/>
      </w:pPr>
      <w:r>
        <w:tab/>
      </w:r>
      <w:r>
        <w:tab/>
        <w:t>or</w:t>
      </w:r>
    </w:p>
    <w:p>
      <w:pPr>
        <w:pStyle w:val="Defpara"/>
        <w:keepNext/>
      </w:pPr>
      <w:r>
        <w:tab/>
        <w:t>(c)</w:t>
      </w:r>
      <w:r>
        <w:tab/>
        <w:t>a charge by way of the emergency services levy; or</w:t>
      </w:r>
    </w:p>
    <w:p>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Defpara"/>
      </w:pPr>
      <w:r>
        <w:tab/>
        <w:t>(d)</w:t>
      </w:r>
      <w:r>
        <w:tab/>
        <w:t>a charge prescribed by regulations made under this Act;</w:t>
      </w:r>
    </w:p>
    <w:p>
      <w:pPr>
        <w:pStyle w:val="Defstart"/>
        <w:keepNex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senior’s card department;</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szCs w:val="24"/>
        </w:rPr>
        <w:tab/>
      </w:r>
      <w:r>
        <w:rPr>
          <w:rStyle w:val="CharDefText"/>
          <w:szCs w:val="24"/>
        </w:rPr>
        <w:t>Water Corporation</w:t>
      </w:r>
      <w:r>
        <w:t xml:space="preserve"> </w:t>
      </w:r>
      <w:r>
        <w:rPr>
          <w:szCs w:val="24"/>
        </w:rPr>
        <w:t xml:space="preserve">means the Water Corporation established by the </w:t>
      </w:r>
      <w:r>
        <w:rPr>
          <w:i/>
          <w:szCs w:val="24"/>
        </w:rPr>
        <w:t>Water Corporations Act 1995</w:t>
      </w:r>
      <w:r>
        <w:t xml:space="preserve"> section 4(1);</w:t>
      </w:r>
    </w:p>
    <w:p>
      <w:pPr>
        <w:pStyle w:val="Defstart"/>
      </w:pPr>
      <w:r>
        <w:tab/>
      </w:r>
      <w:r>
        <w:rPr>
          <w:rStyle w:val="CharDefText"/>
        </w:rPr>
        <w:t>Water Corporation charge</w:t>
      </w:r>
      <w:r>
        <w:t xml:space="preserve"> means a charge referred to in paragraph (b)(i) of the definition of </w:t>
      </w:r>
      <w:r>
        <w:rPr>
          <w:b/>
          <w:i/>
        </w:rPr>
        <w:t>prescribed charge</w:t>
      </w:r>
      <w:r>
        <w:t>, made by the Water Corporation;</w:t>
      </w:r>
    </w:p>
    <w:p>
      <w:pPr>
        <w:pStyle w:val="Defstart"/>
      </w:pPr>
      <w:r>
        <w:rPr>
          <w:b/>
        </w:rPr>
        <w:tab/>
      </w:r>
      <w:r>
        <w:rPr>
          <w:rStyle w:val="CharDefText"/>
        </w:rPr>
        <w:t>year</w:t>
      </w:r>
      <w:r>
        <w:t xml:space="preserve"> means a rating year.</w:t>
      </w:r>
    </w:p>
    <w:p>
      <w:pPr>
        <w:pStyle w:val="Subsection"/>
        <w:spacing w:before="120"/>
      </w:pPr>
      <w:r>
        <w:tab/>
        <w:t>(1a)</w:t>
      </w:r>
      <w:r>
        <w:tab/>
        <w:t xml:space="preserve">The administrative authority for the emergency services levy that is the subject of an assessment notice under section 36J of the </w:t>
      </w:r>
      <w:r>
        <w:rPr>
          <w:i/>
        </w:rPr>
        <w:t>Fire and Emergency Services Act 1998</w:t>
      </w:r>
      <w:r>
        <w:t xml:space="preserve"> is the local government that serves the notice.</w:t>
      </w:r>
    </w:p>
    <w:p>
      <w:pPr>
        <w:pStyle w:val="Subsection"/>
        <w:spacing w:before="120"/>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keepLines w:val="0"/>
        <w:ind w:left="890" w:hanging="890"/>
      </w:pPr>
      <w:r>
        <w:tab/>
        <w:t xml:space="preserve">[Section 3 amended by No. 25 of 1993 s. 16; No. 73 of 1994 s. 4; No. 73 of 1995 s. 188; No. 14 of 1996 s. 4; No. 57 of 1997 s. 102(1); No. 22 of 1998 s. 14; No. 3 of 2001 s. 5; No. 42 of 2002 s. 31; No. 28 of 2003 s. 166; </w:t>
      </w:r>
      <w:r>
        <w:rPr>
          <w:spacing w:val="-6"/>
        </w:rPr>
        <w:t xml:space="preserve">No. 34 of 2004 </w:t>
      </w:r>
      <w:r>
        <w:t>Sch. 2 cl. 22; No. 9 of 2005 s. 4; No. 32 of 2006 s. 98; No. 13 of 2007 s. 8; No. 2 of 2012 s. 35; No. 22 of 2012 s. 135; No. 25 of 2012 s. 226(2) and (3); No. 29 of 2012 s. 32; No. 4 of 2013 s. 4; No. 19 of 2016 s. 101.]</w:t>
      </w:r>
    </w:p>
    <w:p>
      <w:pPr>
        <w:pStyle w:val="Heading3"/>
      </w:pPr>
      <w:bookmarkStart w:id="9" w:name="_Toc473105261"/>
      <w:r>
        <w:rPr>
          <w:rStyle w:val="CharDivNo"/>
        </w:rPr>
        <w:t>Division 3</w:t>
      </w:r>
      <w:r>
        <w:rPr>
          <w:snapToGrid w:val="0"/>
        </w:rPr>
        <w:t> — </w:t>
      </w:r>
      <w:r>
        <w:rPr>
          <w:rStyle w:val="CharDivText"/>
        </w:rPr>
        <w:t>Determinations having an interpretive effect</w:t>
      </w:r>
      <w:bookmarkEnd w:id="9"/>
    </w:p>
    <w:p>
      <w:pPr>
        <w:pStyle w:val="Ednotesection"/>
        <w:spacing w:before="180"/>
      </w:pPr>
      <w:r>
        <w:t>[</w:t>
      </w:r>
      <w:r>
        <w:rPr>
          <w:b/>
        </w:rPr>
        <w:t>4.</w:t>
      </w:r>
      <w:r>
        <w:tab/>
        <w:t>Deleted by No. 28 of 2003 s. 167.]</w:t>
      </w:r>
    </w:p>
    <w:p>
      <w:pPr>
        <w:pStyle w:val="Heading5"/>
        <w:keepNext w:val="0"/>
        <w:keepLines w:val="0"/>
        <w:spacing w:before="180"/>
        <w:rPr>
          <w:snapToGrid w:val="0"/>
        </w:rPr>
      </w:pPr>
      <w:bookmarkStart w:id="10" w:name="_Toc473105262"/>
      <w:r>
        <w:rPr>
          <w:rStyle w:val="CharSectno"/>
        </w:rPr>
        <w:t>5</w:t>
      </w:r>
      <w:r>
        <w:rPr>
          <w:snapToGrid w:val="0"/>
        </w:rPr>
        <w:t>.</w:t>
      </w:r>
      <w:r>
        <w:rPr>
          <w:snapToGrid w:val="0"/>
        </w:rPr>
        <w:tab/>
        <w:t>Eligibility as a senior</w:t>
      </w:r>
      <w:bookmarkEnd w:id="10"/>
    </w:p>
    <w:p>
      <w:pPr>
        <w:pStyle w:val="Subsection"/>
        <w:widowControl w:val="0"/>
        <w:spacing w:before="120"/>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pPr>
        <w:pStyle w:val="Footnotesection"/>
        <w:ind w:left="890" w:hanging="890"/>
      </w:pPr>
      <w:r>
        <w:tab/>
        <w:t>[Section 5 amended by No. 29 of 2012 s. 33.]</w:t>
      </w:r>
    </w:p>
    <w:p>
      <w:pPr>
        <w:pStyle w:val="Heading5"/>
        <w:spacing w:before="240"/>
        <w:rPr>
          <w:snapToGrid w:val="0"/>
        </w:rPr>
      </w:pPr>
      <w:bookmarkStart w:id="11" w:name="_Toc473105263"/>
      <w:r>
        <w:rPr>
          <w:rStyle w:val="CharSectno"/>
        </w:rPr>
        <w:t>6</w:t>
      </w:r>
      <w:r>
        <w:rPr>
          <w:snapToGrid w:val="0"/>
        </w:rPr>
        <w:t>.</w:t>
      </w:r>
      <w:r>
        <w:rPr>
          <w:snapToGrid w:val="0"/>
        </w:rPr>
        <w:tab/>
        <w:t>State concession cards for persons not otherwise eligible</w:t>
      </w:r>
      <w:bookmarkEnd w:id="11"/>
    </w:p>
    <w:p>
      <w:pPr>
        <w:pStyle w:val="Subsection"/>
        <w:spacing w:before="1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spacing w:before="180"/>
        <w:rPr>
          <w:snapToGrid w:val="0"/>
        </w:rPr>
      </w:pPr>
      <w:r>
        <w:rPr>
          <w:snapToGrid w:val="0"/>
        </w:rPr>
        <w:tab/>
        <w:t>(2)</w:t>
      </w:r>
      <w:r>
        <w:rPr>
          <w:snapToGrid w:val="0"/>
        </w:rPr>
        <w:tab/>
        <w:t>On receipt of an application under subsection (1) and if the CEO determines that —</w:t>
      </w:r>
    </w:p>
    <w:p>
      <w:pPr>
        <w:pStyle w:val="Indenta"/>
        <w:rPr>
          <w:snapToGrid w:val="0"/>
        </w:rPr>
      </w:pPr>
      <w:r>
        <w:rPr>
          <w:snapToGrid w:val="0"/>
        </w:rPr>
        <w:tab/>
        <w:t>(a)</w:t>
      </w:r>
      <w:r>
        <w:rPr>
          <w:snapToGrid w:val="0"/>
        </w:rPr>
        <w:tab/>
        <w:t>a test as to the income and assets of that person; and</w:t>
      </w:r>
    </w:p>
    <w:p>
      <w:pPr>
        <w:pStyle w:val="Indenta"/>
        <w:keepNext/>
        <w:rPr>
          <w:snapToGrid w:val="0"/>
        </w:rPr>
      </w:pPr>
      <w:r>
        <w:rPr>
          <w:snapToGrid w:val="0"/>
        </w:rPr>
        <w:tab/>
        <w:t>(b)</w:t>
      </w:r>
      <w:r>
        <w:rPr>
          <w:snapToGrid w:val="0"/>
        </w:rPr>
        <w:tab/>
        <w:t>the conditions, circumstances or other facts relevant to the application otherwise,</w:t>
      </w:r>
    </w:p>
    <w:p>
      <w:pPr>
        <w:pStyle w:val="Subsection"/>
        <w:spacing w:before="1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spacing w:before="180"/>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pPr>
        <w:pStyle w:val="Indenta"/>
      </w:pPr>
      <w:r>
        <w:tab/>
        <w:t>(a)</w:t>
      </w:r>
      <w:r>
        <w:tab/>
        <w:t>to a person, valid for 5 years, if satisfied that —</w:t>
      </w:r>
    </w:p>
    <w:p>
      <w:pPr>
        <w:pStyle w:val="Indenti"/>
      </w:pPr>
      <w:r>
        <w:tab/>
        <w:t>(i)</w:t>
      </w:r>
      <w:r>
        <w:tab/>
        <w:t>the person is receiving a pension to which section 23(2) applies; or</w:t>
      </w:r>
    </w:p>
    <w:p>
      <w:pPr>
        <w:pStyle w:val="Indenti"/>
      </w:pPr>
      <w:r>
        <w:tab/>
        <w:t>(ii)</w:t>
      </w:r>
      <w:r>
        <w:tab/>
        <w:t>the person meets the criteria referred to in section 23(4A)(a); or</w:t>
      </w:r>
    </w:p>
    <w:p>
      <w:pPr>
        <w:pStyle w:val="Indenti"/>
      </w:pPr>
      <w:r>
        <w:tab/>
        <w:t>(iii)</w:t>
      </w:r>
      <w:r>
        <w:tab/>
        <w:t>the person is receiving the Special Rate Disability Pension referred to in section 23(4A)(b); or</w:t>
      </w:r>
    </w:p>
    <w:p>
      <w:pPr>
        <w:pStyle w:val="Indenti"/>
      </w:pPr>
      <w:r>
        <w:tab/>
        <w:t>(iv)</w:t>
      </w:r>
      <w:r>
        <w:tab/>
        <w:t>the person is entitled to be provided with the treatment referred to in section 23(4A)(c),</w:t>
      </w:r>
    </w:p>
    <w:p>
      <w:pPr>
        <w:pStyle w:val="Indenta"/>
      </w:pPr>
      <w:r>
        <w:tab/>
      </w:r>
      <w:r>
        <w:tab/>
        <w:t>regardless of the income or assets of that person; and</w:t>
      </w:r>
    </w:p>
    <w:p>
      <w:pPr>
        <w:pStyle w:val="Indenta"/>
        <w:rPr>
          <w:snapToGrid w:val="0"/>
        </w:rPr>
      </w:pPr>
      <w:r>
        <w:rPr>
          <w:snapToGrid w:val="0"/>
        </w:rPr>
        <w:tab/>
        <w:t>(b)</w:t>
      </w:r>
      <w:r>
        <w:rPr>
          <w:snapToGrid w:val="0"/>
        </w:rPr>
        <w:tab/>
        <w:t>to any other person, valid for one year, if satisfied that —</w:t>
      </w:r>
    </w:p>
    <w:p>
      <w:pPr>
        <w:pStyle w:val="Indenti"/>
        <w:rPr>
          <w:snapToGrid w:val="0"/>
        </w:rPr>
      </w:pPr>
      <w:r>
        <w:rPr>
          <w:snapToGrid w:val="0"/>
        </w:rPr>
        <w:tab/>
        <w:t>(i)</w:t>
      </w:r>
      <w:r>
        <w:rPr>
          <w:snapToGrid w:val="0"/>
        </w:rPr>
        <w:tab/>
        <w:t>the person has an income and assets that do not exceed the limits imposed by the means test; and</w:t>
      </w:r>
    </w:p>
    <w:p>
      <w:pPr>
        <w:pStyle w:val="Indenti"/>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ind w:left="890" w:hanging="890"/>
      </w:pPr>
      <w:r>
        <w:tab/>
        <w:t xml:space="preserve">[Section 6 amended by No. 25 of 1993 s. 17; No. 73 of 1994 s. 4; No. 57 of 1997 s. 102(2); </w:t>
      </w:r>
      <w:r>
        <w:rPr>
          <w:spacing w:val="-6"/>
        </w:rPr>
        <w:t>No. 34 of 2004</w:t>
      </w:r>
      <w:r>
        <w:t xml:space="preserve"> Sch. 2 cl. 22; No. 29 of 2012 s. 34.]</w:t>
      </w:r>
    </w:p>
    <w:p>
      <w:pPr>
        <w:pStyle w:val="Heading5"/>
        <w:spacing w:before="240"/>
        <w:rPr>
          <w:snapToGrid w:val="0"/>
        </w:rPr>
      </w:pPr>
      <w:bookmarkStart w:id="12" w:name="_Toc473105264"/>
      <w:r>
        <w:rPr>
          <w:rStyle w:val="CharSectno"/>
        </w:rPr>
        <w:t>7</w:t>
      </w:r>
      <w:r>
        <w:rPr>
          <w:snapToGrid w:val="0"/>
        </w:rPr>
        <w:t>.</w:t>
      </w:r>
      <w:r>
        <w:rPr>
          <w:snapToGrid w:val="0"/>
        </w:rPr>
        <w:tab/>
        <w:t>Entitlement of a person as regards land</w:t>
      </w:r>
      <w:bookmarkEnd w:id="12"/>
    </w:p>
    <w:p>
      <w:pPr>
        <w:pStyle w:val="Subsection"/>
        <w:spacing w:before="180"/>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keepNext/>
        <w:rPr>
          <w:snapToGrid w:val="0"/>
        </w:rPr>
      </w:pPr>
      <w:r>
        <w:rPr>
          <w:snapToGrid w:val="0"/>
        </w:rPr>
        <w:tab/>
        <w:t>(b)</w:t>
      </w:r>
      <w:r>
        <w:rPr>
          <w:snapToGrid w:val="0"/>
        </w:rPr>
        <w:tab/>
        <w:t>section 14(2),</w:t>
      </w:r>
    </w:p>
    <w:p>
      <w:pPr>
        <w:pStyle w:val="Subsection"/>
        <w:spacing w:before="180"/>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spacing w:before="180"/>
        <w:rPr>
          <w:snapToGrid w:val="0"/>
        </w:rPr>
      </w:pPr>
      <w:r>
        <w:rPr>
          <w:snapToGrid w:val="0"/>
        </w:rPr>
        <w:tab/>
        <w:t>(2)</w:t>
      </w:r>
      <w:r>
        <w:rPr>
          <w:snapToGrid w:val="0"/>
        </w:rPr>
        <w:tab/>
      </w:r>
      <w:r>
        <w:t>In relation to a prescribed charge that is not a Water Corporation charge, the</w:t>
      </w:r>
      <w:r>
        <w:rPr>
          <w:snapToGrid w:val="0"/>
        </w:rPr>
        <w:t xml:space="preserve"> determination as to the entitlement of a person made in accordance with section 32(5) shall have effect throughout the rating year in which the charged period occurs.</w:t>
      </w:r>
    </w:p>
    <w:p>
      <w:pPr>
        <w:pStyle w:val="Footnotesection"/>
        <w:spacing w:before="140"/>
        <w:ind w:left="890" w:hanging="890"/>
      </w:pPr>
      <w:r>
        <w:tab/>
        <w:t>[Section 7 amended by No. 25 of 1993 s. 4; No. 4 of 2013 s. 5.]</w:t>
      </w:r>
    </w:p>
    <w:p>
      <w:pPr>
        <w:pStyle w:val="Heading3"/>
      </w:pPr>
      <w:bookmarkStart w:id="13" w:name="_Toc473105265"/>
      <w:r>
        <w:rPr>
          <w:rStyle w:val="CharDivNo"/>
        </w:rPr>
        <w:t>Division 4</w:t>
      </w:r>
      <w:r>
        <w:rPr>
          <w:snapToGrid w:val="0"/>
        </w:rPr>
        <w:t> — </w:t>
      </w:r>
      <w:r>
        <w:rPr>
          <w:rStyle w:val="CharDivText"/>
        </w:rPr>
        <w:t>Administration</w:t>
      </w:r>
      <w:bookmarkEnd w:id="13"/>
    </w:p>
    <w:p>
      <w:pPr>
        <w:pStyle w:val="Heading5"/>
        <w:spacing w:before="240"/>
        <w:rPr>
          <w:snapToGrid w:val="0"/>
        </w:rPr>
      </w:pPr>
      <w:bookmarkStart w:id="14" w:name="_Toc473105266"/>
      <w:r>
        <w:rPr>
          <w:rStyle w:val="CharSectno"/>
        </w:rPr>
        <w:t>8</w:t>
      </w:r>
      <w:r>
        <w:rPr>
          <w:snapToGrid w:val="0"/>
        </w:rPr>
        <w:t>.</w:t>
      </w:r>
      <w:r>
        <w:rPr>
          <w:snapToGrid w:val="0"/>
        </w:rPr>
        <w:tab/>
        <w:t>Purposes</w:t>
      </w:r>
      <w:bookmarkEnd w:id="14"/>
    </w:p>
    <w:p>
      <w:pPr>
        <w:pStyle w:val="Subsection"/>
        <w:spacing w:before="180"/>
        <w:rPr>
          <w:snapToGrid w:val="0"/>
        </w:rPr>
      </w:pPr>
      <w:r>
        <w:rPr>
          <w:snapToGrid w:val="0"/>
        </w:rPr>
        <w:tab/>
      </w:r>
      <w:r>
        <w:rPr>
          <w:snapToGrid w:val="0"/>
        </w:rPr>
        <w:tab/>
        <w:t>The purposes of this Act are —</w:t>
      </w:r>
    </w:p>
    <w:p>
      <w:pPr>
        <w:pStyle w:val="Indenta"/>
        <w:spacing w:before="100"/>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 and</w:t>
      </w:r>
    </w:p>
    <w:p>
      <w:pPr>
        <w:pStyle w:val="Indenti"/>
        <w:rPr>
          <w:snapToGrid w:val="0"/>
        </w:rPr>
      </w:pPr>
      <w:r>
        <w:rPr>
          <w:snapToGrid w:val="0"/>
        </w:rPr>
        <w:tab/>
        <w:t>(ii)</w:t>
      </w:r>
      <w:r>
        <w:rPr>
          <w:snapToGrid w:val="0"/>
        </w:rPr>
        <w:tab/>
        <w:t>the rebates allowable to seniors; and</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spacing w:before="100"/>
        <w:rPr>
          <w:snapToGrid w:val="0"/>
        </w:rPr>
      </w:pPr>
      <w:r>
        <w:rPr>
          <w:snapToGrid w:val="0"/>
        </w:rPr>
        <w:tab/>
      </w:r>
      <w:r>
        <w:rPr>
          <w:snapToGrid w:val="0"/>
        </w:rPr>
        <w:tab/>
        <w:t>may for the future be rationalised and inequities eliminated; and</w:t>
      </w:r>
    </w:p>
    <w:p>
      <w:pPr>
        <w:pStyle w:val="Indenta"/>
        <w:spacing w:before="100"/>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spacing w:before="100"/>
        <w:rPr>
          <w:snapToGrid w:val="0"/>
        </w:rPr>
      </w:pPr>
      <w:r>
        <w:rPr>
          <w:snapToGrid w:val="0"/>
        </w:rPr>
        <w:tab/>
      </w:r>
      <w:r>
        <w:rPr>
          <w:snapToGrid w:val="0"/>
        </w:rPr>
        <w:tab/>
        <w:t>are kept to a minimum.</w:t>
      </w:r>
    </w:p>
    <w:p>
      <w:pPr>
        <w:pStyle w:val="Footnotesection"/>
        <w:ind w:left="890" w:hanging="890"/>
      </w:pPr>
      <w:r>
        <w:tab/>
        <w:t>[Section 8 amended by No. 22 of 1998 s. 15.]</w:t>
      </w:r>
    </w:p>
    <w:p>
      <w:pPr>
        <w:pStyle w:val="Heading5"/>
        <w:spacing w:before="240"/>
      </w:pPr>
      <w:bookmarkStart w:id="15" w:name="_Toc473105267"/>
      <w:r>
        <w:rPr>
          <w:rStyle w:val="CharSectno"/>
        </w:rPr>
        <w:t>9</w:t>
      </w:r>
      <w:r>
        <w:t>.</w:t>
      </w:r>
      <w:r>
        <w:tab/>
        <w:t>Ministerial directions and procedural manuals</w:t>
      </w:r>
      <w:bookmarkEnd w:id="15"/>
    </w:p>
    <w:p>
      <w:pPr>
        <w:pStyle w:val="Subsection"/>
        <w:spacing w:before="180"/>
      </w:pPr>
      <w:r>
        <w:tab/>
        <w:t>(1)</w:t>
      </w:r>
      <w:r>
        <w:tab/>
        <w:t>The Minister may provide advice, make recommendations, or give written directions to administrative authorities as to the implementation of this Act.</w:t>
      </w:r>
    </w:p>
    <w:p>
      <w:pPr>
        <w:pStyle w:val="Subsection"/>
        <w:spacing w:before="180"/>
      </w:pPr>
      <w:r>
        <w:tab/>
        <w:t>(2)</w:t>
      </w:r>
      <w:r>
        <w:tab/>
        <w:t>The Minister may issue, and amend, a procedural manual for the guidance of administrative authorities as to the implementation of this Act.</w:t>
      </w:r>
    </w:p>
    <w:p>
      <w:pPr>
        <w:pStyle w:val="Subsection"/>
        <w:keepNext/>
        <w:spacing w:before="180"/>
      </w:pPr>
      <w:r>
        <w:tab/>
        <w:t>(3)</w:t>
      </w:r>
      <w:r>
        <w:tab/>
        <w:t>All employees, officers and members of an administrative authority must comply with a procedural manual.</w:t>
      </w:r>
    </w:p>
    <w:p>
      <w:pPr>
        <w:pStyle w:val="Subsection"/>
        <w:spacing w:before="180"/>
      </w:pPr>
      <w:r>
        <w:tab/>
        <w:t>(4)</w:t>
      </w:r>
      <w:r>
        <w:tab/>
        <w:t>The Minister may give written directions to an administrative authority with respect to the performance of its functions under this Act, either generally or as to a particular matter.</w:t>
      </w:r>
    </w:p>
    <w:p>
      <w:pPr>
        <w:pStyle w:val="Subsection"/>
        <w:spacing w:before="180"/>
      </w:pPr>
      <w:r>
        <w:tab/>
        <w:t>(5)</w:t>
      </w:r>
      <w:r>
        <w:tab/>
        <w:t>An administrative authority must comply with a direction given to it under subsection (4).</w:t>
      </w:r>
    </w:p>
    <w:p>
      <w:pPr>
        <w:pStyle w:val="Subsection"/>
        <w:spacing w:before="18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Sch. 1 cl. 146(1).]</w:t>
      </w:r>
    </w:p>
    <w:p>
      <w:pPr>
        <w:pStyle w:val="Heading5"/>
        <w:spacing w:before="240"/>
        <w:rPr>
          <w:snapToGrid w:val="0"/>
        </w:rPr>
      </w:pPr>
      <w:bookmarkStart w:id="16" w:name="_Toc473105268"/>
      <w:r>
        <w:rPr>
          <w:rStyle w:val="CharSectno"/>
        </w:rPr>
        <w:t>10</w:t>
      </w:r>
      <w:r>
        <w:rPr>
          <w:snapToGrid w:val="0"/>
        </w:rPr>
        <w:t>.</w:t>
      </w:r>
      <w:r>
        <w:rPr>
          <w:snapToGrid w:val="0"/>
        </w:rPr>
        <w:tab/>
        <w:t>Delegation of functions</w:t>
      </w:r>
      <w:bookmarkEnd w:id="16"/>
    </w:p>
    <w:p>
      <w:pPr>
        <w:pStyle w:val="Subsection"/>
        <w:spacing w:before="18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80"/>
        <w:rPr>
          <w:snapToGrid w:val="0"/>
        </w:rPr>
      </w:pPr>
      <w:r>
        <w:tab/>
        <w:t>(2)</w:t>
      </w:r>
      <w:r>
        <w:tab/>
        <w:t>A delegation may be made generally or as otherwise provided in the instrument of delegation.</w:t>
      </w:r>
    </w:p>
    <w:p>
      <w:pPr>
        <w:pStyle w:val="Subsection"/>
        <w:spacing w:before="18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ind w:left="890" w:hanging="890"/>
      </w:pPr>
      <w:r>
        <w:tab/>
        <w:t>[Section 10 amended by No. 22 of 1998 s. 17.]</w:t>
      </w:r>
    </w:p>
    <w:p>
      <w:pPr>
        <w:pStyle w:val="Heading5"/>
        <w:spacing w:before="180"/>
        <w:rPr>
          <w:snapToGrid w:val="0"/>
        </w:rPr>
      </w:pPr>
      <w:bookmarkStart w:id="17" w:name="_Toc473105269"/>
      <w:r>
        <w:rPr>
          <w:rStyle w:val="CharSectno"/>
        </w:rPr>
        <w:t>11</w:t>
      </w:r>
      <w:r>
        <w:rPr>
          <w:snapToGrid w:val="0"/>
        </w:rPr>
        <w:t>.</w:t>
      </w:r>
      <w:r>
        <w:rPr>
          <w:snapToGrid w:val="0"/>
        </w:rPr>
        <w:tab/>
        <w:t>Minister to have access to information</w:t>
      </w:r>
      <w:bookmarkEnd w:id="17"/>
    </w:p>
    <w:p>
      <w:pPr>
        <w:pStyle w:val="Subsection"/>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 and</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18" w:name="_Toc473105270"/>
      <w:r>
        <w:rPr>
          <w:rStyle w:val="CharDivNo"/>
        </w:rPr>
        <w:t>Division 5</w:t>
      </w:r>
      <w:r>
        <w:rPr>
          <w:snapToGrid w:val="0"/>
        </w:rPr>
        <w:t> — </w:t>
      </w:r>
      <w:r>
        <w:rPr>
          <w:rStyle w:val="CharDivText"/>
        </w:rPr>
        <w:t>Review of determinations</w:t>
      </w:r>
      <w:bookmarkEnd w:id="18"/>
    </w:p>
    <w:p>
      <w:pPr>
        <w:pStyle w:val="Heading5"/>
        <w:rPr>
          <w:snapToGrid w:val="0"/>
        </w:rPr>
      </w:pPr>
      <w:bookmarkStart w:id="19" w:name="_Toc473105271"/>
      <w:r>
        <w:rPr>
          <w:rStyle w:val="CharSectno"/>
        </w:rPr>
        <w:t>12</w:t>
      </w:r>
      <w:r>
        <w:rPr>
          <w:snapToGrid w:val="0"/>
        </w:rPr>
        <w:t>.</w:t>
      </w:r>
      <w:r>
        <w:rPr>
          <w:snapToGrid w:val="0"/>
        </w:rPr>
        <w:tab/>
        <w:t>Determination may be referred for review</w:t>
      </w:r>
      <w:bookmarkEnd w:id="19"/>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 or</w:t>
      </w:r>
    </w:p>
    <w:p>
      <w:pPr>
        <w:pStyle w:val="Indenta"/>
        <w:rPr>
          <w:snapToGrid w:val="0"/>
        </w:rPr>
      </w:pPr>
      <w:r>
        <w:rPr>
          <w:snapToGrid w:val="0"/>
        </w:rPr>
        <w:tab/>
        <w:t>(b)</w:t>
      </w:r>
      <w:r>
        <w:rPr>
          <w:snapToGrid w:val="0"/>
        </w:rPr>
        <w:tab/>
        <w:t>as to a change in conditions, circumstances or facts, under section 21; or</w:t>
      </w:r>
    </w:p>
    <w:p>
      <w:pPr>
        <w:pStyle w:val="Indenta"/>
        <w:rPr>
          <w:snapToGrid w:val="0"/>
        </w:rPr>
      </w:pPr>
      <w:r>
        <w:rPr>
          <w:snapToGrid w:val="0"/>
        </w:rPr>
        <w:tab/>
        <w:t>(c)</w:t>
      </w:r>
      <w:r>
        <w:rPr>
          <w:snapToGrid w:val="0"/>
        </w:rPr>
        <w:tab/>
        <w:t>to amend or cancel any registration, under section 37; or</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0" w:name="_Toc473105272"/>
      <w:r>
        <w:rPr>
          <w:rStyle w:val="CharSectno"/>
        </w:rPr>
        <w:t>13</w:t>
      </w:r>
      <w:r>
        <w:rPr>
          <w:snapToGrid w:val="0"/>
        </w:rPr>
        <w:t>.</w:t>
      </w:r>
      <w:r>
        <w:rPr>
          <w:snapToGrid w:val="0"/>
        </w:rPr>
        <w:tab/>
        <w:t>Investigation by authorised review officer</w:t>
      </w:r>
      <w:bookmarkEnd w:id="20"/>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 or</w:t>
      </w:r>
    </w:p>
    <w:p>
      <w:pPr>
        <w:pStyle w:val="Indenta"/>
        <w:rPr>
          <w:snapToGrid w:val="0"/>
        </w:rPr>
      </w:pPr>
      <w:r>
        <w:rPr>
          <w:snapToGrid w:val="0"/>
        </w:rPr>
        <w:tab/>
        <w:t>(b)</w:t>
      </w:r>
      <w:r>
        <w:rPr>
          <w:snapToGrid w:val="0"/>
        </w:rPr>
        <w:tab/>
        <w:t>vary the determination; or</w:t>
      </w:r>
    </w:p>
    <w:p>
      <w:pPr>
        <w:pStyle w:val="Indenta"/>
        <w:keepNext/>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 and</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1" w:name="_Toc473105273"/>
      <w:r>
        <w:rPr>
          <w:rStyle w:val="CharSectno"/>
        </w:rPr>
        <w:t>14</w:t>
      </w:r>
      <w:r>
        <w:rPr>
          <w:snapToGrid w:val="0"/>
        </w:rPr>
        <w:t>.</w:t>
      </w:r>
      <w:r>
        <w:rPr>
          <w:snapToGrid w:val="0"/>
        </w:rPr>
        <w:tab/>
        <w:t>Effect of review or complaint</w:t>
      </w:r>
      <w:bookmarkEnd w:id="21"/>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keepNext/>
        <w:rPr>
          <w:snapToGrid w:val="0"/>
        </w:rPr>
      </w:pPr>
      <w:r>
        <w:rPr>
          <w:snapToGrid w:val="0"/>
        </w:rPr>
        <w:tab/>
        <w:t>(3)</w:t>
      </w:r>
      <w:r>
        <w:rPr>
          <w:snapToGrid w:val="0"/>
        </w:rPr>
        <w:tab/>
        <w:t>Where —</w:t>
      </w:r>
    </w:p>
    <w:p>
      <w:pPr>
        <w:pStyle w:val="Indenta"/>
        <w:keepNext/>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2" w:name="_Toc473105274"/>
      <w:r>
        <w:rPr>
          <w:rStyle w:val="CharSectno"/>
        </w:rPr>
        <w:t>15</w:t>
      </w:r>
      <w:r>
        <w:rPr>
          <w:snapToGrid w:val="0"/>
        </w:rPr>
        <w:t>.</w:t>
      </w:r>
      <w:r>
        <w:rPr>
          <w:snapToGrid w:val="0"/>
        </w:rPr>
        <w:tab/>
        <w:t>Compensation for errors</w:t>
      </w:r>
      <w:bookmarkEnd w:id="22"/>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keepNext/>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Sch. 1 cl. 146(2); No. 31 of 2008 s. 35.]</w:t>
      </w:r>
    </w:p>
    <w:p>
      <w:pPr>
        <w:pStyle w:val="Heading3"/>
      </w:pPr>
      <w:bookmarkStart w:id="23" w:name="_Toc473105275"/>
      <w:r>
        <w:rPr>
          <w:rStyle w:val="CharDivNo"/>
        </w:rPr>
        <w:t>Division 6</w:t>
      </w:r>
      <w:r>
        <w:rPr>
          <w:snapToGrid w:val="0"/>
        </w:rPr>
        <w:t> — </w:t>
      </w:r>
      <w:r>
        <w:rPr>
          <w:rStyle w:val="CharDivText"/>
        </w:rPr>
        <w:t>Reimbursement</w:t>
      </w:r>
      <w:bookmarkEnd w:id="23"/>
    </w:p>
    <w:p>
      <w:pPr>
        <w:pStyle w:val="Heading5"/>
        <w:rPr>
          <w:snapToGrid w:val="0"/>
        </w:rPr>
      </w:pPr>
      <w:bookmarkStart w:id="24" w:name="_Toc473105276"/>
      <w:r>
        <w:rPr>
          <w:rStyle w:val="CharSectno"/>
        </w:rPr>
        <w:t>16</w:t>
      </w:r>
      <w:r>
        <w:rPr>
          <w:snapToGrid w:val="0"/>
        </w:rPr>
        <w:t>.</w:t>
      </w:r>
      <w:r>
        <w:rPr>
          <w:snapToGrid w:val="0"/>
        </w:rPr>
        <w:tab/>
        <w:t>Claims by administrative authorities</w:t>
      </w:r>
      <w:bookmarkEnd w:id="24"/>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 and</w:t>
      </w:r>
    </w:p>
    <w:p>
      <w:pPr>
        <w:pStyle w:val="Indenti"/>
        <w:rPr>
          <w:snapToGrid w:val="0"/>
        </w:rPr>
      </w:pPr>
      <w:r>
        <w:rPr>
          <w:snapToGrid w:val="0"/>
        </w:rPr>
        <w:tab/>
        <w:t>(ii)</w:t>
      </w:r>
      <w:r>
        <w:rPr>
          <w:snapToGrid w:val="0"/>
        </w:rPr>
        <w:tab/>
        <w:t>the format in which data is to be provided; and</w:t>
      </w:r>
    </w:p>
    <w:p>
      <w:pPr>
        <w:pStyle w:val="Indenti"/>
        <w:rPr>
          <w:snapToGrid w:val="0"/>
        </w:rPr>
      </w:pPr>
      <w:r>
        <w:rPr>
          <w:snapToGrid w:val="0"/>
        </w:rPr>
        <w:tab/>
        <w:t>(iii)</w:t>
      </w:r>
      <w:r>
        <w:rPr>
          <w:snapToGrid w:val="0"/>
        </w:rPr>
        <w:tab/>
        <w:t>the relevant periods; and</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pPr>
      <w:r>
        <w:tab/>
        <w:t>(4)</w:t>
      </w:r>
      <w:r>
        <w:tab/>
        <w:t>When a prescribed licensee allows any rebate to an eligible senior who as such is a registered person, the licensee may make a claim for reimbursement by the Minister of the amount allowed.</w:t>
      </w:r>
    </w:p>
    <w:p>
      <w:pPr>
        <w:pStyle w:val="Subsection"/>
      </w:pPr>
      <w:r>
        <w:tab/>
        <w:t>(5)</w:t>
      </w:r>
      <w:r>
        <w:tab/>
        <w:t xml:space="preserve">In subsection (4) — </w:t>
      </w:r>
    </w:p>
    <w:p>
      <w:pPr>
        <w:pStyle w:val="Defstart"/>
      </w:pPr>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p>
    <w:p>
      <w:pPr>
        <w:pStyle w:val="Footnotesection"/>
      </w:pPr>
      <w:r>
        <w:tab/>
        <w:t>[Section 16 amended by No. 73 of 1995 s. 188; No. 14 of 1996 s. 4; No. 22 of 1998 s. 20; No. 25 of 2012 s. 226(5) and (6).]</w:t>
      </w:r>
    </w:p>
    <w:p>
      <w:pPr>
        <w:pStyle w:val="Heading5"/>
        <w:rPr>
          <w:snapToGrid w:val="0"/>
        </w:rPr>
      </w:pPr>
      <w:bookmarkStart w:id="25" w:name="_Toc473105277"/>
      <w:r>
        <w:rPr>
          <w:rStyle w:val="CharSectno"/>
        </w:rPr>
        <w:t>17</w:t>
      </w:r>
      <w:r>
        <w:rPr>
          <w:snapToGrid w:val="0"/>
        </w:rPr>
        <w:t>.</w:t>
      </w:r>
      <w:r>
        <w:rPr>
          <w:snapToGrid w:val="0"/>
        </w:rPr>
        <w:tab/>
        <w:t>Payment of claims for reimbursement</w:t>
      </w:r>
      <w:bookmarkEnd w:id="25"/>
    </w:p>
    <w:p>
      <w:pPr>
        <w:pStyle w:val="Subsection"/>
        <w:spacing w:before="120"/>
      </w:pPr>
      <w:r>
        <w:tab/>
        <w:t>(1)</w:t>
      </w:r>
      <w:r>
        <w:tab/>
        <w:t>If the Minister is satisfied that a claim for reimbursement under section 16(2) or (4) of the amount of a rebate is validly made, the Minister is to reimburse the amount.</w:t>
      </w:r>
    </w:p>
    <w:p>
      <w:pPr>
        <w:pStyle w:val="Subsection"/>
        <w:spacing w:before="12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spacing w:before="120"/>
      </w:pPr>
      <w:r>
        <w:tab/>
        <w:t>(1b)</w:t>
      </w:r>
      <w:r>
        <w:tab/>
        <w:t>If an amount —</w:t>
      </w:r>
    </w:p>
    <w:p>
      <w:pPr>
        <w:pStyle w:val="Indenta"/>
        <w:spacing w:before="60"/>
      </w:pPr>
      <w:r>
        <w:tab/>
        <w:t>(a)</w:t>
      </w:r>
      <w:r>
        <w:tab/>
        <w:t>to be reimbursed to a local government under subsection (1); or</w:t>
      </w:r>
    </w:p>
    <w:p>
      <w:pPr>
        <w:pStyle w:val="Indenta"/>
        <w:spacing w:before="60"/>
      </w:pPr>
      <w:r>
        <w:tab/>
        <w:t>(b)</w:t>
      </w:r>
      <w:r>
        <w:tab/>
        <w:t>to be paid to a local government under subsection (1a),</w:t>
      </w:r>
    </w:p>
    <w:p>
      <w:pPr>
        <w:pStyle w:val="Subsection"/>
        <w:spacing w:before="100"/>
      </w:pPr>
      <w:r>
        <w:tab/>
      </w:r>
      <w:r>
        <w:tab/>
        <w:t xml:space="preserve">relates to the emergency services levy, the Minister is to reimburse or pay the amount to the FES Commissioner as defined in the </w:t>
      </w:r>
      <w:r>
        <w:rPr>
          <w:i/>
        </w:rPr>
        <w:t>Fire and Emergency Services Act 1998</w:t>
      </w:r>
      <w:r>
        <w:t xml:space="preserve"> section 3.</w:t>
      </w:r>
    </w:p>
    <w:p>
      <w:pPr>
        <w:pStyle w:val="Subsection"/>
        <w:spacing w:before="100"/>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Act 1998</w:t>
      </w:r>
      <w:r>
        <w:t>.</w:t>
      </w:r>
    </w:p>
    <w:p>
      <w:pPr>
        <w:pStyle w:val="Subsection"/>
        <w:spacing w:before="10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6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6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spacing w:before="60"/>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 No. 22 of 2012 s. 136.]</w:t>
      </w:r>
    </w:p>
    <w:p>
      <w:pPr>
        <w:pStyle w:val="Heading3"/>
      </w:pPr>
      <w:bookmarkStart w:id="26" w:name="_Toc473105278"/>
      <w:r>
        <w:rPr>
          <w:rStyle w:val="CharDivNo"/>
        </w:rPr>
        <w:t>Division 7</w:t>
      </w:r>
      <w:r>
        <w:rPr>
          <w:snapToGrid w:val="0"/>
        </w:rPr>
        <w:t> — </w:t>
      </w:r>
      <w:r>
        <w:rPr>
          <w:rStyle w:val="CharDivText"/>
        </w:rPr>
        <w:t>Transitional provisions</w:t>
      </w:r>
      <w:bookmarkEnd w:id="26"/>
    </w:p>
    <w:p>
      <w:pPr>
        <w:pStyle w:val="Heading5"/>
        <w:rPr>
          <w:snapToGrid w:val="0"/>
        </w:rPr>
      </w:pPr>
      <w:bookmarkStart w:id="27" w:name="_Toc473105279"/>
      <w:r>
        <w:rPr>
          <w:rStyle w:val="CharSectno"/>
        </w:rPr>
        <w:t>18</w:t>
      </w:r>
      <w:r>
        <w:rPr>
          <w:snapToGrid w:val="0"/>
        </w:rPr>
        <w:t>.</w:t>
      </w:r>
      <w:r>
        <w:rPr>
          <w:snapToGrid w:val="0"/>
        </w:rPr>
        <w:tab/>
        <w:t>Existing registrations</w:t>
      </w:r>
      <w:bookmarkEnd w:id="27"/>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28" w:name="_Toc473105280"/>
      <w:r>
        <w:rPr>
          <w:rStyle w:val="CharSectno"/>
        </w:rPr>
        <w:t>19</w:t>
      </w:r>
      <w:r>
        <w:rPr>
          <w:snapToGrid w:val="0"/>
        </w:rPr>
        <w:t>.</w:t>
      </w:r>
      <w:r>
        <w:rPr>
          <w:snapToGrid w:val="0"/>
        </w:rPr>
        <w:tab/>
        <w:t>Continued deferment of past rates and charges</w:t>
      </w:r>
      <w:bookmarkEnd w:id="28"/>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5</w:t>
      </w:r>
      <w:r>
        <w:rPr>
          <w:snapToGrid w:val="0"/>
        </w:rPr>
        <w:t xml:space="preserve"> allowed to defer payment of any rates; or</w:t>
      </w:r>
    </w:p>
    <w:p>
      <w:pPr>
        <w:pStyle w:val="Indenta"/>
        <w:keepNext/>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29" w:name="_Toc473105281"/>
      <w:r>
        <w:rPr>
          <w:rStyle w:val="CharSectno"/>
        </w:rPr>
        <w:t>20</w:t>
      </w:r>
      <w:r>
        <w:rPr>
          <w:snapToGrid w:val="0"/>
        </w:rPr>
        <w:t>.</w:t>
      </w:r>
      <w:r>
        <w:rPr>
          <w:snapToGrid w:val="0"/>
        </w:rPr>
        <w:tab/>
        <w:t>Rebates or deferments previously allowable to continue to have effect on future rates and charges</w:t>
      </w:r>
      <w:bookmarkEnd w:id="29"/>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30" w:name="_Toc473105282"/>
      <w:r>
        <w:rPr>
          <w:rStyle w:val="CharSectno"/>
        </w:rPr>
        <w:t>21</w:t>
      </w:r>
      <w:r>
        <w:rPr>
          <w:snapToGrid w:val="0"/>
        </w:rPr>
        <w:t>.</w:t>
      </w:r>
      <w:r>
        <w:rPr>
          <w:snapToGrid w:val="0"/>
        </w:rPr>
        <w:tab/>
        <w:t>Transitional effect of existing registrations, rebates allowable, and continued deferment</w:t>
      </w:r>
      <w:bookmarkEnd w:id="30"/>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31" w:name="_Toc473105283"/>
      <w:r>
        <w:rPr>
          <w:rStyle w:val="CharPartNo"/>
        </w:rPr>
        <w:t>Part 2</w:t>
      </w:r>
      <w:r>
        <w:t> — </w:t>
      </w:r>
      <w:r>
        <w:rPr>
          <w:rStyle w:val="CharPartText"/>
        </w:rPr>
        <w:t>Eligibility and entitlement</w:t>
      </w:r>
      <w:bookmarkEnd w:id="31"/>
    </w:p>
    <w:p>
      <w:pPr>
        <w:pStyle w:val="Heading3"/>
        <w:spacing w:before="200"/>
      </w:pPr>
      <w:bookmarkStart w:id="32" w:name="_Toc473105284"/>
      <w:r>
        <w:rPr>
          <w:rStyle w:val="CharDivNo"/>
        </w:rPr>
        <w:t>Division 1</w:t>
      </w:r>
      <w:r>
        <w:rPr>
          <w:snapToGrid w:val="0"/>
        </w:rPr>
        <w:t> — </w:t>
      </w:r>
      <w:r>
        <w:rPr>
          <w:rStyle w:val="CharDivText"/>
        </w:rPr>
        <w:t>Eligibility</w:t>
      </w:r>
      <w:bookmarkEnd w:id="32"/>
    </w:p>
    <w:p>
      <w:pPr>
        <w:pStyle w:val="Heading5"/>
        <w:spacing w:before="180"/>
        <w:rPr>
          <w:snapToGrid w:val="0"/>
        </w:rPr>
      </w:pPr>
      <w:bookmarkStart w:id="33" w:name="_Toc473105285"/>
      <w:r>
        <w:rPr>
          <w:rStyle w:val="CharSectno"/>
        </w:rPr>
        <w:t>22</w:t>
      </w:r>
      <w:r>
        <w:rPr>
          <w:snapToGrid w:val="0"/>
        </w:rPr>
        <w:t>.</w:t>
      </w:r>
      <w:r>
        <w:rPr>
          <w:snapToGrid w:val="0"/>
        </w:rPr>
        <w:tab/>
        <w:t>Seniors may apply for registration</w:t>
      </w:r>
      <w:bookmarkEnd w:id="33"/>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34" w:name="_Toc473105286"/>
      <w:r>
        <w:rPr>
          <w:rStyle w:val="CharSectno"/>
        </w:rPr>
        <w:t>23</w:t>
      </w:r>
      <w:r>
        <w:rPr>
          <w:snapToGrid w:val="0"/>
        </w:rPr>
        <w:t>.</w:t>
      </w:r>
      <w:r>
        <w:rPr>
          <w:snapToGrid w:val="0"/>
        </w:rPr>
        <w:tab/>
        <w:t>Pensioners eligible to apply for registration</w:t>
      </w:r>
      <w:bookmarkEnd w:id="34"/>
    </w:p>
    <w:p>
      <w:pPr>
        <w:pStyle w:val="Subsection"/>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 or</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 or</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pPr>
        <w:pStyle w:val="Indenta"/>
      </w:pPr>
      <w:r>
        <w:tab/>
        <w:t>(a)</w:t>
      </w:r>
      <w:r>
        <w:tab/>
        <w:t>meets the criteria listed in section 199(1) of that Act; or</w:t>
      </w:r>
    </w:p>
    <w:p>
      <w:pPr>
        <w:pStyle w:val="Indenta"/>
      </w:pPr>
      <w:r>
        <w:tab/>
        <w:t>(b)</w:t>
      </w:r>
      <w:r>
        <w:tab/>
        <w:t>is receiving a Special Rate Disability Pension under Chapter 4 Part 6 of that Act instead of compensation worked out under Chapter 4 Part 4 Division 2 of that Act; or</w:t>
      </w:r>
    </w:p>
    <w:p>
      <w:pPr>
        <w:pStyle w:val="Indenta"/>
      </w:pPr>
      <w:r>
        <w:tab/>
        <w:t>(c)</w:t>
      </w:r>
      <w:r>
        <w:tab/>
        <w:t>under section 284 of that Act, is entitled to be provided with treatment under Chapter 6 Part 3 of that Act,</w:t>
      </w:r>
    </w:p>
    <w:p>
      <w:pPr>
        <w:pStyle w:val="Subsection"/>
      </w:pPr>
      <w:r>
        <w:tab/>
      </w:r>
      <w:r>
        <w:tab/>
        <w:t>regardless of the income or assets of that person.</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keepNext/>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 No. 29 of 2012 s. 35.]</w:t>
      </w:r>
    </w:p>
    <w:p>
      <w:pPr>
        <w:pStyle w:val="Heading5"/>
        <w:rPr>
          <w:snapToGrid w:val="0"/>
        </w:rPr>
      </w:pPr>
      <w:bookmarkStart w:id="35" w:name="_Toc473105287"/>
      <w:r>
        <w:rPr>
          <w:rStyle w:val="CharSectno"/>
        </w:rPr>
        <w:t>24</w:t>
      </w:r>
      <w:r>
        <w:rPr>
          <w:snapToGrid w:val="0"/>
        </w:rPr>
        <w:t>.</w:t>
      </w:r>
      <w:r>
        <w:rPr>
          <w:snapToGrid w:val="0"/>
        </w:rPr>
        <w:tab/>
        <w:t>Other persons prescribed as eligible</w:t>
      </w:r>
      <w:bookmarkEnd w:id="35"/>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36" w:name="_Toc473105288"/>
      <w:r>
        <w:rPr>
          <w:rStyle w:val="CharSectno"/>
        </w:rPr>
        <w:t>25</w:t>
      </w:r>
      <w:r>
        <w:rPr>
          <w:snapToGrid w:val="0"/>
        </w:rPr>
        <w:t>.</w:t>
      </w:r>
      <w:r>
        <w:rPr>
          <w:snapToGrid w:val="0"/>
        </w:rPr>
        <w:tab/>
        <w:t>Means tests</w:t>
      </w:r>
      <w:bookmarkEnd w:id="3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 xml:space="preserve">the tests applicable to that pension or allowance referred to in paragraph (a) of the interpretation of the </w:t>
      </w:r>
      <w:r>
        <w:rPr>
          <w:b/>
          <w:i/>
          <w:snapToGrid w:val="0"/>
        </w:rPr>
        <w:t>pension means test</w:t>
      </w:r>
      <w:r>
        <w:rPr>
          <w:snapToGrid w:val="0"/>
        </w:rPr>
        <w:t xml:space="preserve">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37" w:name="_Toc473105289"/>
      <w:r>
        <w:rPr>
          <w:rStyle w:val="CharSectno"/>
        </w:rPr>
        <w:t>26</w:t>
      </w:r>
      <w:r>
        <w:rPr>
          <w:snapToGrid w:val="0"/>
        </w:rPr>
        <w:t>.</w:t>
      </w:r>
      <w:r>
        <w:rPr>
          <w:snapToGrid w:val="0"/>
        </w:rPr>
        <w:tab/>
        <w:t>Evidence of eligibility, production of relevant card or authorisation</w:t>
      </w:r>
      <w:bookmarkEnd w:id="37"/>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 or</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 or</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 or</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 No. 29 of 2012 s. 36.]</w:t>
      </w:r>
    </w:p>
    <w:p>
      <w:pPr>
        <w:pStyle w:val="Heading3"/>
      </w:pPr>
      <w:bookmarkStart w:id="38" w:name="_Toc473105290"/>
      <w:r>
        <w:rPr>
          <w:rStyle w:val="CharDivNo"/>
        </w:rPr>
        <w:t>Division 2</w:t>
      </w:r>
      <w:r>
        <w:rPr>
          <w:snapToGrid w:val="0"/>
        </w:rPr>
        <w:t> — </w:t>
      </w:r>
      <w:r>
        <w:rPr>
          <w:rStyle w:val="CharDivText"/>
        </w:rPr>
        <w:t>Entitlement</w:t>
      </w:r>
      <w:bookmarkEnd w:id="38"/>
    </w:p>
    <w:p>
      <w:pPr>
        <w:pStyle w:val="Heading5"/>
        <w:rPr>
          <w:snapToGrid w:val="0"/>
        </w:rPr>
      </w:pPr>
      <w:bookmarkStart w:id="39" w:name="_Toc473105291"/>
      <w:r>
        <w:rPr>
          <w:rStyle w:val="CharSectno"/>
        </w:rPr>
        <w:t>27</w:t>
      </w:r>
      <w:r>
        <w:rPr>
          <w:snapToGrid w:val="0"/>
        </w:rPr>
        <w:t>.</w:t>
      </w:r>
      <w:r>
        <w:rPr>
          <w:snapToGrid w:val="0"/>
        </w:rPr>
        <w:tab/>
        <w:t>Concept of land belonging to a person</w:t>
      </w:r>
      <w:bookmarkEnd w:id="39"/>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40" w:name="_Toc473105292"/>
      <w:r>
        <w:rPr>
          <w:rStyle w:val="CharSectno"/>
        </w:rPr>
        <w:t>28</w:t>
      </w:r>
      <w:r>
        <w:rPr>
          <w:snapToGrid w:val="0"/>
        </w:rPr>
        <w:t>.</w:t>
      </w:r>
      <w:r>
        <w:rPr>
          <w:snapToGrid w:val="0"/>
        </w:rPr>
        <w:tab/>
        <w:t>Proportionate interests</w:t>
      </w:r>
      <w:bookmarkEnd w:id="40"/>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keepLines/>
        <w:spacing w:before="120"/>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spacing w:before="80"/>
        <w:ind w:left="890" w:hanging="890"/>
      </w:pPr>
      <w:r>
        <w:tab/>
        <w:t>[Section 28 amended by No. 25 of 1993 s. 7; No. 3 of 2001 s. 8; No. 28 of 2003 s. 169; No. 9 of 2005 s. 10.]</w:t>
      </w:r>
    </w:p>
    <w:p>
      <w:pPr>
        <w:pStyle w:val="Heading5"/>
        <w:spacing w:before="180"/>
        <w:rPr>
          <w:snapToGrid w:val="0"/>
        </w:rPr>
      </w:pPr>
      <w:bookmarkStart w:id="41" w:name="_Toc473105293"/>
      <w:r>
        <w:rPr>
          <w:rStyle w:val="CharSectno"/>
        </w:rPr>
        <w:t>29</w:t>
      </w:r>
      <w:r>
        <w:rPr>
          <w:snapToGrid w:val="0"/>
        </w:rPr>
        <w:t>.</w:t>
      </w:r>
      <w:r>
        <w:rPr>
          <w:snapToGrid w:val="0"/>
        </w:rPr>
        <w:tab/>
        <w:t>Relevant interests</w:t>
      </w:r>
      <w:bookmarkEnd w:id="41"/>
    </w:p>
    <w:p>
      <w:pPr>
        <w:pStyle w:val="Subsection"/>
        <w:keepNext/>
        <w:spacing w:before="120"/>
        <w:rPr>
          <w:snapToGrid w:val="0"/>
        </w:rPr>
      </w:pPr>
      <w:r>
        <w:rPr>
          <w:snapToGrid w:val="0"/>
        </w:rPr>
        <w:tab/>
        <w:t>(1)</w:t>
      </w:r>
      <w:r>
        <w:rPr>
          <w:snapToGrid w:val="0"/>
        </w:rPr>
        <w:tab/>
        <w:t>Where an eligible person —</w:t>
      </w:r>
    </w:p>
    <w:p>
      <w:pPr>
        <w:pStyle w:val="Indenta"/>
        <w:spacing w:before="60"/>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 or</w:t>
      </w:r>
    </w:p>
    <w:p>
      <w:pPr>
        <w:pStyle w:val="Indenta"/>
        <w:spacing w:before="60"/>
        <w:rPr>
          <w:snapToGrid w:val="0"/>
        </w:rPr>
      </w:pPr>
      <w:r>
        <w:rPr>
          <w:snapToGrid w:val="0"/>
        </w:rPr>
        <w:tab/>
        <w:t>(b)</w:t>
      </w:r>
      <w:r>
        <w:rPr>
          <w:snapToGrid w:val="0"/>
        </w:rPr>
        <w:tab/>
        <w:t>occupies land on which the person is and remains liable to pay prescribed charges, if that occupation occurs —</w:t>
      </w:r>
    </w:p>
    <w:p>
      <w:pPr>
        <w:pStyle w:val="Indenti"/>
        <w:spacing w:before="60"/>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spacing w:before="60"/>
        <w:rPr>
          <w:snapToGrid w:val="0"/>
        </w:rPr>
      </w:pPr>
      <w:r>
        <w:rPr>
          <w:snapToGrid w:val="0"/>
        </w:rPr>
        <w:tab/>
        <w:t>(ii)</w:t>
      </w:r>
      <w:r>
        <w:rPr>
          <w:snapToGrid w:val="0"/>
        </w:rPr>
        <w:tab/>
        <w:t>by reason that the eligible person, under that distribution —</w:t>
      </w:r>
    </w:p>
    <w:p>
      <w:pPr>
        <w:pStyle w:val="IndentI0"/>
        <w:spacing w:before="60"/>
        <w:rPr>
          <w:snapToGrid w:val="0"/>
        </w:rPr>
      </w:pPr>
      <w:r>
        <w:rPr>
          <w:snapToGrid w:val="0"/>
        </w:rPr>
        <w:tab/>
        <w:t>(A)</w:t>
      </w:r>
      <w:r>
        <w:rPr>
          <w:snapToGrid w:val="0"/>
        </w:rPr>
        <w:tab/>
        <w:t>as a beneficiary, has a prospective entitlement to the fee simple in that land; or</w:t>
      </w:r>
    </w:p>
    <w:p>
      <w:pPr>
        <w:pStyle w:val="IndentI0"/>
        <w:spacing w:before="60"/>
        <w:rPr>
          <w:snapToGrid w:val="0"/>
        </w:rPr>
      </w:pPr>
      <w:r>
        <w:rPr>
          <w:snapToGrid w:val="0"/>
        </w:rPr>
        <w:tab/>
        <w:t>(B)</w:t>
      </w:r>
      <w:r>
        <w:rPr>
          <w:snapToGrid w:val="0"/>
        </w:rPr>
        <w:tab/>
        <w:t>is a life tenant, on whom is conferred the right to occupy the land; or</w:t>
      </w:r>
    </w:p>
    <w:p>
      <w:pPr>
        <w:pStyle w:val="IndentI0"/>
        <w:spacing w:before="60"/>
        <w:rPr>
          <w:snapToGrid w:val="0"/>
        </w:rPr>
      </w:pPr>
      <w:r>
        <w:tab/>
        <w:t>(C)</w:t>
      </w:r>
      <w:r>
        <w:tab/>
        <w:t>is entitled under the will of the deceased to occupy the land;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 or</w:t>
      </w:r>
    </w:p>
    <w:p>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rPr>
          <w:snapToGrid w:val="0"/>
        </w:rPr>
      </w:pPr>
      <w:r>
        <w:rPr>
          <w:snapToGrid w:val="0"/>
        </w:rPr>
        <w:tab/>
        <w:t>(i)</w:t>
      </w:r>
      <w:r>
        <w:rPr>
          <w:snapToGrid w:val="0"/>
        </w:rPr>
        <w:tab/>
        <w:t>before the coming into operation of this Act; or</w:t>
      </w:r>
    </w:p>
    <w:p>
      <w:pPr>
        <w:pStyle w:val="Indenti"/>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spacing w:before="180"/>
        <w:rPr>
          <w:snapToGrid w:val="0"/>
        </w:rPr>
      </w:pPr>
      <w:r>
        <w:rPr>
          <w:snapToGrid w:val="0"/>
        </w:rPr>
        <w:tab/>
      </w:r>
      <w:r>
        <w:rPr>
          <w:snapToGrid w:val="0"/>
        </w:rPr>
        <w:tab/>
        <w:t>that person has an interest in the land which is to be taken to be relevant for the purposes of this Act.</w:t>
      </w:r>
    </w:p>
    <w:p>
      <w:pPr>
        <w:pStyle w:val="Subsection"/>
        <w:spacing w:before="180"/>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keepLines w:val="0"/>
        <w:spacing w:before="280"/>
      </w:pPr>
      <w:bookmarkStart w:id="42" w:name="_Toc473105294"/>
      <w:r>
        <w:rPr>
          <w:rStyle w:val="CharSectno"/>
        </w:rPr>
        <w:t>29A</w:t>
      </w:r>
      <w:r>
        <w:t>.</w:t>
      </w:r>
      <w:r>
        <w:tab/>
        <w:t>Relevant interest — resident of retirement village</w:t>
      </w:r>
      <w:bookmarkEnd w:id="42"/>
    </w:p>
    <w:p>
      <w:pPr>
        <w:pStyle w:val="Subsection"/>
        <w:keepLines/>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r>
        <w:t>.</w:t>
      </w:r>
    </w:p>
    <w:p>
      <w:pPr>
        <w:pStyle w:val="Subsection"/>
        <w:spacing w:before="180"/>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spacing w:before="180"/>
      </w:pPr>
      <w:r>
        <w:tab/>
      </w:r>
      <w:r>
        <w:tab/>
        <w:t>that person has an interest in the land which is to be taken to be relevant for the purposes of this Act.</w:t>
      </w:r>
    </w:p>
    <w:p>
      <w:pPr>
        <w:pStyle w:val="Subsection"/>
        <w:spacing w:before="180"/>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spacing w:before="180"/>
      </w:pPr>
      <w:r>
        <w:tab/>
        <w:t>(4)</w:t>
      </w:r>
      <w:r>
        <w:tab/>
        <w:t>A prescribed charge arrangement may form part of a residence contract.</w:t>
      </w:r>
    </w:p>
    <w:p>
      <w:pPr>
        <w:pStyle w:val="Subsection"/>
        <w:keepNext/>
        <w:spacing w:before="180"/>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spacing w:before="260"/>
      </w:pPr>
      <w:bookmarkStart w:id="43" w:name="_Toc473105295"/>
      <w:r>
        <w:rPr>
          <w:rStyle w:val="CharSectno"/>
        </w:rPr>
        <w:t>29B</w:t>
      </w:r>
      <w:r>
        <w:t>.</w:t>
      </w:r>
      <w:r>
        <w:tab/>
        <w:t>Relevant interest — owner</w:t>
      </w:r>
      <w:r>
        <w:noBreakHyphen/>
        <w:t>occupier of caravan or park home</w:t>
      </w:r>
      <w:bookmarkEnd w:id="43"/>
    </w:p>
    <w:p>
      <w:pPr>
        <w:pStyle w:val="Subsection"/>
        <w:spacing w:before="200"/>
      </w:pPr>
      <w:r>
        <w:tab/>
        <w:t>(1)</w:t>
      </w:r>
      <w:r>
        <w:tab/>
        <w:t>In this section —</w:t>
      </w:r>
    </w:p>
    <w:p>
      <w:pPr>
        <w:pStyle w:val="Defstart"/>
        <w:spacing w:before="100"/>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tab/>
      </w:r>
      <w:r>
        <w:rPr>
          <w:rStyle w:val="CharDefText"/>
        </w:rPr>
        <w:t>lessor</w:t>
      </w:r>
      <w:r>
        <w:t xml:space="preserve">, in relation to land, has the meaning given in the </w:t>
      </w:r>
      <w:r>
        <w:rPr>
          <w:i/>
        </w:rPr>
        <w:t>Residential Tenancies Act 1987</w:t>
      </w:r>
      <w:r>
        <w:t xml:space="preserve"> section 3;</w:t>
      </w:r>
    </w:p>
    <w:p>
      <w:pPr>
        <w:pStyle w:val="Defstart"/>
        <w:spacing w:before="100"/>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rPr>
          <w:b/>
        </w:rPr>
        <w:tab/>
      </w:r>
      <w:r>
        <w:rPr>
          <w:rStyle w:val="CharDefText"/>
        </w:rPr>
        <w:t>residential tenancy agreement</w:t>
      </w:r>
      <w:r>
        <w:t xml:space="preserve"> has the meaning given to that term in the </w:t>
      </w:r>
      <w:r>
        <w:rPr>
          <w:i/>
        </w:rPr>
        <w:t>Residential Tenancies Act 1987</w:t>
      </w:r>
      <w:r>
        <w:t>;</w:t>
      </w:r>
    </w:p>
    <w:p>
      <w:pPr>
        <w:pStyle w:val="Defstart"/>
        <w:spacing w:before="100"/>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spacing w:before="200"/>
      </w:pPr>
      <w:r>
        <w:tab/>
        <w:t>(2)</w:t>
      </w:r>
      <w:r>
        <w:tab/>
        <w:t>Where an eligible person who occupies a site on land in a caravan park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spacing w:before="200"/>
      </w:pPr>
      <w:r>
        <w:tab/>
      </w:r>
      <w:r>
        <w:tab/>
        <w:t>that person has an interest in the land which is to be taken to be relevant for the purposes of this Act.</w:t>
      </w:r>
    </w:p>
    <w:p>
      <w:pPr>
        <w:pStyle w:val="Subsection"/>
        <w:spacing w:before="200"/>
      </w:pPr>
      <w:r>
        <w:tab/>
        <w:t>(3)</w:t>
      </w:r>
      <w:r>
        <w:tab/>
        <w:t>An eligible person enters into a prescribed charge arrangement for the purposes of this section if the person enters into a written contract, agreement, scheme, deed or other written arrangement with the lessor of land in a caravan park to pay, either directly or indirectly, a prescribed charge on the land occupied by the person as an owner</w:t>
      </w:r>
      <w:r>
        <w:noBreakHyphen/>
        <w:t>occupier.</w:t>
      </w:r>
    </w:p>
    <w:p>
      <w:pPr>
        <w:pStyle w:val="Subsection"/>
        <w:spacing w:before="200"/>
      </w:pPr>
      <w:r>
        <w:tab/>
        <w:t>(4)</w:t>
      </w:r>
      <w:r>
        <w:tab/>
        <w:t>An eligible person is taken to have entered into a prescribed charge arrangement for the purposes of this section if the eligible person —</w:t>
      </w:r>
    </w:p>
    <w:p>
      <w:pPr>
        <w:pStyle w:val="Indenta"/>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200"/>
      </w:pPr>
      <w:r>
        <w:tab/>
        <w:t>(5)</w:t>
      </w:r>
      <w:r>
        <w:tab/>
        <w:t>An eligible person occupies a site as an owner</w:t>
      </w:r>
      <w:r>
        <w:noBreakHyphen/>
        <w:t>occupier for the purposes of this section if —</w:t>
      </w:r>
    </w:p>
    <w:p>
      <w:pPr>
        <w:pStyle w:val="Indenta"/>
        <w:spacing w:before="100"/>
      </w:pPr>
      <w:r>
        <w:tab/>
        <w:t>(a)</w:t>
      </w:r>
      <w:r>
        <w:tab/>
        <w:t>the eligible person —</w:t>
      </w:r>
    </w:p>
    <w:p>
      <w:pPr>
        <w:pStyle w:val="Indenti"/>
        <w:spacing w:before="100"/>
      </w:pPr>
      <w:r>
        <w:tab/>
        <w:t>(i)</w:t>
      </w:r>
      <w:r>
        <w:tab/>
        <w:t>is the owner of a caravan or park home situated on the site in a caravan park; and</w:t>
      </w:r>
    </w:p>
    <w:p>
      <w:pPr>
        <w:pStyle w:val="Indenti"/>
        <w:spacing w:before="100"/>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the eligible person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60"/>
      </w:pPr>
      <w:r>
        <w:tab/>
        <w:t>(ii)</w:t>
      </w:r>
      <w:r>
        <w:tab/>
        <w:t>resides with that person, or was residing with that deceased person at the time of his or her death.</w:t>
      </w:r>
    </w:p>
    <w:p>
      <w:pPr>
        <w:pStyle w:val="Footnotesection"/>
        <w:keepLines w:val="0"/>
        <w:ind w:left="890" w:hanging="890"/>
      </w:pPr>
      <w:r>
        <w:tab/>
        <w:t>[Section 29B inserted by No. 9 of 2005 s. 11; amended by No. 60 of 2011 s. 104.]</w:t>
      </w:r>
    </w:p>
    <w:p>
      <w:pPr>
        <w:pStyle w:val="Heading5"/>
        <w:spacing w:before="240"/>
      </w:pPr>
      <w:bookmarkStart w:id="44" w:name="_Toc473105296"/>
      <w:r>
        <w:rPr>
          <w:rStyle w:val="CharSectno"/>
        </w:rPr>
        <w:t>29C</w:t>
      </w:r>
      <w:r>
        <w:t>.</w:t>
      </w:r>
      <w:r>
        <w:tab/>
        <w:t>Relevant interest — owner</w:t>
      </w:r>
      <w:r>
        <w:noBreakHyphen/>
        <w:t>occupier of relocatable home</w:t>
      </w:r>
      <w:bookmarkEnd w:id="44"/>
      <w:r>
        <w:t xml:space="preserve"> </w:t>
      </w:r>
    </w:p>
    <w:p>
      <w:pPr>
        <w:pStyle w:val="Subsection"/>
        <w:spacing w:before="180"/>
      </w:pPr>
      <w:r>
        <w:tab/>
        <w:t>(1)</w:t>
      </w:r>
      <w:r>
        <w:tab/>
        <w:t xml:space="preserve">In this section — </w:t>
      </w:r>
    </w:p>
    <w:p>
      <w:pPr>
        <w:pStyle w:val="Defstart"/>
        <w:spacing w:before="100"/>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spacing w:before="180"/>
      </w:pPr>
      <w:r>
        <w:tab/>
        <w:t>(2)</w:t>
      </w:r>
      <w:r>
        <w:tab/>
        <w:t xml:space="preserve">Where an eligible person who occupies a site on land in a residential park —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spacing w:before="180"/>
      </w:pPr>
      <w:r>
        <w:tab/>
        <w:t>(4)</w:t>
      </w:r>
      <w:r>
        <w:tab/>
        <w:t xml:space="preserve">An eligible person is taken to have entered into a prescribed charge arrangement for the purposes of this section if the eligible person — </w:t>
      </w:r>
    </w:p>
    <w:p>
      <w:pPr>
        <w:pStyle w:val="Indenta"/>
        <w:widowControl w:val="0"/>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180"/>
      </w:pPr>
      <w:r>
        <w:tab/>
        <w:t>(5)</w:t>
      </w:r>
      <w:r>
        <w:tab/>
        <w:t>An eligible person occupies a site as an owner</w:t>
      </w:r>
      <w:r>
        <w:noBreakHyphen/>
        <w:t xml:space="preserve">occupier for the purposes of this section if — </w:t>
      </w:r>
    </w:p>
    <w:p>
      <w:pPr>
        <w:pStyle w:val="Indenta"/>
        <w:spacing w:before="100"/>
      </w:pPr>
      <w:r>
        <w:tab/>
        <w:t>(a)</w:t>
      </w:r>
      <w:r>
        <w:tab/>
        <w:t xml:space="preserve">the eligible person — </w:t>
      </w:r>
    </w:p>
    <w:p>
      <w:pPr>
        <w:pStyle w:val="Indenti"/>
        <w:spacing w:before="100"/>
      </w:pPr>
      <w:r>
        <w:tab/>
        <w:t>(i)</w:t>
      </w:r>
      <w:r>
        <w:tab/>
        <w:t>is the owner of a relocatable home situated on the site in a residential park; and</w:t>
      </w:r>
    </w:p>
    <w:p>
      <w:pPr>
        <w:pStyle w:val="Indenti"/>
        <w:spacing w:before="100"/>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 xml:space="preserve">the eligible person —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100"/>
      </w:pPr>
      <w:r>
        <w:tab/>
        <w:t>(ii)</w:t>
      </w:r>
      <w:r>
        <w:tab/>
        <w:t>resides with that person or was residing with that deceased person at the time of his or her death.</w:t>
      </w:r>
    </w:p>
    <w:p>
      <w:pPr>
        <w:pStyle w:val="Footnotesection"/>
        <w:spacing w:before="140"/>
        <w:ind w:left="890" w:hanging="890"/>
      </w:pPr>
      <w:r>
        <w:tab/>
        <w:t>[Section 29C inserted by No. 32 of 2006 s. 98.]</w:t>
      </w:r>
    </w:p>
    <w:p>
      <w:pPr>
        <w:pStyle w:val="Heading5"/>
        <w:spacing w:before="240"/>
        <w:rPr>
          <w:snapToGrid w:val="0"/>
        </w:rPr>
      </w:pPr>
      <w:bookmarkStart w:id="45" w:name="_Toc473105297"/>
      <w:r>
        <w:rPr>
          <w:rStyle w:val="CharSectno"/>
        </w:rPr>
        <w:t>30</w:t>
      </w:r>
      <w:r>
        <w:rPr>
          <w:snapToGrid w:val="0"/>
        </w:rPr>
        <w:t>.</w:t>
      </w:r>
      <w:r>
        <w:rPr>
          <w:snapToGrid w:val="0"/>
        </w:rPr>
        <w:tab/>
        <w:t>Ordinary place of residence, not in actual occupation</w:t>
      </w:r>
      <w:bookmarkEnd w:id="45"/>
    </w:p>
    <w:p>
      <w:pPr>
        <w:pStyle w:val="Subsection"/>
        <w:spacing w:before="180"/>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 and</w:t>
      </w:r>
    </w:p>
    <w:p>
      <w:pPr>
        <w:pStyle w:val="Indenta"/>
        <w:rPr>
          <w:snapToGrid w:val="0"/>
        </w:rPr>
      </w:pPr>
      <w:r>
        <w:rPr>
          <w:snapToGrid w:val="0"/>
        </w:rPr>
        <w:tab/>
        <w:t>(b)</w:t>
      </w:r>
      <w:r>
        <w:rPr>
          <w:snapToGrid w:val="0"/>
        </w:rPr>
        <w:tab/>
        <w:t>furniture, household goods or personal effects of that person remain in the residence;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 or</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1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spacing w:before="180"/>
      </w:pPr>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keepNext/>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spacing w:before="180"/>
        <w:rPr>
          <w:snapToGrid w:val="0"/>
        </w:rPr>
      </w:pPr>
      <w:bookmarkStart w:id="46" w:name="_Toc473105298"/>
      <w:r>
        <w:rPr>
          <w:rStyle w:val="CharSectno"/>
        </w:rPr>
        <w:t>31</w:t>
      </w:r>
      <w:r>
        <w:rPr>
          <w:snapToGrid w:val="0"/>
        </w:rPr>
        <w:t>.</w:t>
      </w:r>
      <w:r>
        <w:rPr>
          <w:snapToGrid w:val="0"/>
        </w:rPr>
        <w:tab/>
        <w:t>Certain cases of former joint occupation</w:t>
      </w:r>
      <w:bookmarkEnd w:id="46"/>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keepNext/>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 or</w:t>
      </w:r>
    </w:p>
    <w:p>
      <w:pPr>
        <w:pStyle w:val="Indenti"/>
      </w:pPr>
      <w:r>
        <w:tab/>
        <w:t>(ii)</w:t>
      </w:r>
      <w:r>
        <w:tab/>
        <w:t>of the Family Court of Western Australia; or</w:t>
      </w:r>
    </w:p>
    <w:p>
      <w:pPr>
        <w:pStyle w:val="Indenti"/>
        <w:keepNext/>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 or</w:t>
      </w:r>
    </w:p>
    <w:p>
      <w:pPr>
        <w:pStyle w:val="Indenta"/>
      </w:pPr>
      <w:r>
        <w:tab/>
        <w:t>(aa)</w:t>
      </w:r>
      <w:r>
        <w:tab/>
        <w:t>where —</w:t>
      </w:r>
    </w:p>
    <w:p>
      <w:pPr>
        <w:pStyle w:val="Indenti"/>
        <w:spacing w:before="60"/>
      </w:pPr>
      <w:r>
        <w:tab/>
        <w:t>(i)</w:t>
      </w:r>
      <w:r>
        <w:tab/>
        <w:t xml:space="preserve">a financial agreement made under section 90B, 90C or 90D of the </w:t>
      </w:r>
      <w:r>
        <w:rPr>
          <w:i/>
        </w:rPr>
        <w:t>Family Law Act 1975</w:t>
      </w:r>
      <w:r>
        <w:t xml:space="preserve"> of the Commonwealth; or</w:t>
      </w:r>
    </w:p>
    <w:p>
      <w:pPr>
        <w:pStyle w:val="Indenti"/>
        <w:spacing w:before="60"/>
      </w:pPr>
      <w:r>
        <w:tab/>
        <w:t>(ii)</w:t>
      </w:r>
      <w:r>
        <w:tab/>
        <w:t xml:space="preserve">a financial agreement made under section 205ZN, 205ZO or 205ZP of the </w:t>
      </w:r>
      <w:r>
        <w:rPr>
          <w:i/>
        </w:rPr>
        <w:t>Family Court Act 1997</w:t>
      </w:r>
      <w:r>
        <w:t>; or</w:t>
      </w:r>
    </w:p>
    <w:p>
      <w:pPr>
        <w:pStyle w:val="Indenti"/>
        <w:spacing w:before="60"/>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spacing w:before="40"/>
        <w:ind w:left="890" w:hanging="890"/>
      </w:pPr>
      <w:r>
        <w:tab/>
        <w:t>[Section 31 amended by No. 25 of 1993 s. 9; No. 3 of 2001 s. 9; No. 28 of 2003 s. 170; No. 9 of 2005 s. 12.]</w:t>
      </w:r>
    </w:p>
    <w:p>
      <w:pPr>
        <w:pStyle w:val="Heading3"/>
      </w:pPr>
      <w:bookmarkStart w:id="47" w:name="_Toc473105299"/>
      <w:r>
        <w:rPr>
          <w:rStyle w:val="CharDivNo"/>
        </w:rPr>
        <w:t>Division 3</w:t>
      </w:r>
      <w:r>
        <w:rPr>
          <w:snapToGrid w:val="0"/>
        </w:rPr>
        <w:t> — </w:t>
      </w:r>
      <w:r>
        <w:rPr>
          <w:rStyle w:val="CharDivText"/>
        </w:rPr>
        <w:t>The registration process</w:t>
      </w:r>
      <w:bookmarkEnd w:id="47"/>
    </w:p>
    <w:p>
      <w:pPr>
        <w:pStyle w:val="Heading5"/>
        <w:rPr>
          <w:snapToGrid w:val="0"/>
        </w:rPr>
      </w:pPr>
      <w:bookmarkStart w:id="48" w:name="_Toc473105300"/>
      <w:r>
        <w:rPr>
          <w:rStyle w:val="CharSectno"/>
        </w:rPr>
        <w:t>32</w:t>
      </w:r>
      <w:r>
        <w:rPr>
          <w:snapToGrid w:val="0"/>
        </w:rPr>
        <w:t>.</w:t>
      </w:r>
      <w:r>
        <w:rPr>
          <w:snapToGrid w:val="0"/>
        </w:rPr>
        <w:tab/>
        <w:t>Registration</w:t>
      </w:r>
      <w:bookmarkEnd w:id="48"/>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keepNext/>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keepNext/>
        <w:rPr>
          <w:snapToGrid w:val="0"/>
        </w:rPr>
      </w:pPr>
      <w:r>
        <w:rPr>
          <w:snapToGrid w:val="0"/>
        </w:rPr>
        <w:tab/>
        <w:t>(b)</w:t>
      </w:r>
      <w:r>
        <w:rPr>
          <w:snapToGrid w:val="0"/>
        </w:rPr>
        <w:tab/>
        <w:t>being satisfied —</w:t>
      </w:r>
    </w:p>
    <w:p>
      <w:pPr>
        <w:pStyle w:val="Indenti"/>
        <w:spacing w:before="60"/>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w:t>
      </w:r>
    </w:p>
    <w:p>
      <w:pPr>
        <w:pStyle w:val="Indenta"/>
      </w:pPr>
      <w:r>
        <w:tab/>
        <w:t>(a)</w:t>
      </w:r>
      <w:r>
        <w:tab/>
        <w:t>in the case of a Water Corporation charge — the day on which the application is made; or</w:t>
      </w:r>
    </w:p>
    <w:p>
      <w:pPr>
        <w:pStyle w:val="Indenta"/>
      </w:pPr>
      <w:r>
        <w:tab/>
        <w:t>(b)</w:t>
      </w:r>
      <w:r>
        <w:tab/>
        <w:t>in the case of any other prescribed charge — the commencement of the rating year.</w:t>
      </w:r>
    </w:p>
    <w:p>
      <w:pPr>
        <w:pStyle w:val="Subsection"/>
      </w:pPr>
      <w:r>
        <w:tab/>
        <w:t>(6A)</w:t>
      </w:r>
      <w:r>
        <w:tab/>
        <w:t>If, in the case of a Water Corporation charge, the Water Corporation registers the entitlement of the applicant, the registration has effect on and from the day on which the application was made.</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 No. 4 of 2013 s. 6.]</w:t>
      </w:r>
    </w:p>
    <w:p>
      <w:pPr>
        <w:pStyle w:val="Heading5"/>
        <w:spacing w:before="180"/>
      </w:pPr>
      <w:bookmarkStart w:id="49" w:name="_Toc473105301"/>
      <w:r>
        <w:rPr>
          <w:rStyle w:val="CharSectno"/>
        </w:rPr>
        <w:t>32A</w:t>
      </w:r>
      <w:r>
        <w:t>.</w:t>
      </w:r>
      <w:r>
        <w:tab/>
        <w:t>Entitlement of surviving spouse or de facto partner</w:t>
      </w:r>
      <w:bookmarkEnd w:id="49"/>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 or (4A)(b).</w:t>
      </w:r>
    </w:p>
    <w:p>
      <w:pPr>
        <w:pStyle w:val="Subsection"/>
      </w:pPr>
      <w:r>
        <w:tab/>
        <w:t>(2A)</w:t>
      </w:r>
      <w:r>
        <w:tab/>
        <w:t>Subsection (2) applies in relation to prescribed charges that are not Water Corporation charges.</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keepLines/>
      </w:pPr>
      <w:r>
        <w:tab/>
        <w:t>(iii)</w:t>
      </w:r>
      <w:r>
        <w:tab/>
        <w:t>is occupied by the surviving partner in the circumstances described in section 29(1)(b)(ii);</w:t>
      </w:r>
    </w:p>
    <w:p>
      <w:pPr>
        <w:pStyle w:val="Indenta"/>
        <w:keepNext/>
        <w:keepLines/>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spacing w:before="120"/>
      </w:pPr>
      <w:r>
        <w:tab/>
      </w:r>
      <w:r>
        <w:tab/>
        <w:t>the surviving partner is taken to have had a registered entitlement at the commencement of period 1, or periods 1 and 2, as the case requires, and is to be treated accordingly for the purposes of this Act.</w:t>
      </w:r>
    </w:p>
    <w:p>
      <w:pPr>
        <w:pStyle w:val="Subsection"/>
        <w:keepNext/>
        <w:spacing w:before="120"/>
      </w:pPr>
      <w:r>
        <w:tab/>
        <w:t>(3)</w:t>
      </w:r>
      <w:r>
        <w:tab/>
        <w:t xml:space="preserve">If — </w:t>
      </w:r>
    </w:p>
    <w:p>
      <w:pPr>
        <w:pStyle w:val="Indenta"/>
      </w:pPr>
      <w:r>
        <w:tab/>
        <w:t>(a)</w:t>
      </w:r>
      <w:r>
        <w:tab/>
        <w:t>subsection (2)(a) and (b) apply in relation to a deceased partner and the surviving partner</w:t>
      </w:r>
      <w:r>
        <w:rPr>
          <w:bCs/>
        </w:rPr>
        <w:t>; and</w:t>
      </w:r>
    </w:p>
    <w:p>
      <w:pPr>
        <w:pStyle w:val="Indenta"/>
        <w:keepNext/>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spacing w:before="0"/>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(4A)</w:t>
      </w:r>
      <w:r>
        <w:tab/>
        <w:t xml:space="preserve">Subsection (4B) applies in relation to Water Corporation charges 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pPr>
      <w:r>
        <w:tab/>
        <w:t>(iii)</w:t>
      </w:r>
      <w:r>
        <w:tab/>
        <w:t>is occupied by the surviving partner in the circumstances described in section 29(1)(b)(ii);</w:t>
      </w:r>
    </w:p>
    <w:p>
      <w:pPr>
        <w:pStyle w:val="Indenta"/>
      </w:pPr>
      <w:r>
        <w:tab/>
      </w:r>
      <w:r>
        <w:tab/>
        <w:t>and</w:t>
      </w:r>
    </w:p>
    <w:p>
      <w:pPr>
        <w:pStyle w:val="Indenta"/>
      </w:pPr>
      <w:r>
        <w:tab/>
        <w:t>(c)</w:t>
      </w:r>
      <w:r>
        <w:tab/>
        <w:t xml:space="preserve">following the death of the spouse or de facto partner the surviving partner became liable for the payment of a Water Corporation charge in respect of that land (the </w:t>
      </w:r>
      <w:r>
        <w:rPr>
          <w:rStyle w:val="CharDefText"/>
        </w:rPr>
        <w:t>first payment</w:t>
      </w:r>
      <w:r>
        <w:t>); and</w:t>
      </w:r>
    </w:p>
    <w:p>
      <w:pPr>
        <w:pStyle w:val="Indenta"/>
      </w:pPr>
      <w:r>
        <w:tab/>
        <w:t>(d)</w:t>
      </w:r>
      <w:r>
        <w:tab/>
        <w:t>at the time that the surviving partner became liable for the first payment he or she was eligible under this Act to apply to the Water Corporation to have an entitlement in respect of that land registered; and</w:t>
      </w:r>
    </w:p>
    <w:p>
      <w:pPr>
        <w:pStyle w:val="Indenta"/>
      </w:pPr>
      <w:r>
        <w:tab/>
        <w:t>(e)</w:t>
      </w:r>
      <w:r>
        <w:tab/>
        <w:t>upon application by the surviving partner an entitlement in respect of that land is registered within 2 years of the death of the spouse or de facto partner.</w:t>
      </w:r>
    </w:p>
    <w:p>
      <w:pPr>
        <w:pStyle w:val="Subsection"/>
      </w:pPr>
      <w:r>
        <w:tab/>
        <w:t>(4B)</w:t>
      </w:r>
      <w:r>
        <w:tab/>
        <w:t xml:space="preserve">The surviving partner is taken to have had a registered entitlement on and from the day on which he or she became liable for the first payment until the earlier of — </w:t>
      </w:r>
    </w:p>
    <w:p>
      <w:pPr>
        <w:pStyle w:val="Indenta"/>
      </w:pPr>
      <w:r>
        <w:tab/>
        <w:t>(a)</w:t>
      </w:r>
      <w:r>
        <w:tab/>
        <w:t>the day before the day on which the entitlement in respect of that land is registered; or</w:t>
      </w:r>
    </w:p>
    <w:p>
      <w:pPr>
        <w:pStyle w:val="Indenta"/>
      </w:pPr>
      <w:r>
        <w:tab/>
        <w:t>(b)</w:t>
      </w:r>
      <w:r>
        <w:tab/>
        <w:t>the day before the first day (after he or she became liable for the first payment) on which he or she ceased to be eligible to have the entitlement registered,</w:t>
      </w:r>
    </w:p>
    <w:p>
      <w:pPr>
        <w:pStyle w:val="Subsection"/>
      </w:pPr>
      <w:r>
        <w:tab/>
      </w:r>
      <w:r>
        <w:tab/>
        <w:t>and is to be treated accordingly for the purposes of this Act.</w:t>
      </w:r>
    </w:p>
    <w:p>
      <w:pPr>
        <w:pStyle w:val="Subsection"/>
      </w:pPr>
      <w:r>
        <w:tab/>
        <w:t>(4C)</w:t>
      </w:r>
      <w:r>
        <w:tab/>
        <w:t xml:space="preserve">If — </w:t>
      </w:r>
    </w:p>
    <w:p>
      <w:pPr>
        <w:pStyle w:val="Indenta"/>
      </w:pPr>
      <w:r>
        <w:tab/>
        <w:t>(a)</w:t>
      </w:r>
      <w:r>
        <w:tab/>
        <w:t>subsection (4A)(a)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was liable for the payment of a Water Corporation charge in respect of the surviving partner’s land for more than 2 years after the death of the spouse or de facto partner; and</w:t>
      </w:r>
    </w:p>
    <w:p>
      <w:pPr>
        <w:pStyle w:val="Indenti"/>
      </w:pPr>
      <w:r>
        <w:tab/>
        <w:t>(ii)</w:t>
      </w:r>
      <w:r>
        <w:tab/>
        <w:t>was eligible under this Act to apply to the Water Corporation to have an entitlement in respect of that land registered for more than 2 years after the death of the spouse or de facto partner;</w:t>
      </w:r>
    </w:p>
    <w:p>
      <w:pPr>
        <w:pStyle w:val="Indenta"/>
      </w:pPr>
      <w:r>
        <w:tab/>
      </w:r>
      <w:r>
        <w:tab/>
        <w:t>and</w:t>
      </w:r>
    </w:p>
    <w:p>
      <w:pPr>
        <w:pStyle w:val="Indenta"/>
      </w:pPr>
      <w:r>
        <w:tab/>
        <w:t>(c)</w:t>
      </w:r>
      <w:r>
        <w:tab/>
        <w:t>the Minister is satisfied that, because of exceptional circumstances, an entitlement in respect of the surviving partner’s land was not registered within the 2 years referred to in subsection (4A)(e),</w:t>
      </w:r>
    </w:p>
    <w:p>
      <w:pPr>
        <w:pStyle w:val="Subsection"/>
        <w:spacing w:before="180"/>
      </w:pPr>
      <w:r>
        <w:tab/>
      </w:r>
      <w:r>
        <w:tab/>
        <w:t>the Minister may declare that the surviving partner is taken to have had a registered entitlement in respect of the surviving partner’s land for the period specified in the declaration.</w:t>
      </w:r>
    </w:p>
    <w:p>
      <w:pPr>
        <w:pStyle w:val="Subsection"/>
        <w:spacing w:before="180"/>
      </w:pPr>
      <w:r>
        <w:tab/>
        <w:t>(4)</w:t>
      </w:r>
      <w:r>
        <w:tab/>
        <w:t>A declaration under subsection (3) or (4C) has effect according to its terms and the surviving partner is to be treated accordingly for the purposes of this Act.</w:t>
      </w:r>
    </w:p>
    <w:p>
      <w:pPr>
        <w:pStyle w:val="Subsection"/>
        <w:spacing w:before="180"/>
      </w:pPr>
      <w:r>
        <w:tab/>
        <w:t>(5)</w:t>
      </w:r>
      <w:r>
        <w:tab/>
        <w:t>A surviving partner who, under subsection (2) or (3),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ind w:left="890" w:hanging="890"/>
      </w:pPr>
      <w:r>
        <w:tab/>
        <w:t>[Section 32A inserted by No. 13 of 2007 s. 5; amended by No. 4 of 2013 s. 7.]</w:t>
      </w:r>
    </w:p>
    <w:p>
      <w:pPr>
        <w:pStyle w:val="Heading5"/>
        <w:spacing w:before="240"/>
        <w:rPr>
          <w:snapToGrid w:val="0"/>
        </w:rPr>
      </w:pPr>
      <w:bookmarkStart w:id="50" w:name="_Toc473105302"/>
      <w:r>
        <w:rPr>
          <w:rStyle w:val="CharSectno"/>
        </w:rPr>
        <w:t>33</w:t>
      </w:r>
      <w:r>
        <w:rPr>
          <w:snapToGrid w:val="0"/>
        </w:rPr>
        <w:t>.</w:t>
      </w:r>
      <w:r>
        <w:rPr>
          <w:snapToGrid w:val="0"/>
        </w:rPr>
        <w:tab/>
        <w:t>Effect of registration</w:t>
      </w:r>
      <w:bookmarkEnd w:id="50"/>
    </w:p>
    <w:p>
      <w:pPr>
        <w:pStyle w:val="Subsection"/>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rPr>
          <w:snapToGrid w:val="0"/>
        </w:rPr>
      </w:pPr>
      <w:r>
        <w:rPr>
          <w:snapToGrid w:val="0"/>
        </w:rPr>
        <w:tab/>
        <w:t>(a)</w:t>
      </w:r>
      <w:r>
        <w:rPr>
          <w:snapToGrid w:val="0"/>
        </w:rPr>
        <w:tab/>
        <w:t>to pay a rebated amount; or</w:t>
      </w:r>
    </w:p>
    <w:p>
      <w:pPr>
        <w:pStyle w:val="Indenta"/>
        <w:rPr>
          <w:snapToGrid w:val="0"/>
        </w:rPr>
      </w:pPr>
      <w:r>
        <w:rPr>
          <w:snapToGrid w:val="0"/>
        </w:rPr>
        <w:tab/>
        <w:t>(b)</w:t>
      </w:r>
      <w:r>
        <w:rPr>
          <w:snapToGrid w:val="0"/>
        </w:rPr>
        <w:tab/>
        <w:t>to defer payment,</w:t>
      </w:r>
    </w:p>
    <w:p>
      <w:pPr>
        <w:pStyle w:val="Subsection"/>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rPr>
          <w:snapToGrid w:val="0"/>
        </w:rPr>
      </w:pPr>
      <w:r>
        <w:rPr>
          <w:snapToGrid w:val="0"/>
        </w:rPr>
        <w:tab/>
        <w:t>(2)</w:t>
      </w:r>
      <w:r>
        <w:rPr>
          <w:snapToGrid w:val="0"/>
        </w:rPr>
        <w:tab/>
        <w:t xml:space="preserve">Where in relation to any charged period an entitlement to land is </w:t>
      </w:r>
      <w:r>
        <w:t xml:space="preserve">registered in respect of a prescribed charge that is not a Water Corporation charge, </w:t>
      </w:r>
      <w:r>
        <w:rPr>
          <w:snapToGrid w:val="0"/>
        </w:rPr>
        <w:t>effect shall be given by the administrative authority to any rebate or deferment allowable for that charged period as though the entitlement remained that of the registered person, notwithstanding that during the charged period —</w:t>
      </w:r>
    </w:p>
    <w:p>
      <w:pPr>
        <w:pStyle w:val="Indenta"/>
        <w:spacing w:before="100"/>
        <w:rPr>
          <w:snapToGrid w:val="0"/>
        </w:rPr>
      </w:pPr>
      <w:r>
        <w:rPr>
          <w:snapToGrid w:val="0"/>
        </w:rPr>
        <w:tab/>
        <w:t>(a)</w:t>
      </w:r>
      <w:r>
        <w:rPr>
          <w:snapToGrid w:val="0"/>
        </w:rPr>
        <w:tab/>
        <w:t>the registered person dies, or ceases to be an eligible person; or</w:t>
      </w:r>
    </w:p>
    <w:p>
      <w:pPr>
        <w:pStyle w:val="Indenta"/>
        <w:spacing w:before="100"/>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spacing w:before="180"/>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 No. 4 of 2013 s. 8.]</w:t>
      </w:r>
    </w:p>
    <w:p>
      <w:pPr>
        <w:pStyle w:val="Ednotesection"/>
        <w:spacing w:before="240"/>
        <w:rPr>
          <w:snapToGrid/>
        </w:rPr>
      </w:pPr>
      <w:r>
        <w:rPr>
          <w:snapToGrid/>
        </w:rPr>
        <w:t>[</w:t>
      </w:r>
      <w:r>
        <w:rPr>
          <w:b/>
          <w:snapToGrid/>
        </w:rPr>
        <w:t>34.</w:t>
      </w:r>
      <w:r>
        <w:rPr>
          <w:snapToGrid/>
        </w:rPr>
        <w:tab/>
        <w:t>Deleted by No. 3 of 2001 s. 12.]</w:t>
      </w:r>
    </w:p>
    <w:p>
      <w:pPr>
        <w:pStyle w:val="Heading5"/>
        <w:spacing w:before="240"/>
        <w:rPr>
          <w:snapToGrid w:val="0"/>
        </w:rPr>
      </w:pPr>
      <w:bookmarkStart w:id="51" w:name="_Toc473105303"/>
      <w:r>
        <w:rPr>
          <w:rStyle w:val="CharSectno"/>
        </w:rPr>
        <w:t>35</w:t>
      </w:r>
      <w:r>
        <w:rPr>
          <w:snapToGrid w:val="0"/>
        </w:rPr>
        <w:t>.</w:t>
      </w:r>
      <w:r>
        <w:rPr>
          <w:snapToGrid w:val="0"/>
        </w:rPr>
        <w:tab/>
        <w:t>Change in circumstances of registered person</w:t>
      </w:r>
      <w:bookmarkEnd w:id="51"/>
    </w:p>
    <w:p>
      <w:pPr>
        <w:pStyle w:val="Subsection"/>
        <w:spacing w:before="200"/>
        <w:rPr>
          <w:snapToGrid w:val="0"/>
        </w:rPr>
      </w:pPr>
      <w:r>
        <w:rPr>
          <w:snapToGrid w:val="0"/>
        </w:rPr>
        <w:tab/>
        <w:t>(1)</w:t>
      </w:r>
      <w:r>
        <w:rPr>
          <w:snapToGrid w:val="0"/>
        </w:rPr>
        <w:tab/>
        <w:t>Where the entitlement of a person as regards any land is registered, if —</w:t>
      </w:r>
    </w:p>
    <w:p>
      <w:pPr>
        <w:pStyle w:val="Indenta"/>
        <w:spacing w:before="100"/>
        <w:rPr>
          <w:snapToGrid w:val="0"/>
        </w:rPr>
      </w:pPr>
      <w:r>
        <w:rPr>
          <w:snapToGrid w:val="0"/>
        </w:rPr>
        <w:tab/>
        <w:t>(a)</w:t>
      </w:r>
      <w:r>
        <w:rPr>
          <w:snapToGrid w:val="0"/>
        </w:rPr>
        <w:tab/>
        <w:t>the person ceases —</w:t>
      </w:r>
    </w:p>
    <w:p>
      <w:pPr>
        <w:pStyle w:val="Indenti"/>
        <w:spacing w:before="100"/>
        <w:rPr>
          <w:snapToGrid w:val="0"/>
        </w:rPr>
      </w:pPr>
      <w:r>
        <w:rPr>
          <w:snapToGrid w:val="0"/>
        </w:rPr>
        <w:tab/>
        <w:t>(i)</w:t>
      </w:r>
      <w:r>
        <w:rPr>
          <w:snapToGrid w:val="0"/>
        </w:rPr>
        <w:tab/>
        <w:t>to hold a seniors’ card; or</w:t>
      </w:r>
    </w:p>
    <w:p>
      <w:pPr>
        <w:pStyle w:val="Indenti"/>
        <w:spacing w:before="100"/>
        <w:rPr>
          <w:snapToGrid w:val="0"/>
        </w:rPr>
      </w:pPr>
      <w:r>
        <w:rPr>
          <w:snapToGrid w:val="0"/>
        </w:rPr>
        <w:tab/>
        <w:t>(ii)</w:t>
      </w:r>
      <w:r>
        <w:rPr>
          <w:snapToGrid w:val="0"/>
        </w:rPr>
        <w:tab/>
        <w:t>to be an eligible pensioner; or</w:t>
      </w:r>
    </w:p>
    <w:p>
      <w:pPr>
        <w:pStyle w:val="Indenti"/>
        <w:spacing w:before="100"/>
        <w:rPr>
          <w:snapToGrid w:val="0"/>
        </w:rPr>
      </w:pPr>
      <w:r>
        <w:rPr>
          <w:snapToGrid w:val="0"/>
        </w:rPr>
        <w:tab/>
        <w:t>(iii)</w:t>
      </w:r>
      <w:r>
        <w:rPr>
          <w:snapToGrid w:val="0"/>
        </w:rPr>
        <w:tab/>
        <w:t>to occupy the land as their ordinary place of residence;</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spacing w:before="100"/>
        <w:rPr>
          <w:snapToGrid w:val="0"/>
        </w:rPr>
      </w:pPr>
      <w:r>
        <w:rPr>
          <w:snapToGrid w:val="0"/>
        </w:rPr>
        <w:tab/>
        <w:t>(c)</w:t>
      </w:r>
      <w:r>
        <w:rPr>
          <w:snapToGrid w:val="0"/>
        </w:rPr>
        <w:tab/>
        <w:t>the land no longer belongs to that person,</w:t>
      </w:r>
    </w:p>
    <w:p>
      <w:pPr>
        <w:pStyle w:val="Subsection"/>
        <w:spacing w:before="18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8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 and</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spacing w:before="180"/>
      </w:pPr>
      <w:r>
        <w:tab/>
        <w:t>(2a)</w:t>
      </w:r>
      <w:r>
        <w:tab/>
        <w:t>Subsection (2) does not apply in relation to land registered for a person on the basis of eligibility under section 23(5).</w:t>
      </w:r>
    </w:p>
    <w:p>
      <w:pPr>
        <w:pStyle w:val="Subsection"/>
        <w:keepLines/>
        <w:spacing w:before="180"/>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52" w:name="_Toc473105304"/>
      <w:r>
        <w:rPr>
          <w:rStyle w:val="CharSectno"/>
        </w:rPr>
        <w:t>36</w:t>
      </w:r>
      <w:r>
        <w:rPr>
          <w:snapToGrid w:val="0"/>
        </w:rPr>
        <w:t>.</w:t>
      </w:r>
      <w:r>
        <w:rPr>
          <w:snapToGrid w:val="0"/>
        </w:rPr>
        <w:tab/>
        <w:t>Review of registration</w:t>
      </w:r>
      <w:bookmarkEnd w:id="52"/>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53" w:name="_Toc473105305"/>
      <w:r>
        <w:rPr>
          <w:rStyle w:val="CharSectno"/>
        </w:rPr>
        <w:t>37</w:t>
      </w:r>
      <w:r>
        <w:rPr>
          <w:snapToGrid w:val="0"/>
        </w:rPr>
        <w:t>.</w:t>
      </w:r>
      <w:r>
        <w:rPr>
          <w:snapToGrid w:val="0"/>
        </w:rPr>
        <w:tab/>
        <w:t>Amendment or cancellation of registration</w:t>
      </w:r>
      <w:bookmarkEnd w:id="53"/>
    </w:p>
    <w:p>
      <w:pPr>
        <w:pStyle w:val="Subsection"/>
        <w:spacing w:before="180"/>
        <w:rPr>
          <w:snapToGrid w:val="0"/>
        </w:rPr>
      </w:pPr>
      <w:r>
        <w:rPr>
          <w:snapToGrid w:val="0"/>
        </w:rPr>
        <w:tab/>
        <w:t>(1)</w:t>
      </w:r>
      <w:r>
        <w:rPr>
          <w:snapToGrid w:val="0"/>
        </w:rPr>
        <w:tab/>
        <w:t>An administrative authority —</w:t>
      </w:r>
    </w:p>
    <w:p>
      <w:pPr>
        <w:pStyle w:val="Indenta"/>
        <w:spacing w:before="100"/>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 or</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spacing w:before="180"/>
      </w:pPr>
      <w:r>
        <w:tab/>
      </w:r>
      <w:r>
        <w:tab/>
        <w:t xml:space="preserve">determine to amend or cancel the registration, as the case requires, with effect from — </w:t>
      </w:r>
    </w:p>
    <w:p>
      <w:pPr>
        <w:pStyle w:val="Indenta"/>
      </w:pPr>
      <w:r>
        <w:tab/>
        <w:t>(c)</w:t>
      </w:r>
      <w:r>
        <w:tab/>
        <w:t>in the case of a Water Corporation charge — the day on which the change in the person’s circumstances occurred; or</w:t>
      </w:r>
    </w:p>
    <w:p>
      <w:pPr>
        <w:pStyle w:val="Indenta"/>
      </w:pPr>
      <w:r>
        <w:tab/>
        <w:t>(d)</w:t>
      </w:r>
      <w:r>
        <w:tab/>
        <w:t>in the case of any other prescribed charge — the commencement of the rating year following the determination.</w:t>
      </w:r>
    </w:p>
    <w:p>
      <w:pPr>
        <w:pStyle w:val="Subsection"/>
        <w:spacing w:before="180"/>
        <w:rPr>
          <w:snapToGrid w:val="0"/>
        </w:rPr>
      </w:pPr>
      <w:r>
        <w:rPr>
          <w:snapToGrid w:val="0"/>
        </w:rPr>
        <w:tab/>
        <w:t>(2)</w:t>
      </w:r>
      <w:r>
        <w:rPr>
          <w:snapToGrid w:val="0"/>
        </w:rPr>
        <w:tab/>
      </w:r>
      <w:r>
        <w:t xml:space="preserve">An administrative authority, other than the Water Corporation, </w:t>
      </w:r>
      <w:r>
        <w:rPr>
          <w:snapToGrid w:val="0"/>
        </w:rPr>
        <w:t xml:space="preserve">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spacing w:before="180"/>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 No. 4 of 2013 s. 9.]</w:t>
      </w:r>
    </w:p>
    <w:p>
      <w:pPr>
        <w:pStyle w:val="Heading3"/>
      </w:pPr>
      <w:bookmarkStart w:id="54" w:name="_Toc473105306"/>
      <w:r>
        <w:rPr>
          <w:rStyle w:val="CharDivNo"/>
        </w:rPr>
        <w:t>Division 4</w:t>
      </w:r>
      <w:r>
        <w:rPr>
          <w:snapToGrid w:val="0"/>
        </w:rPr>
        <w:t> — </w:t>
      </w:r>
      <w:r>
        <w:rPr>
          <w:rStyle w:val="CharDivText"/>
        </w:rPr>
        <w:t>Miscellaneous</w:t>
      </w:r>
      <w:bookmarkEnd w:id="54"/>
    </w:p>
    <w:p>
      <w:pPr>
        <w:pStyle w:val="Heading5"/>
        <w:rPr>
          <w:snapToGrid w:val="0"/>
        </w:rPr>
      </w:pPr>
      <w:bookmarkStart w:id="55" w:name="_Toc473105307"/>
      <w:r>
        <w:rPr>
          <w:rStyle w:val="CharSectno"/>
        </w:rPr>
        <w:t>38</w:t>
      </w:r>
      <w:r>
        <w:rPr>
          <w:snapToGrid w:val="0"/>
        </w:rPr>
        <w:t>.</w:t>
      </w:r>
      <w:r>
        <w:rPr>
          <w:snapToGrid w:val="0"/>
        </w:rPr>
        <w:tab/>
        <w:t>Offences</w:t>
      </w:r>
      <w:bookmarkEnd w:id="55"/>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 or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56" w:name="_Toc473105308"/>
      <w:r>
        <w:rPr>
          <w:rStyle w:val="CharSectno"/>
        </w:rPr>
        <w:t>39</w:t>
      </w:r>
      <w:r>
        <w:rPr>
          <w:snapToGrid w:val="0"/>
        </w:rPr>
        <w:t>.</w:t>
      </w:r>
      <w:r>
        <w:rPr>
          <w:snapToGrid w:val="0"/>
        </w:rPr>
        <w:tab/>
        <w:t>Persons allowed rebate or deferment incorrectly</w:t>
      </w:r>
      <w:bookmarkEnd w:id="56"/>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keepNext/>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57" w:name="_Toc473105309"/>
      <w:r>
        <w:rPr>
          <w:rStyle w:val="CharPartNo"/>
        </w:rPr>
        <w:t>Part 3</w:t>
      </w:r>
      <w:r>
        <w:rPr>
          <w:rStyle w:val="CharDivNo"/>
        </w:rPr>
        <w:t> </w:t>
      </w:r>
      <w:r>
        <w:t>—</w:t>
      </w:r>
      <w:r>
        <w:rPr>
          <w:rStyle w:val="CharDivText"/>
        </w:rPr>
        <w:t> </w:t>
      </w:r>
      <w:r>
        <w:rPr>
          <w:rStyle w:val="CharPartText"/>
        </w:rPr>
        <w:t>Rebates</w:t>
      </w:r>
      <w:bookmarkEnd w:id="57"/>
    </w:p>
    <w:p>
      <w:pPr>
        <w:pStyle w:val="Heading5"/>
      </w:pPr>
      <w:bookmarkStart w:id="58" w:name="_Toc473105310"/>
      <w:r>
        <w:rPr>
          <w:rStyle w:val="CharSectno"/>
        </w:rPr>
        <w:t>40</w:t>
      </w:r>
      <w:r>
        <w:t>.</w:t>
      </w:r>
      <w:r>
        <w:tab/>
        <w:t>Rebates to registered persons</w:t>
      </w:r>
      <w:bookmarkEnd w:id="58"/>
    </w:p>
    <w:p>
      <w:pPr>
        <w:pStyle w:val="Subsection"/>
      </w:pPr>
      <w:r>
        <w:tab/>
        <w:t>(1A)</w:t>
      </w:r>
      <w:r>
        <w:tab/>
        <w:t>A reference in this section to the liability of a person for the payment of a rebated amount of a prescribed charge includes, in respect of a prescribed charge that is apportioned under section 28, a reference to the liability of a person for the proportion of the prescribed charge that relates to the extent of the entitlement of the person.</w:t>
      </w:r>
    </w:p>
    <w:p>
      <w:pPr>
        <w:pStyle w:val="Subsection"/>
      </w:pPr>
      <w:r>
        <w:tab/>
        <w:t>(1)</w:t>
      </w:r>
      <w:r>
        <w:tab/>
        <w:t>This section applies to a person who —</w:t>
      </w:r>
    </w:p>
    <w:p>
      <w:pPr>
        <w:pStyle w:val="Indenta"/>
      </w:pPr>
      <w:r>
        <w:tab/>
        <w:t>(a)</w:t>
      </w:r>
      <w:r>
        <w:tab/>
        <w:t>is liable for the payment of a prescribed charge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Subsection"/>
      </w:pPr>
      <w:r>
        <w:tab/>
        <w:t>(2)</w:t>
      </w:r>
      <w:r>
        <w:tab/>
        <w:t xml:space="preserve">The liability of a person to whom this section applies for payment of a prescribed charge may, subject to this Act, be satisfied by the payment of a rebated amount — </w:t>
      </w:r>
    </w:p>
    <w:p>
      <w:pPr>
        <w:pStyle w:val="Indenta"/>
      </w:pPr>
      <w:r>
        <w:tab/>
        <w:t>(a)</w:t>
      </w:r>
      <w:r>
        <w:tab/>
        <w:t>in the case of a Water Corporation charge — by the final payment day or, if that person has been allowed an extended period under subsection (3A), before the end of that period; or</w:t>
      </w:r>
    </w:p>
    <w:p>
      <w:pPr>
        <w:pStyle w:val="Indenta"/>
      </w:pPr>
      <w:r>
        <w:tab/>
        <w:t>(b)</w:t>
      </w:r>
      <w:r>
        <w:tab/>
        <w:t>in the case of any other prescribed charge —before the end of the charged period or, if that person has been allowed an extended period under subsection (3A), before the end of that period.</w:t>
      </w:r>
    </w:p>
    <w:p>
      <w:pPr>
        <w:pStyle w:val="Subsection"/>
      </w:pPr>
      <w:r>
        <w:tab/>
        <w:t>(3A)</w:t>
      </w:r>
      <w:r>
        <w:tab/>
        <w:t xml:space="preserve">If the Minister is satisfied that a person to whom this section applies has, because of exceptional circumstances, failed to pay the rebated amount by — </w:t>
      </w:r>
    </w:p>
    <w:p>
      <w:pPr>
        <w:pStyle w:val="Indenta"/>
      </w:pPr>
      <w:r>
        <w:tab/>
        <w:t>(a)</w:t>
      </w:r>
      <w:r>
        <w:tab/>
        <w:t>in the case of a Water Corporation charge — the final payment day; or</w:t>
      </w:r>
    </w:p>
    <w:p>
      <w:pPr>
        <w:pStyle w:val="Indenta"/>
      </w:pPr>
      <w:r>
        <w:tab/>
        <w:t>(b)</w:t>
      </w:r>
      <w:r>
        <w:tab/>
        <w:t>in the case of any other prescribed charge — the end of the charged period,</w:t>
      </w:r>
    </w:p>
    <w:p>
      <w:pPr>
        <w:pStyle w:val="Subsection"/>
      </w:pPr>
      <w:r>
        <w:tab/>
      </w:r>
      <w:r>
        <w:tab/>
        <w:t>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senior;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pensioner;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PCS</w:t>
      </w:r>
      <w:r>
        <w:rPr>
          <w:snapToGrid w:val="0"/>
        </w:rPr>
        <w:tab/>
        <w:t>is the portion of the prescribed charge calculated under subsection </w:t>
      </w:r>
      <w:r>
        <w:t>(9) in respect of an eligible senior; and</w:t>
      </w:r>
    </w:p>
    <w:p>
      <w:pPr>
        <w:pStyle w:val="Indenta"/>
        <w:rPr>
          <w:snapToGrid w:val="0"/>
        </w:rPr>
      </w:pPr>
      <w:r>
        <w:rPr>
          <w:i/>
          <w:snapToGrid w:val="0"/>
        </w:rPr>
        <w:tab/>
        <w:t>PCP</w:t>
      </w:r>
      <w:r>
        <w:rPr>
          <w:snapToGrid w:val="0"/>
        </w:rPr>
        <w:tab/>
        <w:t>is the portion of the prescribed charge calculated under subsection </w:t>
      </w:r>
      <w:r>
        <w:t>(9) in respect of an eligible pensioner;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spacing w:before="120"/>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or underground electricity — 50% of the prescribed charge concerned, up to such limit as is prescribed;</w:t>
      </w:r>
    </w:p>
    <w:p>
      <w:pPr>
        <w:pStyle w:val="Indenta"/>
      </w:pPr>
      <w:r>
        <w:tab/>
        <w:t>(c)</w:t>
      </w:r>
      <w:r>
        <w:tab/>
        <w:t>for an eligible senior, on any prescribed charge for the provision of underground electricity — 25% of the prescribed charge concerned, up to such limit as is prescribed;</w:t>
      </w:r>
    </w:p>
    <w:p>
      <w:pPr>
        <w:pStyle w:val="Indenta"/>
      </w:pPr>
      <w:r>
        <w:tab/>
        <w:t>(d)</w:t>
      </w:r>
      <w:r>
        <w:tab/>
        <w:t>on any other prescribed charge — </w:t>
      </w:r>
    </w:p>
    <w:p>
      <w:pPr>
        <w:pStyle w:val="Indenti"/>
      </w:pPr>
      <w:r>
        <w:tab/>
        <w:t>(i)</w:t>
      </w:r>
      <w:r>
        <w:tab/>
        <w:t>for an eligible senior — the prescribed percentage of the charge, up to such limit as is prescribed;</w:t>
      </w:r>
    </w:p>
    <w:p>
      <w:pPr>
        <w:pStyle w:val="Indenti"/>
      </w:pPr>
      <w:r>
        <w:tab/>
        <w:t>(ii)</w:t>
      </w:r>
      <w:r>
        <w:tab/>
        <w:t>for an eligible pensioner — the prescribed percentage of the charge.</w:t>
      </w:r>
    </w:p>
    <w:p>
      <w:pPr>
        <w:pStyle w:val="Footnotesection"/>
        <w:keepLines w:val="0"/>
        <w:spacing w:before="80"/>
        <w:ind w:left="890" w:hanging="890"/>
      </w:pPr>
      <w:r>
        <w:tab/>
        <w:t>[Section 40 inserted by No. 3 of 2001 s. 13(1); amended by No. 42 of 2002 s. 34; No. 13 of 2007 s. 10; No. 2 of 2012 s. 36; No. 4 of 2013 s. 10; No. 27 of 2015 s. 17.]</w:t>
      </w:r>
    </w:p>
    <w:p>
      <w:pPr>
        <w:pStyle w:val="Heading5"/>
        <w:rPr>
          <w:snapToGrid w:val="0"/>
        </w:rPr>
      </w:pPr>
      <w:bookmarkStart w:id="59" w:name="_Toc473105311"/>
      <w:r>
        <w:rPr>
          <w:rStyle w:val="CharSectno"/>
        </w:rPr>
        <w:t>41</w:t>
      </w:r>
      <w:r>
        <w:rPr>
          <w:snapToGrid w:val="0"/>
        </w:rPr>
        <w:t>.</w:t>
      </w:r>
      <w:r>
        <w:rPr>
          <w:snapToGrid w:val="0"/>
        </w:rPr>
        <w:tab/>
        <w:t>Effect of payment of rebated amount</w:t>
      </w:r>
      <w:bookmarkEnd w:id="59"/>
    </w:p>
    <w:p>
      <w:pPr>
        <w:pStyle w:val="Subsection"/>
      </w:pPr>
      <w:r>
        <w:tab/>
        <w:t>(1)</w:t>
      </w:r>
      <w:r>
        <w:tab/>
        <w:t>A reference in this section to a rebated amount in relation to a person includes, in respect of a rebated amount that is apportioned in accordance with section 28, a reference to the proportion of the rebated amount that relates to the extent of the entitlement of the person.</w:t>
      </w:r>
    </w:p>
    <w:p>
      <w:pPr>
        <w:pStyle w:val="Subsection"/>
        <w:keepNext/>
        <w:rPr>
          <w:snapToGrid w:val="0"/>
        </w:rPr>
      </w:pPr>
      <w:r>
        <w:tab/>
        <w:t>(2)</w:t>
      </w:r>
      <w:r>
        <w:tab/>
        <w:t>If the rebated amount of a prescribed charge that is not a Water Corporation charge</w:t>
      </w:r>
      <w:r>
        <w:rPr>
          <w:snapToGrid w:val="0"/>
        </w:rPr>
        <w:t xml:space="preserve"> is paid by or on behalf of a registered person</w:t>
      </w:r>
      <w:r>
        <w:t xml:space="preserve"> before the end of the charged period or, if that person has been allowed an extended period under section 40(3A),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Subsection"/>
      </w:pPr>
      <w:r>
        <w:tab/>
        <w:t>(3)</w:t>
      </w:r>
      <w:r>
        <w:tab/>
        <w:t>If the rebated amount of a Water Corporation charge is paid by or on behalf of a registered person by the final payment day or, if that person has been allowed an extended period under section 40(3A), before the end of that period then, subject to this Act —</w:t>
      </w:r>
    </w:p>
    <w:p>
      <w:pPr>
        <w:pStyle w:val="Indenta"/>
      </w:pPr>
      <w:r>
        <w:tab/>
        <w:t>(a)</w:t>
      </w:r>
      <w:r>
        <w:tab/>
        <w:t>the person is not liable to pay any further amount for the prescribed charge; and</w:t>
      </w:r>
    </w:p>
    <w:p>
      <w:pPr>
        <w:pStyle w:val="Indenta"/>
      </w:pPr>
      <w:r>
        <w:tab/>
        <w:t>(b)</w:t>
      </w:r>
      <w:r>
        <w:tab/>
        <w:t>the Water Corporation has no further claim against the person for the prescribed charge.</w:t>
      </w:r>
    </w:p>
    <w:p>
      <w:pPr>
        <w:pStyle w:val="Footnotesection"/>
      </w:pPr>
      <w:r>
        <w:tab/>
        <w:t>[Section 41 amended by No. 25 of 1993 s. 14; No. 13 of 2007 s. 11; No. 4 of 2013 s. 11.]</w:t>
      </w:r>
    </w:p>
    <w:p>
      <w:pPr>
        <w:pStyle w:val="Heading5"/>
        <w:rPr>
          <w:snapToGrid w:val="0"/>
        </w:rPr>
      </w:pPr>
      <w:bookmarkStart w:id="60" w:name="_Toc473105312"/>
      <w:r>
        <w:rPr>
          <w:rStyle w:val="CharSectno"/>
        </w:rPr>
        <w:t>42</w:t>
      </w:r>
      <w:r>
        <w:rPr>
          <w:snapToGrid w:val="0"/>
        </w:rPr>
        <w:t>.</w:t>
      </w:r>
      <w:r>
        <w:rPr>
          <w:snapToGrid w:val="0"/>
        </w:rPr>
        <w:tab/>
        <w:t>Charges for periods preceding, or for improvements made or services provided subsequent to, registration</w:t>
      </w:r>
      <w:bookmarkEnd w:id="60"/>
    </w:p>
    <w:p>
      <w:pPr>
        <w:pStyle w:val="Subsection"/>
        <w:rPr>
          <w:snapToGrid w:val="0"/>
        </w:rPr>
      </w:pPr>
      <w:r>
        <w:rPr>
          <w:snapToGrid w:val="0"/>
        </w:rPr>
        <w:tab/>
        <w:t>(1)</w:t>
      </w:r>
      <w:r>
        <w:rPr>
          <w:snapToGrid w:val="0"/>
        </w:rPr>
        <w:tab/>
        <w:t xml:space="preserve">If an administrative authority </w:t>
      </w:r>
      <w:r>
        <w:t>other than the Water Corporation</w:t>
      </w:r>
      <w:r>
        <w:rPr>
          <w:snapToGrid w:val="0"/>
        </w:rPr>
        <w:t xml:space="preserve">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 and</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pPr>
      <w:r>
        <w:tab/>
        <w:t>(2A)</w:t>
      </w:r>
      <w:r>
        <w:tab/>
        <w:t xml:space="preserve">If — </w:t>
      </w:r>
    </w:p>
    <w:p>
      <w:pPr>
        <w:pStyle w:val="Indenta"/>
      </w:pPr>
      <w:r>
        <w:tab/>
        <w:t>(a)</w:t>
      </w:r>
      <w:r>
        <w:tab/>
        <w:t xml:space="preserve">the Water Corporation makes a prescribed charge in respect of a period (the </w:t>
      </w:r>
      <w:r>
        <w:rPr>
          <w:rStyle w:val="CharDefText"/>
        </w:rPr>
        <w:t>relevant period</w:t>
      </w:r>
      <w:r>
        <w:t>), some of which precedes the date of issue of the notice requiring payment of the prescribed charge; and</w:t>
      </w:r>
    </w:p>
    <w:p>
      <w:pPr>
        <w:pStyle w:val="Indenta"/>
      </w:pPr>
      <w:r>
        <w:tab/>
        <w:t>(b)</w:t>
      </w:r>
      <w:r>
        <w:tab/>
        <w:t>the relevant period is longer than the standard charged period for a charge of that kind; and</w:t>
      </w:r>
    </w:p>
    <w:p>
      <w:pPr>
        <w:pStyle w:val="Indenta"/>
      </w:pPr>
      <w:r>
        <w:tab/>
        <w:t>(c)</w:t>
      </w:r>
      <w:r>
        <w:tab/>
        <w:t>an entitlement, of the person liable for the charge, as regards the land is registered after the date of issue of the notice and before the final payment day,</w:t>
      </w:r>
    </w:p>
    <w:p>
      <w:pPr>
        <w:pStyle w:val="Subsection"/>
      </w:pPr>
      <w:r>
        <w:tab/>
      </w:r>
      <w:r>
        <w:tab/>
        <w:t>the person may, subject to subsection (2), be allowed a rebate on the prescribed charge, for any part of the relevant period during which the person was both liable to pay the charge and entitled to apply for the registration of an entitlement as regards the land.</w:t>
      </w:r>
    </w:p>
    <w:p>
      <w:pPr>
        <w:pStyle w:val="Subsection"/>
        <w:spacing w:before="120"/>
        <w:rPr>
          <w:snapToGrid w:val="0"/>
        </w:rPr>
      </w:pPr>
      <w:r>
        <w:rPr>
          <w:snapToGrid w:val="0"/>
        </w:rPr>
        <w:tab/>
        <w:t>(2)</w:t>
      </w:r>
      <w:r>
        <w:rPr>
          <w:snapToGrid w:val="0"/>
        </w:rPr>
        <w:tab/>
        <w:t xml:space="preserve">A rebate may be allowed under subsection (1) </w:t>
      </w:r>
      <w:r>
        <w:t xml:space="preserve">or (2A) </w:t>
      </w:r>
      <w:r>
        <w:rPr>
          <w:snapToGrid w:val="0"/>
        </w:rPr>
        <w:t>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spacing w:before="120"/>
      </w:pPr>
      <w:r>
        <w:tab/>
        <w:t>(3A)</w:t>
      </w:r>
      <w:r>
        <w:tab/>
        <w:t>If a rebate is allowed under this section, the administrative authority must, when necessary, refund, or give credit for, the amount of the rebate.</w:t>
      </w:r>
    </w:p>
    <w:p>
      <w:pPr>
        <w:pStyle w:val="Subsection"/>
        <w:spacing w:before="120"/>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spacing w:before="100"/>
        <w:ind w:left="890" w:hanging="890"/>
      </w:pPr>
      <w:r>
        <w:tab/>
        <w:t>[Section 42 amended by No. 3 of 2001 s. 14; No. 42 of 2002 s. 35; No. 4 of 2013 s. 12.]</w:t>
      </w:r>
    </w:p>
    <w:p>
      <w:pPr>
        <w:pStyle w:val="Heading2"/>
      </w:pPr>
      <w:bookmarkStart w:id="61" w:name="_Toc473105313"/>
      <w:r>
        <w:rPr>
          <w:rStyle w:val="CharPartNo"/>
        </w:rPr>
        <w:t>Part 4</w:t>
      </w:r>
      <w:r>
        <w:t> — </w:t>
      </w:r>
      <w:r>
        <w:rPr>
          <w:rStyle w:val="CharPartText"/>
        </w:rPr>
        <w:t>Deferment</w:t>
      </w:r>
      <w:bookmarkEnd w:id="61"/>
    </w:p>
    <w:p>
      <w:pPr>
        <w:pStyle w:val="Heading3"/>
      </w:pPr>
      <w:bookmarkStart w:id="62" w:name="_Toc473105314"/>
      <w:r>
        <w:rPr>
          <w:rStyle w:val="CharDivNo"/>
        </w:rPr>
        <w:t>Division 1</w:t>
      </w:r>
      <w:r>
        <w:rPr>
          <w:snapToGrid w:val="0"/>
        </w:rPr>
        <w:t> — </w:t>
      </w:r>
      <w:r>
        <w:rPr>
          <w:rStyle w:val="CharDivText"/>
        </w:rPr>
        <w:t>Where charges may be deferred</w:t>
      </w:r>
      <w:bookmarkEnd w:id="62"/>
    </w:p>
    <w:p>
      <w:pPr>
        <w:pStyle w:val="Heading5"/>
        <w:rPr>
          <w:snapToGrid w:val="0"/>
        </w:rPr>
      </w:pPr>
      <w:bookmarkStart w:id="63" w:name="_Toc473105315"/>
      <w:r>
        <w:rPr>
          <w:rStyle w:val="CharSectno"/>
        </w:rPr>
        <w:t>43</w:t>
      </w:r>
      <w:r>
        <w:rPr>
          <w:snapToGrid w:val="0"/>
        </w:rPr>
        <w:t>.</w:t>
      </w:r>
      <w:r>
        <w:rPr>
          <w:snapToGrid w:val="0"/>
        </w:rPr>
        <w:tab/>
        <w:t>Circumstances where deferment may be allowed</w:t>
      </w:r>
      <w:bookmarkEnd w:id="63"/>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 and</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64" w:name="_Toc473105316"/>
      <w:r>
        <w:rPr>
          <w:rStyle w:val="CharSectno"/>
        </w:rPr>
        <w:t>44</w:t>
      </w:r>
      <w:r>
        <w:rPr>
          <w:snapToGrid w:val="0"/>
        </w:rPr>
        <w:t>.</w:t>
      </w:r>
      <w:r>
        <w:rPr>
          <w:snapToGrid w:val="0"/>
        </w:rPr>
        <w:tab/>
        <w:t>Deferred payment of rates by eligible pensioner</w:t>
      </w:r>
      <w:bookmarkEnd w:id="64"/>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w:t>
      </w:r>
      <w:r>
        <w:t xml:space="preserve">by the day determined in accordance with subsection (2A)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(2A)</w:t>
      </w:r>
      <w:r>
        <w:tab/>
        <w:t>For the purposes of subsection (1) the day is —</w:t>
      </w:r>
    </w:p>
    <w:p>
      <w:pPr>
        <w:pStyle w:val="Indenta"/>
      </w:pPr>
      <w:r>
        <w:tab/>
        <w:t>(a)</w:t>
      </w:r>
      <w:r>
        <w:tab/>
        <w:t>if paragraphs (b) or (c) do not apply —</w:t>
      </w:r>
    </w:p>
    <w:p>
      <w:pPr>
        <w:pStyle w:val="Indenti"/>
      </w:pPr>
      <w:r>
        <w:tab/>
        <w:t>(i)</w:t>
      </w:r>
      <w:r>
        <w:tab/>
        <w:t>if the charge is a Water Corporation charge — the final payment day; or</w:t>
      </w:r>
    </w:p>
    <w:p>
      <w:pPr>
        <w:pStyle w:val="Indenti"/>
      </w:pPr>
      <w:r>
        <w:tab/>
        <w:t>(ii)</w:t>
      </w:r>
      <w:r>
        <w:tab/>
        <w:t>if the charge is not a Water Corporation charge — the last day of the charged period;</w:t>
      </w:r>
    </w:p>
    <w:p>
      <w:pPr>
        <w:pStyle w:val="Indenta"/>
      </w:pPr>
      <w:r>
        <w:tab/>
      </w:r>
      <w:r>
        <w:tab/>
        <w:t>or</w:t>
      </w:r>
    </w:p>
    <w:p>
      <w:pPr>
        <w:pStyle w:val="Indenta"/>
      </w:pPr>
      <w:r>
        <w:tab/>
        <w:t>(b)</w:t>
      </w:r>
      <w:r>
        <w:tab/>
        <w:t>if the person has been allowed an extended period under section 40(3A) — the last day of that period; or</w:t>
      </w:r>
    </w:p>
    <w:p>
      <w:pPr>
        <w:pStyle w:val="Indenta"/>
      </w:pPr>
      <w:r>
        <w:tab/>
        <w:t>(c)</w:t>
      </w:r>
      <w:r>
        <w:tab/>
        <w:t>if a period has been specified under section 42(2) — the last day of that period.</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 or</w:t>
      </w:r>
    </w:p>
    <w:p>
      <w:pPr>
        <w:pStyle w:val="Indenta"/>
        <w:rPr>
          <w:snapToGrid w:val="0"/>
        </w:rPr>
      </w:pPr>
      <w:r>
        <w:rPr>
          <w:snapToGrid w:val="0"/>
        </w:rPr>
        <w:tab/>
        <w:t>(b)</w:t>
      </w:r>
      <w:r>
        <w:rPr>
          <w:snapToGrid w:val="0"/>
        </w:rPr>
        <w:tab/>
        <w:t>ceases to be a person entitled to the land; or</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 or</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spacing w:before="180"/>
        <w:rPr>
          <w:snapToGrid w:val="0"/>
        </w:rPr>
      </w:pPr>
      <w:r>
        <w:rPr>
          <w:snapToGrid w:val="0"/>
        </w:rPr>
        <w:tab/>
      </w:r>
      <w:r>
        <w:rPr>
          <w:snapToGrid w:val="0"/>
        </w:rPr>
        <w:tab/>
        <w:t>whichever happens first.</w:t>
      </w:r>
    </w:p>
    <w:p>
      <w:pPr>
        <w:pStyle w:val="Subsection"/>
        <w:spacing w:before="180"/>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r>
        <w:tab/>
        <w:t>[Section 44 amended by No. 28 of 2003 s. 172; No. 13 of 2007 s. 12; No. 4 of 2013 s. 13.]</w:t>
      </w:r>
    </w:p>
    <w:p>
      <w:pPr>
        <w:pStyle w:val="Heading5"/>
        <w:spacing w:before="240"/>
        <w:rPr>
          <w:snapToGrid w:val="0"/>
        </w:rPr>
      </w:pPr>
      <w:bookmarkStart w:id="65" w:name="_Toc473105317"/>
      <w:r>
        <w:rPr>
          <w:rStyle w:val="CharSectno"/>
        </w:rPr>
        <w:t>45</w:t>
      </w:r>
      <w:r>
        <w:rPr>
          <w:snapToGrid w:val="0"/>
        </w:rPr>
        <w:t>.</w:t>
      </w:r>
      <w:r>
        <w:rPr>
          <w:snapToGrid w:val="0"/>
        </w:rPr>
        <w:tab/>
        <w:t>Where charges may remain deferred in favour of a spouse</w:t>
      </w:r>
      <w:r>
        <w:t xml:space="preserve"> or de facto partner</w:t>
      </w:r>
      <w:bookmarkEnd w:id="65"/>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keepNext/>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 or</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r>
        <w:tab/>
        <w:t>[Section 45 amended by No. 28 of 2003 s. 173.]</w:t>
      </w:r>
    </w:p>
    <w:p>
      <w:pPr>
        <w:pStyle w:val="Heading5"/>
        <w:rPr>
          <w:snapToGrid w:val="0"/>
        </w:rPr>
      </w:pPr>
      <w:bookmarkStart w:id="66" w:name="_Toc473105318"/>
      <w:r>
        <w:rPr>
          <w:rStyle w:val="CharSectno"/>
        </w:rPr>
        <w:t>46</w:t>
      </w:r>
      <w:r>
        <w:rPr>
          <w:snapToGrid w:val="0"/>
        </w:rPr>
        <w:t>.</w:t>
      </w:r>
      <w:r>
        <w:rPr>
          <w:snapToGrid w:val="0"/>
        </w:rPr>
        <w:tab/>
        <w:t>Continuing liability for payment of deferred charges to be a charge on the land</w:t>
      </w:r>
      <w:bookmarkEnd w:id="66"/>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6</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ind w:left="890" w:hanging="890"/>
      </w:pPr>
      <w:r>
        <w:tab/>
        <w:t>[Section 46 amended by No. 28 of 2006 s. 432.]</w:t>
      </w:r>
    </w:p>
    <w:p>
      <w:pPr>
        <w:pStyle w:val="Heading3"/>
      </w:pPr>
      <w:bookmarkStart w:id="67" w:name="_Toc473105319"/>
      <w:r>
        <w:rPr>
          <w:rStyle w:val="CharDivNo"/>
        </w:rPr>
        <w:t>Division 2</w:t>
      </w:r>
      <w:r>
        <w:rPr>
          <w:snapToGrid w:val="0"/>
        </w:rPr>
        <w:t> — </w:t>
      </w:r>
      <w:r>
        <w:rPr>
          <w:rStyle w:val="CharDivText"/>
        </w:rPr>
        <w:t>Where charges may not be deferred</w:t>
      </w:r>
      <w:bookmarkEnd w:id="67"/>
    </w:p>
    <w:p>
      <w:pPr>
        <w:pStyle w:val="Heading5"/>
        <w:spacing w:before="180"/>
        <w:rPr>
          <w:snapToGrid w:val="0"/>
        </w:rPr>
      </w:pPr>
      <w:bookmarkStart w:id="68" w:name="_Toc473105320"/>
      <w:r>
        <w:rPr>
          <w:rStyle w:val="CharSectno"/>
        </w:rPr>
        <w:t>47</w:t>
      </w:r>
      <w:r>
        <w:rPr>
          <w:snapToGrid w:val="0"/>
        </w:rPr>
        <w:t>.</w:t>
      </w:r>
      <w:r>
        <w:rPr>
          <w:snapToGrid w:val="0"/>
        </w:rPr>
        <w:tab/>
        <w:t>Charges likely not to be recoverable</w:t>
      </w:r>
      <w:bookmarkEnd w:id="68"/>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5</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69" w:name="_Toc473105321"/>
      <w:r>
        <w:rPr>
          <w:rStyle w:val="CharPartNo"/>
        </w:rPr>
        <w:t>Part 5</w:t>
      </w:r>
      <w:r>
        <w:rPr>
          <w:rStyle w:val="CharDivNo"/>
        </w:rPr>
        <w:t> </w:t>
      </w:r>
      <w:r>
        <w:t>—</w:t>
      </w:r>
      <w:r>
        <w:rPr>
          <w:rStyle w:val="CharDivText"/>
        </w:rPr>
        <w:t> </w:t>
      </w:r>
      <w:r>
        <w:rPr>
          <w:rStyle w:val="CharPartText"/>
        </w:rPr>
        <w:t>General</w:t>
      </w:r>
      <w:bookmarkEnd w:id="69"/>
    </w:p>
    <w:p>
      <w:pPr>
        <w:pStyle w:val="Heading5"/>
        <w:rPr>
          <w:snapToGrid w:val="0"/>
        </w:rPr>
      </w:pPr>
      <w:bookmarkStart w:id="70" w:name="_Toc473105322"/>
      <w:r>
        <w:rPr>
          <w:rStyle w:val="CharSectno"/>
        </w:rPr>
        <w:t>48</w:t>
      </w:r>
      <w:r>
        <w:rPr>
          <w:snapToGrid w:val="0"/>
        </w:rPr>
        <w:t>.</w:t>
      </w:r>
      <w:r>
        <w:rPr>
          <w:snapToGrid w:val="0"/>
        </w:rPr>
        <w:tab/>
        <w:t>Registration of documents</w:t>
      </w:r>
      <w:bookmarkEnd w:id="70"/>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spacing w:before="180"/>
        <w:rPr>
          <w:snapToGrid w:val="0"/>
        </w:rPr>
      </w:pPr>
      <w:bookmarkStart w:id="71" w:name="_Toc473105323"/>
      <w:r>
        <w:rPr>
          <w:rStyle w:val="CharSectno"/>
        </w:rPr>
        <w:t>49</w:t>
      </w:r>
      <w:r>
        <w:rPr>
          <w:snapToGrid w:val="0"/>
        </w:rPr>
        <w:t>.</w:t>
      </w:r>
      <w:r>
        <w:rPr>
          <w:snapToGrid w:val="0"/>
        </w:rPr>
        <w:tab/>
        <w:t xml:space="preserve">Recovery of deferred charges not prevented by </w:t>
      </w:r>
      <w:r>
        <w:rPr>
          <w:i/>
          <w:snapToGrid w:val="0"/>
        </w:rPr>
        <w:t>Limitation Act 2005</w:t>
      </w:r>
      <w:bookmarkEnd w:id="71"/>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spacing w:before="180"/>
        <w:rPr>
          <w:snapToGrid w:val="0"/>
        </w:rPr>
      </w:pPr>
      <w:bookmarkStart w:id="72" w:name="_Toc473105324"/>
      <w:r>
        <w:rPr>
          <w:rStyle w:val="CharSectno"/>
        </w:rPr>
        <w:t>50</w:t>
      </w:r>
      <w:r>
        <w:rPr>
          <w:snapToGrid w:val="0"/>
        </w:rPr>
        <w:t>.</w:t>
      </w:r>
      <w:r>
        <w:rPr>
          <w:snapToGrid w:val="0"/>
        </w:rPr>
        <w:tab/>
        <w:t>Regulations</w:t>
      </w:r>
      <w:bookmarkEnd w:id="7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ind w:left="890" w:hanging="890"/>
      </w:pPr>
      <w:r>
        <w:t>[</w:t>
      </w:r>
      <w:r>
        <w:rPr>
          <w:b/>
        </w:rPr>
        <w:t>51.</w:t>
      </w:r>
      <w:r>
        <w:tab/>
        <w:t>Omitted under the Reprints Act 1984 s. 7(4)(f).]</w:t>
      </w:r>
    </w:p>
    <w:p>
      <w:pPr>
        <w:pStyle w:val="Ednotesection"/>
        <w:ind w:left="890" w:hanging="890"/>
      </w:pPr>
      <w:r>
        <w:t>[</w:t>
      </w:r>
      <w:r>
        <w:rPr>
          <w:b/>
        </w:rPr>
        <w:t>52.</w:t>
      </w:r>
      <w:r>
        <w:tab/>
        <w:t>Omitted under the Reprints Act 1984 s. 7(4)(e).]</w:t>
      </w:r>
    </w:p>
    <w:p>
      <w:pPr>
        <w:pStyle w:val="Heading5"/>
      </w:pPr>
      <w:bookmarkStart w:id="73" w:name="_Toc473105325"/>
      <w:r>
        <w:rPr>
          <w:rStyle w:val="CharSectno"/>
        </w:rPr>
        <w:t>53</w:t>
      </w:r>
      <w:r>
        <w:t>.</w:t>
      </w:r>
      <w:r>
        <w:tab/>
        <w:t>Transitional provisions</w:t>
      </w:r>
      <w:bookmarkEnd w:id="73"/>
    </w:p>
    <w:p>
      <w:pPr>
        <w:pStyle w:val="Subsection"/>
      </w:pPr>
      <w:r>
        <w:tab/>
      </w:r>
      <w:r>
        <w:tab/>
        <w:t>Schedule 1 contains transitional provisions relating to amendments made to this Act.</w:t>
      </w:r>
    </w:p>
    <w:p>
      <w:pPr>
        <w:pStyle w:val="Footnotesection"/>
      </w:pPr>
      <w:r>
        <w:tab/>
        <w:t>[Section 53 inserted by No. 31 of 2006 s. 38.]</w:t>
      </w:r>
    </w:p>
    <w:p>
      <w:pPr>
        <w:sectPr>
          <w:headerReference w:type="even" r:id="rId25"/>
          <w:headerReference w:type="default" r:id="rId26"/>
          <w:foot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Pr>
      <w:bookmarkStart w:id="74" w:name="_Toc473105326"/>
      <w:r>
        <w:rPr>
          <w:rStyle w:val="CharSchNo"/>
        </w:rPr>
        <w:t>Schedule 1</w:t>
      </w:r>
      <w:r>
        <w:t> — </w:t>
      </w:r>
      <w:r>
        <w:rPr>
          <w:rStyle w:val="CharSchText"/>
        </w:rPr>
        <w:t>Transitional provisions</w:t>
      </w:r>
      <w:bookmarkEnd w:id="74"/>
    </w:p>
    <w:p>
      <w:pPr>
        <w:pStyle w:val="yShoulderClause"/>
      </w:pPr>
      <w:r>
        <w:t>[s. 53]</w:t>
      </w:r>
    </w:p>
    <w:p>
      <w:pPr>
        <w:pStyle w:val="yFootnoteheading"/>
      </w:pPr>
      <w:r>
        <w:tab/>
        <w:t>[Heading inserted by No. 31 of 2006 s. 39.]</w:t>
      </w:r>
    </w:p>
    <w:p>
      <w:pPr>
        <w:pStyle w:val="yHeading3"/>
        <w:outlineLvl w:val="9"/>
      </w:pPr>
      <w:bookmarkStart w:id="75" w:name="_Toc473105327"/>
      <w:r>
        <w:rPr>
          <w:rStyle w:val="CharSDivNo"/>
        </w:rPr>
        <w:t>Division 1</w:t>
      </w:r>
      <w:r>
        <w:rPr>
          <w:b w:val="0"/>
        </w:rPr>
        <w:t> — </w:t>
      </w:r>
      <w:r>
        <w:rPr>
          <w:rStyle w:val="CharSDivText"/>
        </w:rPr>
        <w:t xml:space="preserve">Provision for </w:t>
      </w:r>
      <w:r>
        <w:rPr>
          <w:rStyle w:val="CharSDivText"/>
          <w:i/>
        </w:rPr>
        <w:t>Revenue Laws Amendment Act 2006</w:t>
      </w:r>
      <w:bookmarkEnd w:id="75"/>
    </w:p>
    <w:p>
      <w:pPr>
        <w:pStyle w:val="yFootnoteheading"/>
      </w:pPr>
      <w:r>
        <w:tab/>
        <w:t>[Heading inserted by No. 31 of 2006 s. 39.]</w:t>
      </w:r>
    </w:p>
    <w:p>
      <w:pPr>
        <w:pStyle w:val="yHeading5"/>
        <w:outlineLvl w:val="9"/>
      </w:pPr>
      <w:bookmarkStart w:id="76" w:name="_Toc473105328"/>
      <w:r>
        <w:rPr>
          <w:rStyle w:val="CharSClsNo"/>
        </w:rPr>
        <w:t>1</w:t>
      </w:r>
      <w:r>
        <w:t>.</w:t>
      </w:r>
      <w:r>
        <w:rPr>
          <w:b w:val="0"/>
        </w:rPr>
        <w:tab/>
      </w:r>
      <w:r>
        <w:t>Application of section 40</w:t>
      </w:r>
      <w:bookmarkEnd w:id="76"/>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78" w:name="_Toc473105329"/>
      <w:r>
        <w:t>Notes</w:t>
      </w:r>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9" w:name="_Toc473105330"/>
      <w:r>
        <w:rPr>
          <w:snapToGrid w:val="0"/>
        </w:rPr>
        <w:t>Compilation table</w:t>
      </w:r>
      <w:bookmarkEnd w:id="79"/>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4"/>
        <w:gridCol w:w="2551"/>
        <w:gridCol w:w="7"/>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73" w:type="dxa"/>
          </w:tcPr>
          <w:p>
            <w:pPr>
              <w:pStyle w:val="nTable"/>
              <w:spacing w:after="40"/>
              <w:ind w:right="113"/>
            </w:pPr>
            <w:r>
              <w:rPr>
                <w:i/>
              </w:rPr>
              <w:t>Rates and Charges (Rebates and Deferments) Act 1992</w:t>
            </w:r>
          </w:p>
        </w:tc>
        <w:tc>
          <w:tcPr>
            <w:tcW w:w="1136" w:type="dxa"/>
          </w:tcPr>
          <w:p>
            <w:pPr>
              <w:pStyle w:val="nTable"/>
              <w:spacing w:after="40"/>
            </w:pPr>
            <w:r>
              <w:t>31 of 1992</w:t>
            </w:r>
          </w:p>
        </w:tc>
        <w:tc>
          <w:tcPr>
            <w:tcW w:w="1134" w:type="dxa"/>
          </w:tcPr>
          <w:p>
            <w:pPr>
              <w:pStyle w:val="nTable"/>
              <w:spacing w:after="40"/>
            </w:pPr>
            <w:r>
              <w:t>19 Jun 1992</w:t>
            </w:r>
          </w:p>
        </w:tc>
        <w:tc>
          <w:tcPr>
            <w:tcW w:w="2551" w:type="dxa"/>
          </w:tcPr>
          <w:p>
            <w:pPr>
              <w:pStyle w:val="nTable"/>
              <w:spacing w:after="40"/>
            </w:pPr>
            <w:r>
              <w:t>s. 1 and 2: 19 Jun 1992;</w:t>
            </w:r>
            <w:r>
              <w:br/>
              <w:t xml:space="preserve">Act other than s. 1 and 2: 1 Jul 1992 (see s. 2 and </w:t>
            </w:r>
            <w:r>
              <w:rPr>
                <w:i/>
              </w:rPr>
              <w:t>Gazette</w:t>
            </w:r>
            <w:r>
              <w:t xml:space="preserve"> 26 Jun 1992 p. 2643)</w:t>
            </w:r>
          </w:p>
        </w:tc>
      </w:tr>
      <w:tr>
        <w:trPr>
          <w:gridAfter w:val="1"/>
          <w:wAfter w:w="7" w:type="dxa"/>
          <w:cantSplit/>
        </w:trPr>
        <w:tc>
          <w:tcPr>
            <w:tcW w:w="2273" w:type="dxa"/>
          </w:tcPr>
          <w:p>
            <w:pPr>
              <w:pStyle w:val="nTable"/>
              <w:tabs>
                <w:tab w:val="left" w:pos="893"/>
              </w:tabs>
              <w:spacing w:after="40"/>
              <w:ind w:right="113"/>
            </w:pPr>
            <w:r>
              <w:rPr>
                <w:i/>
              </w:rPr>
              <w:t>Rates and Charges (Rebates and Deferments) Amendment Act 1993</w:t>
            </w:r>
          </w:p>
        </w:tc>
        <w:tc>
          <w:tcPr>
            <w:tcW w:w="1136" w:type="dxa"/>
          </w:tcPr>
          <w:p>
            <w:pPr>
              <w:pStyle w:val="nTable"/>
              <w:spacing w:after="40"/>
            </w:pPr>
            <w:r>
              <w:t>25 of 1993</w:t>
            </w:r>
          </w:p>
        </w:tc>
        <w:tc>
          <w:tcPr>
            <w:tcW w:w="1134" w:type="dxa"/>
          </w:tcPr>
          <w:p>
            <w:pPr>
              <w:pStyle w:val="nTable"/>
              <w:spacing w:after="40"/>
            </w:pPr>
            <w:r>
              <w:t>15 Dec 1993</w:t>
            </w:r>
          </w:p>
        </w:tc>
        <w:tc>
          <w:tcPr>
            <w:tcW w:w="2551" w:type="dxa"/>
          </w:tcPr>
          <w:p>
            <w:pPr>
              <w:pStyle w:val="nTable"/>
              <w:spacing w:after="40"/>
            </w:pPr>
            <w:r>
              <w:t>Pt. 1 and 2: 1 Jul 1993 (see s. 2(1));</w:t>
            </w:r>
            <w:r>
              <w:br/>
              <w:t xml:space="preserve">Pt. 3: 1 Jan 1994 (see s. 2(2) and </w:t>
            </w:r>
            <w:r>
              <w:rPr>
                <w:i/>
              </w:rPr>
              <w:t>Gazette</w:t>
            </w:r>
            <w:r>
              <w:t xml:space="preserve"> 31 Dec 1993 p. 6862)</w:t>
            </w:r>
          </w:p>
        </w:tc>
      </w:tr>
      <w:tr>
        <w:trPr>
          <w:gridAfter w:val="1"/>
          <w:wAfter w:w="7" w:type="dxa"/>
          <w:cantSplit/>
        </w:trPr>
        <w:tc>
          <w:tcPr>
            <w:tcW w:w="2273" w:type="dxa"/>
          </w:tcPr>
          <w:p>
            <w:pPr>
              <w:pStyle w:val="nTable"/>
              <w:spacing w:after="40"/>
              <w:ind w:right="113"/>
            </w:pPr>
            <w:r>
              <w:rPr>
                <w:i/>
              </w:rPr>
              <w:t>Statutes (Repeals and Minor Amendments) Act 1994</w:t>
            </w:r>
            <w:r>
              <w:t xml:space="preserve"> s. 4</w:t>
            </w:r>
          </w:p>
        </w:tc>
        <w:tc>
          <w:tcPr>
            <w:tcW w:w="1136"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gridAfter w:val="1"/>
          <w:wAfter w:w="7" w:type="dxa"/>
          <w:cantSplit/>
        </w:trPr>
        <w:tc>
          <w:tcPr>
            <w:tcW w:w="2273" w:type="dxa"/>
          </w:tcPr>
          <w:p>
            <w:pPr>
              <w:pStyle w:val="nTable"/>
              <w:spacing w:after="40"/>
              <w:ind w:right="113"/>
            </w:pPr>
            <w:r>
              <w:rPr>
                <w:i/>
              </w:rPr>
              <w:t>Water Agencies Restructure (Transitional and Consequential Provisions) Act 1995</w:t>
            </w:r>
            <w:r>
              <w:t xml:space="preserve"> s. 188</w:t>
            </w:r>
          </w:p>
        </w:tc>
        <w:tc>
          <w:tcPr>
            <w:tcW w:w="1136"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7" w:type="dxa"/>
          <w:cantSplit/>
        </w:trPr>
        <w:tc>
          <w:tcPr>
            <w:tcW w:w="2273" w:type="dxa"/>
          </w:tcPr>
          <w:p>
            <w:pPr>
              <w:pStyle w:val="nTable"/>
              <w:spacing w:after="40"/>
              <w:ind w:right="113"/>
            </w:pPr>
            <w:r>
              <w:rPr>
                <w:i/>
              </w:rPr>
              <w:t>Local Government (Consequential Amendments) Act 1996</w:t>
            </w:r>
            <w:r>
              <w:t xml:space="preserve"> s. 4</w:t>
            </w:r>
          </w:p>
        </w:tc>
        <w:tc>
          <w:tcPr>
            <w:tcW w:w="1136"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 xml:space="preserve">1 Jul 1996 (see s. 2) </w:t>
            </w:r>
          </w:p>
        </w:tc>
      </w:tr>
      <w:tr>
        <w:trPr>
          <w:gridAfter w:val="1"/>
          <w:wAfter w:w="7" w:type="dxa"/>
          <w:cantSplit/>
        </w:trPr>
        <w:tc>
          <w:tcPr>
            <w:tcW w:w="2273" w:type="dxa"/>
          </w:tcPr>
          <w:p>
            <w:pPr>
              <w:pStyle w:val="nTable"/>
              <w:spacing w:after="40"/>
              <w:ind w:right="113"/>
            </w:pPr>
            <w:r>
              <w:rPr>
                <w:i/>
              </w:rPr>
              <w:t>Statutes (Repeals and Minor Amendments) Act 1997</w:t>
            </w:r>
            <w:r>
              <w:t xml:space="preserve"> s. 102</w:t>
            </w:r>
          </w:p>
        </w:tc>
        <w:tc>
          <w:tcPr>
            <w:tcW w:w="1136"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gridAfter w:val="1"/>
          <w:wAfter w:w="7" w:type="dxa"/>
          <w:cantSplit/>
        </w:trPr>
        <w:tc>
          <w:tcPr>
            <w:tcW w:w="2273" w:type="dxa"/>
          </w:tcPr>
          <w:p>
            <w:pPr>
              <w:pStyle w:val="nTable"/>
              <w:spacing w:after="40"/>
              <w:ind w:right="113"/>
            </w:pPr>
            <w:r>
              <w:rPr>
                <w:i/>
              </w:rPr>
              <w:t>Revenue Laws Amendment (Assessment) Act 1998</w:t>
            </w:r>
            <w:r>
              <w:t xml:space="preserve"> Pt. 4</w:t>
            </w:r>
            <w:r>
              <w:rPr>
                <w:vertAlign w:val="superscript"/>
              </w:rPr>
              <w:t> 7</w:t>
            </w:r>
          </w:p>
        </w:tc>
        <w:tc>
          <w:tcPr>
            <w:tcW w:w="1136" w:type="dxa"/>
          </w:tcPr>
          <w:p>
            <w:pPr>
              <w:pStyle w:val="nTable"/>
              <w:spacing w:after="40"/>
            </w:pPr>
            <w:r>
              <w:t>22 of 1998</w:t>
            </w:r>
          </w:p>
        </w:tc>
        <w:tc>
          <w:tcPr>
            <w:tcW w:w="1134" w:type="dxa"/>
          </w:tcPr>
          <w:p>
            <w:pPr>
              <w:pStyle w:val="nTable"/>
              <w:spacing w:after="40"/>
            </w:pPr>
            <w:r>
              <w:t>30 Jun 1998</w:t>
            </w:r>
          </w:p>
        </w:tc>
        <w:tc>
          <w:tcPr>
            <w:tcW w:w="2551" w:type="dxa"/>
          </w:tcPr>
          <w:p>
            <w:pPr>
              <w:pStyle w:val="nTable"/>
              <w:spacing w:after="40"/>
            </w:pPr>
            <w:r>
              <w:t>1 Jul 1998 (see s. 2(1))</w:t>
            </w:r>
          </w:p>
        </w:tc>
      </w:tr>
      <w:tr>
        <w:trPr>
          <w:gridAfter w:val="1"/>
          <w:wAfter w:w="7" w:type="dxa"/>
          <w:cantSplit/>
        </w:trPr>
        <w:tc>
          <w:tcPr>
            <w:tcW w:w="7094" w:type="dxa"/>
            <w:gridSpan w:val="4"/>
          </w:tcPr>
          <w:p>
            <w:pPr>
              <w:pStyle w:val="nTable"/>
              <w:spacing w:after="40"/>
            </w:pPr>
            <w:r>
              <w:rPr>
                <w:b/>
              </w:rPr>
              <w:t xml:space="preserve">Reprint of the </w:t>
            </w:r>
            <w:r>
              <w:rPr>
                <w:b/>
                <w:i/>
              </w:rPr>
              <w:t>Rates and Charges (Rebates and Deferments) Act 1992</w:t>
            </w:r>
            <w:r>
              <w:rPr>
                <w:b/>
              </w:rPr>
              <w:t xml:space="preserve"> as at 19 May 2000 </w:t>
            </w:r>
            <w:r>
              <w:t>(includes amendments listed above)</w:t>
            </w:r>
          </w:p>
        </w:tc>
      </w:tr>
      <w:tr>
        <w:trPr>
          <w:gridAfter w:val="1"/>
          <w:wAfter w:w="7" w:type="dxa"/>
          <w:cantSplit/>
        </w:trPr>
        <w:tc>
          <w:tcPr>
            <w:tcW w:w="2273" w:type="dxa"/>
          </w:tcPr>
          <w:p>
            <w:pPr>
              <w:pStyle w:val="nTable"/>
              <w:spacing w:after="40"/>
              <w:ind w:right="113"/>
              <w:rPr>
                <w:vertAlign w:val="superscript"/>
              </w:rPr>
            </w:pPr>
            <w:r>
              <w:rPr>
                <w:i/>
              </w:rPr>
              <w:t>Revenue Laws Amendment (Assessment) Act 2001</w:t>
            </w:r>
            <w:r>
              <w:t xml:space="preserve"> Pt. 3</w:t>
            </w:r>
            <w:r>
              <w:rPr>
                <w:vertAlign w:val="superscript"/>
              </w:rPr>
              <w:t> 8, 9</w:t>
            </w:r>
          </w:p>
        </w:tc>
        <w:tc>
          <w:tcPr>
            <w:tcW w:w="1136" w:type="dxa"/>
          </w:tcPr>
          <w:p>
            <w:pPr>
              <w:pStyle w:val="nTable"/>
              <w:spacing w:after="40"/>
            </w:pPr>
            <w:r>
              <w:t>3 of 2001</w:t>
            </w:r>
          </w:p>
        </w:tc>
        <w:tc>
          <w:tcPr>
            <w:tcW w:w="1134" w:type="dxa"/>
          </w:tcPr>
          <w:p>
            <w:pPr>
              <w:pStyle w:val="nTable"/>
              <w:spacing w:after="40"/>
            </w:pPr>
            <w:r>
              <w:t>26 Jun 2001</w:t>
            </w:r>
          </w:p>
        </w:tc>
        <w:tc>
          <w:tcPr>
            <w:tcW w:w="2551" w:type="dxa"/>
          </w:tcPr>
          <w:p>
            <w:pPr>
              <w:pStyle w:val="nTable"/>
              <w:spacing w:after="40"/>
            </w:pPr>
            <w:r>
              <w:t>1 Jul 2001 (see s. 2(2))</w:t>
            </w:r>
          </w:p>
        </w:tc>
      </w:tr>
      <w:tr>
        <w:trPr>
          <w:gridAfter w:val="1"/>
          <w:wAfter w:w="7" w:type="dxa"/>
          <w:cantSplit/>
        </w:trPr>
        <w:tc>
          <w:tcPr>
            <w:tcW w:w="2273" w:type="dxa"/>
          </w:tcPr>
          <w:p>
            <w:pPr>
              <w:pStyle w:val="nTable"/>
              <w:spacing w:after="40"/>
              <w:ind w:right="113"/>
              <w:rPr>
                <w:vertAlign w:val="superscript"/>
              </w:rPr>
            </w:pPr>
            <w:r>
              <w:rPr>
                <w:i/>
              </w:rPr>
              <w:t>Fire and Emergency Services Legislation (Emergency Services Levy) Amendment Act 2002</w:t>
            </w:r>
            <w:r>
              <w:t xml:space="preserve"> Pt. 4</w:t>
            </w:r>
            <w:r>
              <w:rPr>
                <w:vertAlign w:val="superscript"/>
              </w:rPr>
              <w:t> 10</w:t>
            </w:r>
          </w:p>
        </w:tc>
        <w:tc>
          <w:tcPr>
            <w:tcW w:w="1136" w:type="dxa"/>
          </w:tcPr>
          <w:p>
            <w:pPr>
              <w:pStyle w:val="nTable"/>
              <w:spacing w:after="40"/>
            </w:pPr>
            <w:r>
              <w:t>42 of 2002</w:t>
            </w:r>
          </w:p>
        </w:tc>
        <w:tc>
          <w:tcPr>
            <w:tcW w:w="1134" w:type="dxa"/>
          </w:tcPr>
          <w:p>
            <w:pPr>
              <w:pStyle w:val="nTable"/>
              <w:spacing w:after="40"/>
            </w:pPr>
            <w:r>
              <w:t>11 Dec 2002</w:t>
            </w:r>
          </w:p>
        </w:tc>
        <w:tc>
          <w:tcPr>
            <w:tcW w:w="2551" w:type="dxa"/>
          </w:tcPr>
          <w:p>
            <w:pPr>
              <w:pStyle w:val="nTable"/>
              <w:spacing w:after="40"/>
            </w:pPr>
            <w:r>
              <w:t xml:space="preserve">1 Jan 2003 (see s. 2 and </w:t>
            </w:r>
            <w:r>
              <w:rPr>
                <w:i/>
              </w:rPr>
              <w:t>Gazette</w:t>
            </w:r>
            <w:r>
              <w:t xml:space="preserve"> 30 Dec 2002 p. 6635)</w:t>
            </w:r>
          </w:p>
        </w:tc>
      </w:tr>
      <w:tr>
        <w:trPr>
          <w:gridAfter w:val="1"/>
          <w:wAfter w:w="7" w:type="dxa"/>
          <w:cantSplit/>
        </w:trPr>
        <w:tc>
          <w:tcPr>
            <w:tcW w:w="2273" w:type="dxa"/>
          </w:tcPr>
          <w:p>
            <w:pPr>
              <w:pStyle w:val="nTable"/>
              <w:spacing w:after="40"/>
              <w:ind w:right="113"/>
            </w:pPr>
            <w:r>
              <w:rPr>
                <w:i/>
              </w:rPr>
              <w:t>Acts Amendment (Equality of Status) Act 2003</w:t>
            </w:r>
            <w:r>
              <w:t xml:space="preserve"> Pt. 50</w:t>
            </w:r>
          </w:p>
        </w:tc>
        <w:tc>
          <w:tcPr>
            <w:tcW w:w="1136"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rPr>
                <w:u w:val="words"/>
              </w:rPr>
            </w:pPr>
            <w:r>
              <w:t xml:space="preserve">1 Jul 2003 (see s. 2 and </w:t>
            </w:r>
            <w:r>
              <w:rPr>
                <w:i/>
              </w:rPr>
              <w:t xml:space="preserve">Gazette </w:t>
            </w:r>
            <w:r>
              <w:t>30 Jun 2003 p. 2579)</w:t>
            </w:r>
          </w:p>
        </w:tc>
      </w:tr>
      <w:tr>
        <w:trPr>
          <w:gridAfter w:val="1"/>
          <w:wAfter w:w="7" w:type="dxa"/>
          <w:cantSplit/>
        </w:trPr>
        <w:tc>
          <w:tcPr>
            <w:tcW w:w="2273" w:type="dxa"/>
          </w:tcPr>
          <w:p>
            <w:pPr>
              <w:pStyle w:val="nTable"/>
              <w:spacing w:after="40"/>
              <w:rPr>
                <w:snapToGrid w:val="0"/>
              </w:rPr>
            </w:pPr>
            <w:r>
              <w:rPr>
                <w:i/>
                <w:snapToGrid w:val="0"/>
              </w:rPr>
              <w:t>Children and Community Services Act 2004</w:t>
            </w:r>
            <w:r>
              <w:rPr>
                <w:snapToGrid w:val="0"/>
              </w:rPr>
              <w:t xml:space="preserve"> Sch. 2 cl. 22</w:t>
            </w:r>
          </w:p>
        </w:tc>
        <w:tc>
          <w:tcPr>
            <w:tcW w:w="1136"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gridAfter w:val="1"/>
          <w:wAfter w:w="7" w:type="dxa"/>
          <w:cantSplit/>
        </w:trPr>
        <w:tc>
          <w:tcPr>
            <w:tcW w:w="2273"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6"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7" w:type="dxa"/>
          <w:cantSplit/>
        </w:trPr>
        <w:tc>
          <w:tcPr>
            <w:tcW w:w="2273" w:type="dxa"/>
          </w:tcPr>
          <w:p>
            <w:pPr>
              <w:pStyle w:val="nTable"/>
              <w:spacing w:after="40"/>
              <w:ind w:right="113"/>
              <w:rPr>
                <w:snapToGrid w:val="0"/>
              </w:rPr>
            </w:pPr>
            <w:r>
              <w:rPr>
                <w:i/>
                <w:snapToGrid w:val="0"/>
              </w:rPr>
              <w:t>Rates and Charges (Rebates and Deferments) Amendment Act 2005</w:t>
            </w:r>
            <w:r>
              <w:rPr>
                <w:snapToGrid w:val="0"/>
                <w:vertAlign w:val="superscript"/>
              </w:rPr>
              <w:t> 11</w:t>
            </w:r>
          </w:p>
        </w:tc>
        <w:tc>
          <w:tcPr>
            <w:tcW w:w="1136" w:type="dxa"/>
          </w:tcPr>
          <w:p>
            <w:pPr>
              <w:pStyle w:val="nTable"/>
              <w:spacing w:after="40"/>
              <w:rPr>
                <w:snapToGrid w:val="0"/>
              </w:rPr>
            </w:pPr>
            <w:r>
              <w:rPr>
                <w:snapToGrid w:val="0"/>
              </w:rPr>
              <w:t>9 of 2005</w:t>
            </w:r>
          </w:p>
        </w:tc>
        <w:tc>
          <w:tcPr>
            <w:tcW w:w="1134" w:type="dxa"/>
          </w:tcPr>
          <w:p>
            <w:pPr>
              <w:pStyle w:val="nTable"/>
              <w:spacing w:after="40"/>
            </w:pPr>
            <w:r>
              <w:t>7 Jul 2005</w:t>
            </w:r>
          </w:p>
        </w:tc>
        <w:tc>
          <w:tcPr>
            <w:tcW w:w="2551" w:type="dxa"/>
          </w:tcPr>
          <w:p>
            <w:pPr>
              <w:pStyle w:val="nTable"/>
              <w:spacing w:after="40"/>
              <w:rPr>
                <w:snapToGrid w:val="0"/>
              </w:rPr>
            </w:pPr>
            <w:r>
              <w:rPr>
                <w:snapToGrid w:val="0"/>
              </w:rPr>
              <w:t>s. 4(2), 11, 14(1) and (2) and 15: 1 Jul 2005 (see s. 2(3));</w:t>
            </w:r>
            <w:r>
              <w:rPr>
                <w:snapToGrid w:val="0"/>
              </w:rPr>
              <w:br/>
              <w:t>Act other than s. 4(2), 11, 14(1) and (2) and 15: 7 Jul 2005 (see s. 2(1))</w:t>
            </w:r>
          </w:p>
        </w:tc>
      </w:tr>
      <w:tr>
        <w:trPr>
          <w:gridAfter w:val="1"/>
          <w:wAfter w:w="7" w:type="dxa"/>
        </w:trPr>
        <w:tc>
          <w:tcPr>
            <w:tcW w:w="2273" w:type="dxa"/>
          </w:tcPr>
          <w:p>
            <w:pPr>
              <w:pStyle w:val="nTable"/>
              <w:spacing w:after="40"/>
              <w:rPr>
                <w:snapToGrid w:val="0"/>
                <w:vertAlign w:val="superscript"/>
              </w:rPr>
            </w:pPr>
            <w:r>
              <w:rPr>
                <w:i/>
                <w:snapToGrid w:val="0"/>
              </w:rPr>
              <w:t>Limitation Legislation Amendment and Repeal Act 2005</w:t>
            </w:r>
            <w:r>
              <w:rPr>
                <w:snapToGrid w:val="0"/>
              </w:rPr>
              <w:t xml:space="preserve"> Pt. 10</w:t>
            </w:r>
          </w:p>
        </w:tc>
        <w:tc>
          <w:tcPr>
            <w:tcW w:w="1136" w:type="dxa"/>
          </w:tcPr>
          <w:p>
            <w:pPr>
              <w:pStyle w:val="nTable"/>
              <w:spacing w:after="40"/>
              <w:rPr>
                <w:snapToGrid w:val="0"/>
              </w:rPr>
            </w:pPr>
            <w:r>
              <w:rPr>
                <w:snapToGrid w:val="0"/>
              </w:rPr>
              <w:t>20 of 2005</w:t>
            </w:r>
          </w:p>
        </w:tc>
        <w:tc>
          <w:tcPr>
            <w:tcW w:w="1134" w:type="dxa"/>
          </w:tcPr>
          <w:p>
            <w:pPr>
              <w:pStyle w:val="nTable"/>
              <w:spacing w:after="40"/>
            </w:pPr>
            <w:r>
              <w:t>15 Nov 2005</w:t>
            </w:r>
          </w:p>
        </w:tc>
        <w:tc>
          <w:tcPr>
            <w:tcW w:w="2551" w:type="dxa"/>
          </w:tcPr>
          <w:p>
            <w:pPr>
              <w:pStyle w:val="nTable"/>
              <w:spacing w:after="40"/>
              <w:rPr>
                <w:snapToGrid w:val="0"/>
              </w:rPr>
            </w:pPr>
            <w:r>
              <w:rPr>
                <w:snapToGrid w:val="0"/>
              </w:rPr>
              <w:t>15 Nov 2005 (see s. 2(1))</w:t>
            </w:r>
          </w:p>
        </w:tc>
      </w:tr>
      <w:tr>
        <w:trPr>
          <w:gridAfter w:val="1"/>
          <w:wAfter w:w="7" w:type="dxa"/>
        </w:trPr>
        <w:tc>
          <w:tcPr>
            <w:tcW w:w="2273" w:type="dxa"/>
          </w:tcPr>
          <w:p>
            <w:pPr>
              <w:pStyle w:val="nTable"/>
              <w:spacing w:after="40"/>
              <w:rPr>
                <w:i/>
                <w:snapToGrid w:val="0"/>
              </w:rPr>
            </w:pPr>
            <w:r>
              <w:rPr>
                <w:i/>
                <w:snapToGrid w:val="0"/>
              </w:rPr>
              <w:t xml:space="preserve">Machinery of Government (Miscellaneous Amendments) Act 2006 </w:t>
            </w:r>
            <w:r>
              <w:rPr>
                <w:snapToGrid w:val="0"/>
              </w:rPr>
              <w:t>Pt. 17 Div. 8</w:t>
            </w:r>
          </w:p>
        </w:tc>
        <w:tc>
          <w:tcPr>
            <w:tcW w:w="1136"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After w:val="1"/>
          <w:wAfter w:w="7" w:type="dxa"/>
        </w:trPr>
        <w:tc>
          <w:tcPr>
            <w:tcW w:w="2273" w:type="dxa"/>
          </w:tcPr>
          <w:p>
            <w:pPr>
              <w:pStyle w:val="nTable"/>
              <w:spacing w:after="40"/>
              <w:rPr>
                <w:noProof/>
                <w:snapToGrid w:val="0"/>
                <w:vertAlign w:val="superscript"/>
              </w:rPr>
            </w:pPr>
            <w:r>
              <w:rPr>
                <w:i/>
                <w:noProof/>
                <w:snapToGrid w:val="0"/>
              </w:rPr>
              <w:t>Revenue Laws Amendment Act 2006</w:t>
            </w:r>
            <w:r>
              <w:rPr>
                <w:noProof/>
                <w:snapToGrid w:val="0"/>
              </w:rPr>
              <w:t xml:space="preserve"> Pt. 5</w:t>
            </w:r>
          </w:p>
        </w:tc>
        <w:tc>
          <w:tcPr>
            <w:tcW w:w="1136" w:type="dxa"/>
          </w:tcPr>
          <w:p>
            <w:pPr>
              <w:pStyle w:val="nTable"/>
              <w:spacing w:after="40"/>
            </w:pPr>
            <w:r>
              <w:t>31 of 2006</w:t>
            </w:r>
          </w:p>
        </w:tc>
        <w:tc>
          <w:tcPr>
            <w:tcW w:w="1134" w:type="dxa"/>
          </w:tcPr>
          <w:p>
            <w:pPr>
              <w:pStyle w:val="nTable"/>
              <w:spacing w:after="40"/>
            </w:pPr>
            <w:r>
              <w:t>4 Jul 2006</w:t>
            </w:r>
          </w:p>
        </w:tc>
        <w:tc>
          <w:tcPr>
            <w:tcW w:w="2551" w:type="dxa"/>
          </w:tcPr>
          <w:p>
            <w:pPr>
              <w:pStyle w:val="nTable"/>
              <w:spacing w:after="40"/>
            </w:pPr>
            <w:r>
              <w:t>1 Jul 2006 (see s. 2(5))</w:t>
            </w:r>
          </w:p>
        </w:tc>
      </w:tr>
      <w:tr>
        <w:trPr>
          <w:gridAfter w:val="1"/>
          <w:wAfter w:w="7" w:type="dxa"/>
        </w:trPr>
        <w:tc>
          <w:tcPr>
            <w:tcW w:w="2273" w:type="dxa"/>
          </w:tcPr>
          <w:p>
            <w:pPr>
              <w:pStyle w:val="nTable"/>
              <w:spacing w:after="40"/>
              <w:rPr>
                <w:i/>
                <w:noProof/>
                <w:snapToGrid w:val="0"/>
              </w:rPr>
            </w:pPr>
            <w:r>
              <w:rPr>
                <w:i/>
                <w:noProof/>
                <w:snapToGrid w:val="0"/>
              </w:rPr>
              <w:t>Residential Parks (Long</w:t>
            </w:r>
            <w:r>
              <w:rPr>
                <w:i/>
                <w:noProof/>
                <w:snapToGrid w:val="0"/>
              </w:rPr>
              <w:noBreakHyphen/>
              <w:t>stay Tenants) Act 2006 </w:t>
            </w:r>
            <w:r>
              <w:rPr>
                <w:noProof/>
                <w:snapToGrid w:val="0"/>
              </w:rPr>
              <w:t>s. 98</w:t>
            </w:r>
          </w:p>
        </w:tc>
        <w:tc>
          <w:tcPr>
            <w:tcW w:w="1136" w:type="dxa"/>
          </w:tcPr>
          <w:p>
            <w:pPr>
              <w:pStyle w:val="nTable"/>
              <w:spacing w:after="40"/>
            </w:pPr>
            <w:r>
              <w:rPr>
                <w:snapToGrid w:val="0"/>
              </w:rPr>
              <w:t>32 of 2006</w:t>
            </w:r>
          </w:p>
        </w:tc>
        <w:tc>
          <w:tcPr>
            <w:tcW w:w="1134" w:type="dxa"/>
          </w:tcPr>
          <w:p>
            <w:pPr>
              <w:pStyle w:val="nTable"/>
              <w:spacing w:after="40"/>
            </w:pPr>
            <w:r>
              <w:rPr>
                <w:snapToGrid w:val="0"/>
              </w:rPr>
              <w:t>4 Jul 2006</w:t>
            </w:r>
          </w:p>
        </w:tc>
        <w:tc>
          <w:tcPr>
            <w:tcW w:w="2551" w:type="dxa"/>
          </w:tcPr>
          <w:p>
            <w:pPr>
              <w:pStyle w:val="nTable"/>
              <w:spacing w:after="40"/>
            </w:pPr>
            <w:r>
              <w:t xml:space="preserve">3 Aug 2007 (see s. 2 and </w:t>
            </w:r>
            <w:r>
              <w:rPr>
                <w:i/>
                <w:iCs/>
              </w:rPr>
              <w:t>Gazette</w:t>
            </w:r>
            <w:r>
              <w:t xml:space="preserve"> 1 Aug 2007 p. 3835)</w:t>
            </w:r>
          </w:p>
        </w:tc>
      </w:tr>
      <w:tr>
        <w:trPr>
          <w:gridAfter w:val="1"/>
          <w:wAfter w:w="7" w:type="dxa"/>
          <w:cantSplit/>
        </w:trPr>
        <w:tc>
          <w:tcPr>
            <w:tcW w:w="7094" w:type="dxa"/>
            <w:gridSpan w:val="4"/>
          </w:tcPr>
          <w:p>
            <w:pPr>
              <w:pStyle w:val="nTable"/>
              <w:spacing w:after="40"/>
            </w:pPr>
            <w:r>
              <w:rPr>
                <w:b/>
              </w:rPr>
              <w:t xml:space="preserve">Reprint 2: The </w:t>
            </w:r>
            <w:r>
              <w:rPr>
                <w:b/>
                <w:i/>
              </w:rPr>
              <w:t>Rates and Charges (Rebates and Deferments) Act 1992</w:t>
            </w:r>
            <w:r>
              <w:rPr>
                <w:b/>
              </w:rPr>
              <w:t xml:space="preserve"> as at 22 Sep 2006 </w:t>
            </w:r>
            <w:r>
              <w:t xml:space="preserve">(includes amendments listed above except those in the </w:t>
            </w:r>
            <w:r>
              <w:rPr>
                <w:i/>
                <w:iCs/>
              </w:rPr>
              <w:t>Residential Parks (Long-stay Tenants) Act 2006</w:t>
            </w:r>
            <w:r>
              <w:t>)</w:t>
            </w:r>
          </w:p>
        </w:tc>
      </w:tr>
      <w:tr>
        <w:trPr>
          <w:gridAfter w:val="1"/>
          <w:wAfter w:w="7" w:type="dxa"/>
        </w:trPr>
        <w:tc>
          <w:tcPr>
            <w:tcW w:w="2273" w:type="dxa"/>
          </w:tcPr>
          <w:p>
            <w:pPr>
              <w:pStyle w:val="nTable"/>
              <w:spacing w:after="40"/>
              <w:rPr>
                <w:noProof/>
                <w:snapToGrid w:val="0"/>
                <w:vertAlign w:val="superscript"/>
              </w:rPr>
            </w:pPr>
            <w:r>
              <w:rPr>
                <w:i/>
                <w:snapToGrid w:val="0"/>
              </w:rPr>
              <w:t xml:space="preserve">Financial Legislation Amendment and Repeal Act 2006 </w:t>
            </w:r>
            <w:r>
              <w:rPr>
                <w:snapToGrid w:val="0"/>
              </w:rPr>
              <w:t>s. 8 and Sch. 1 cl. 146</w:t>
            </w:r>
          </w:p>
        </w:tc>
        <w:tc>
          <w:tcPr>
            <w:tcW w:w="1136"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After w:val="1"/>
          <w:wAfter w:w="7" w:type="dxa"/>
          <w:cantSplit/>
        </w:trPr>
        <w:tc>
          <w:tcPr>
            <w:tcW w:w="2273" w:type="dxa"/>
          </w:tcPr>
          <w:p>
            <w:pPr>
              <w:pStyle w:val="nTable"/>
              <w:spacing w:after="40"/>
              <w:rPr>
                <w:iCs/>
                <w:snapToGrid w:val="0"/>
              </w:rPr>
            </w:pPr>
            <w:r>
              <w:rPr>
                <w:i/>
                <w:snapToGrid w:val="0"/>
              </w:rPr>
              <w:t>Revenue Laws Amendment (Assessment) Act 2007</w:t>
            </w:r>
            <w:r>
              <w:rPr>
                <w:iCs/>
                <w:snapToGrid w:val="0"/>
              </w:rPr>
              <w:t xml:space="preserve"> Pt. 2 </w:t>
            </w:r>
          </w:p>
        </w:tc>
        <w:tc>
          <w:tcPr>
            <w:tcW w:w="1136" w:type="dxa"/>
          </w:tcPr>
          <w:p>
            <w:pPr>
              <w:pStyle w:val="nTable"/>
              <w:spacing w:after="40"/>
              <w:rPr>
                <w:snapToGrid w:val="0"/>
              </w:rPr>
            </w:pPr>
            <w:r>
              <w:rPr>
                <w:snapToGrid w:val="0"/>
              </w:rPr>
              <w:t>13 of 2007</w:t>
            </w:r>
          </w:p>
        </w:tc>
        <w:tc>
          <w:tcPr>
            <w:tcW w:w="1134" w:type="dxa"/>
          </w:tcPr>
          <w:p>
            <w:pPr>
              <w:pStyle w:val="nTable"/>
              <w:spacing w:after="40"/>
              <w:rPr>
                <w:snapToGrid w:val="0"/>
              </w:rPr>
            </w:pPr>
            <w:r>
              <w:rPr>
                <w:snapToGrid w:val="0"/>
              </w:rPr>
              <w:t>29 Jun 2007</w:t>
            </w:r>
          </w:p>
        </w:tc>
        <w:tc>
          <w:tcPr>
            <w:tcW w:w="2551" w:type="dxa"/>
          </w:tcPr>
          <w:p>
            <w:pPr>
              <w:pStyle w:val="nTable"/>
              <w:spacing w:after="40"/>
              <w:rPr>
                <w:snapToGrid w:val="0"/>
              </w:rPr>
            </w:pPr>
            <w:r>
              <w:rPr>
                <w:snapToGrid w:val="0"/>
              </w:rPr>
              <w:t>Pt. 2 Div. 1 and 2: 30 Jun 2007 (see s. 2(b));</w:t>
            </w:r>
            <w:r>
              <w:rPr>
                <w:snapToGrid w:val="0"/>
              </w:rPr>
              <w:br/>
              <w:t>Pt. 2 Div. 3: 1 Jul 2007 (see s. 2(c)(i))</w:t>
            </w:r>
          </w:p>
        </w:tc>
      </w:tr>
      <w:tr>
        <w:trPr>
          <w:gridAfter w:val="1"/>
          <w:wAfter w:w="7" w:type="dxa"/>
          <w:cantSplit/>
        </w:trPr>
        <w:tc>
          <w:tcPr>
            <w:tcW w:w="2273" w:type="dxa"/>
          </w:tcPr>
          <w:p>
            <w:pPr>
              <w:pStyle w:val="nTable"/>
              <w:spacing w:after="40"/>
              <w:rPr>
                <w:i/>
                <w:snapToGrid w:val="0"/>
              </w:rPr>
            </w:pPr>
            <w:r>
              <w:rPr>
                <w:i/>
                <w:noProof/>
                <w:snapToGrid w:val="0"/>
              </w:rPr>
              <w:t>Revenue Laws Amendment Act 2008</w:t>
            </w:r>
            <w:r>
              <w:rPr>
                <w:noProof/>
                <w:snapToGrid w:val="0"/>
              </w:rPr>
              <w:t xml:space="preserve"> Pt. 6</w:t>
            </w:r>
          </w:p>
        </w:tc>
        <w:tc>
          <w:tcPr>
            <w:tcW w:w="1136" w:type="dxa"/>
          </w:tcPr>
          <w:p>
            <w:pPr>
              <w:pStyle w:val="nTable"/>
              <w:keepNext/>
              <w:keepLines/>
              <w:spacing w:after="40"/>
              <w:rPr>
                <w:snapToGrid w:val="0"/>
              </w:rPr>
            </w:pPr>
            <w:r>
              <w:rPr>
                <w:snapToGrid w:val="0"/>
              </w:rPr>
              <w:t>30 of 2008</w:t>
            </w:r>
          </w:p>
        </w:tc>
        <w:tc>
          <w:tcPr>
            <w:tcW w:w="1134" w:type="dxa"/>
          </w:tcPr>
          <w:p>
            <w:pPr>
              <w:pStyle w:val="nTable"/>
              <w:keepNext/>
              <w:keepLines/>
              <w:spacing w:after="40"/>
              <w:rPr>
                <w:snapToGrid w:val="0"/>
              </w:rPr>
            </w:pPr>
            <w:r>
              <w:rPr>
                <w:snapToGrid w:val="0"/>
              </w:rPr>
              <w:t>27 Jun 2008</w:t>
            </w:r>
          </w:p>
        </w:tc>
        <w:tc>
          <w:tcPr>
            <w:tcW w:w="2551" w:type="dxa"/>
          </w:tcPr>
          <w:p>
            <w:pPr>
              <w:pStyle w:val="nTable"/>
              <w:keepNext/>
              <w:keepLines/>
              <w:spacing w:after="40"/>
              <w:rPr>
                <w:snapToGrid w:val="0"/>
              </w:rPr>
            </w:pPr>
            <w:r>
              <w:rPr>
                <w:snapToGrid w:val="0"/>
              </w:rPr>
              <w:t>1 Jul 2008 (see s. 2(1)(c)(i))</w:t>
            </w:r>
          </w:p>
        </w:tc>
      </w:tr>
      <w:tr>
        <w:trPr>
          <w:gridAfter w:val="1"/>
          <w:wAfter w:w="7" w:type="dxa"/>
        </w:trPr>
        <w:tc>
          <w:tcPr>
            <w:tcW w:w="2273" w:type="dxa"/>
          </w:tcPr>
          <w:p>
            <w:pPr>
              <w:pStyle w:val="nTable"/>
              <w:spacing w:after="40"/>
              <w:rPr>
                <w:iCs/>
                <w:snapToGrid w:val="0"/>
              </w:rPr>
            </w:pPr>
            <w:r>
              <w:rPr>
                <w:i/>
                <w:snapToGrid w:val="0"/>
              </w:rPr>
              <w:t>Revenue Laws Amendment Act (No. 2) 2008</w:t>
            </w:r>
            <w:r>
              <w:rPr>
                <w:iCs/>
                <w:snapToGrid w:val="0"/>
              </w:rPr>
              <w:t xml:space="preserve"> s. 35</w:t>
            </w:r>
          </w:p>
        </w:tc>
        <w:tc>
          <w:tcPr>
            <w:tcW w:w="1136"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1" w:type="dxa"/>
          </w:tcPr>
          <w:p>
            <w:pPr>
              <w:pStyle w:val="nTable"/>
              <w:spacing w:after="40"/>
              <w:rPr>
                <w:snapToGrid w:val="0"/>
              </w:rPr>
            </w:pPr>
            <w:r>
              <w:rPr>
                <w:snapToGrid w:val="0"/>
              </w:rPr>
              <w:t>28 Jun 2008 (see s. 2(b))</w:t>
            </w:r>
          </w:p>
        </w:tc>
      </w:tr>
      <w:tr>
        <w:trPr>
          <w:gridAfter w:val="1"/>
          <w:wAfter w:w="7" w:type="dxa"/>
          <w:cantSplit/>
        </w:trPr>
        <w:tc>
          <w:tcPr>
            <w:tcW w:w="7094" w:type="dxa"/>
            <w:gridSpan w:val="4"/>
          </w:tcPr>
          <w:p>
            <w:pPr>
              <w:pStyle w:val="nTable"/>
              <w:spacing w:after="40"/>
              <w:rPr>
                <w:snapToGrid w:val="0"/>
              </w:rPr>
            </w:pPr>
            <w:r>
              <w:rPr>
                <w:b/>
              </w:rPr>
              <w:t xml:space="preserve">Reprint 3: The </w:t>
            </w:r>
            <w:r>
              <w:rPr>
                <w:b/>
                <w:i/>
              </w:rPr>
              <w:t>Rates and Charges (Rebates and Deferments) Act 1992</w:t>
            </w:r>
            <w:r>
              <w:rPr>
                <w:b/>
              </w:rPr>
              <w:t xml:space="preserve"> as at 7 Nov 2008 </w:t>
            </w:r>
            <w:r>
              <w:t>(includes amendments listed above)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vertAlign w:val="superscript"/>
              </w:rPr>
            </w:pPr>
            <w:r>
              <w:rPr>
                <w:i/>
                <w:snapToGrid w:val="0"/>
              </w:rPr>
              <w:t xml:space="preserve">Residential Tenancies Amendment Act 2011 </w:t>
            </w:r>
            <w:r>
              <w:rPr>
                <w:snapToGrid w:val="0"/>
              </w:rPr>
              <w:t>Pt. 5 Div. 4</w:t>
            </w:r>
          </w:p>
        </w:tc>
        <w:tc>
          <w:tcPr>
            <w:tcW w:w="1136" w:type="dxa"/>
            <w:tcBorders>
              <w:top w:val="nil"/>
              <w:bottom w:val="nil"/>
            </w:tcBorders>
          </w:tcPr>
          <w:p>
            <w:pPr>
              <w:pStyle w:val="nTable"/>
              <w:spacing w:after="40"/>
              <w:rPr>
                <w:snapToGrid w:val="0"/>
              </w:rPr>
            </w:pPr>
            <w:r>
              <w:rPr>
                <w:snapToGrid w:val="0"/>
              </w:rPr>
              <w:t>60 of 2011</w:t>
            </w:r>
          </w:p>
        </w:tc>
        <w:tc>
          <w:tcPr>
            <w:tcW w:w="1134" w:type="dxa"/>
            <w:tcBorders>
              <w:top w:val="nil"/>
              <w:bottom w:val="nil"/>
            </w:tcBorders>
          </w:tcPr>
          <w:p>
            <w:pPr>
              <w:pStyle w:val="nTable"/>
              <w:spacing w:after="40"/>
            </w:pPr>
            <w:r>
              <w:t>14 Dec 2011</w:t>
            </w:r>
          </w:p>
        </w:tc>
        <w:tc>
          <w:tcPr>
            <w:tcW w:w="2551" w:type="dxa"/>
            <w:tcBorders>
              <w:top w:val="nil"/>
              <w:bottom w:val="nil"/>
            </w:tcBorders>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vertAlign w:val="superscript"/>
              </w:rPr>
            </w:pPr>
            <w:r>
              <w:rPr>
                <w:i/>
                <w:snapToGrid w:val="0"/>
              </w:rPr>
              <w:t>Local Government Amendment Act 2012</w:t>
            </w:r>
            <w:r>
              <w:rPr>
                <w:snapToGrid w:val="0"/>
              </w:rPr>
              <w:t xml:space="preserve"> Pt. 3</w:t>
            </w:r>
          </w:p>
        </w:tc>
        <w:tc>
          <w:tcPr>
            <w:tcW w:w="1136"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pPr>
            <w:r>
              <w:t>4 Apr 2012</w:t>
            </w:r>
          </w:p>
        </w:tc>
        <w:tc>
          <w:tcPr>
            <w:tcW w:w="2551"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20 Apr 2012 p. 1695)</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i/>
                <w:snapToGrid w:val="0"/>
              </w:rPr>
            </w:pPr>
            <w:r>
              <w:rPr>
                <w:i/>
                <w:snapToGrid w:val="0"/>
              </w:rPr>
              <w:t xml:space="preserve">Fire and Emergency Services Legislation Amendment Act 2012 </w:t>
            </w:r>
            <w:r>
              <w:rPr>
                <w:snapToGrid w:val="0"/>
              </w:rPr>
              <w:t>Pt. 7 Div. 12</w:t>
            </w:r>
          </w:p>
        </w:tc>
        <w:tc>
          <w:tcPr>
            <w:tcW w:w="1136" w:type="dxa"/>
            <w:tcBorders>
              <w:top w:val="nil"/>
              <w:bottom w:val="nil"/>
            </w:tcBorders>
          </w:tcPr>
          <w:p>
            <w:pPr>
              <w:pStyle w:val="nTable"/>
              <w:spacing w:after="40"/>
              <w:rPr>
                <w:snapToGrid w:val="0"/>
              </w:rPr>
            </w:pPr>
            <w:r>
              <w:rPr>
                <w:snapToGrid w:val="0"/>
              </w:rPr>
              <w:t>22 of 2012</w:t>
            </w:r>
          </w:p>
        </w:tc>
        <w:tc>
          <w:tcPr>
            <w:tcW w:w="1134" w:type="dxa"/>
            <w:tcBorders>
              <w:top w:val="nil"/>
              <w:bottom w:val="nil"/>
            </w:tcBorders>
          </w:tcPr>
          <w:p>
            <w:pPr>
              <w:pStyle w:val="nTable"/>
              <w:spacing w:after="40"/>
            </w:pPr>
            <w:r>
              <w:t>29 Aug 2012</w:t>
            </w:r>
          </w:p>
        </w:tc>
        <w:tc>
          <w:tcPr>
            <w:tcW w:w="2551" w:type="dxa"/>
            <w:tcBorders>
              <w:top w:val="nil"/>
              <w:bottom w:val="nil"/>
            </w:tcBorders>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Water Services Legislation Amendment and Repeal Act 2012</w:t>
            </w:r>
            <w:r>
              <w:rPr>
                <w:snapToGrid w:val="0"/>
              </w:rPr>
              <w:t xml:space="preserve"> s. 226 (other than 226(4))</w:t>
            </w:r>
          </w:p>
        </w:tc>
        <w:tc>
          <w:tcPr>
            <w:tcW w:w="1136" w:type="dxa"/>
            <w:tcBorders>
              <w:top w:val="nil"/>
              <w:bottom w:val="nil"/>
            </w:tcBorders>
          </w:tcPr>
          <w:p>
            <w:pPr>
              <w:pStyle w:val="nTable"/>
              <w:spacing w:after="40"/>
              <w:rPr>
                <w:snapToGrid w:val="0"/>
              </w:rPr>
            </w:pPr>
            <w:r>
              <w:rPr>
                <w:snapToGrid w:val="0"/>
              </w:rPr>
              <w:t>25 of 2012</w:t>
            </w:r>
          </w:p>
        </w:tc>
        <w:tc>
          <w:tcPr>
            <w:tcW w:w="1134" w:type="dxa"/>
            <w:tcBorders>
              <w:top w:val="nil"/>
              <w:bottom w:val="nil"/>
            </w:tcBorders>
          </w:tcPr>
          <w:p>
            <w:pPr>
              <w:pStyle w:val="nTable"/>
              <w:spacing w:after="40"/>
            </w:pPr>
            <w:r>
              <w:rPr>
                <w:snapToGrid w:val="0"/>
              </w:rPr>
              <w:t>3 Sep 2012</w:t>
            </w:r>
          </w:p>
        </w:tc>
        <w:tc>
          <w:tcPr>
            <w:tcW w:w="2551" w:type="dxa"/>
            <w:tcBorders>
              <w:top w:val="nil"/>
              <w:bottom w:val="nil"/>
            </w:tcBorders>
          </w:tcPr>
          <w:p>
            <w:pPr>
              <w:pStyle w:val="nTable"/>
              <w:spacing w:after="40"/>
              <w:rPr>
                <w:snapToGrid w:val="0"/>
              </w:rPr>
            </w:pPr>
            <w:r>
              <w:rPr>
                <w:snapToGrid w:val="0"/>
              </w:rPr>
              <w:t xml:space="preserve">s. 226(2), (5) and (6): 18 Nov 2013 (see s. 2(b) and </w:t>
            </w:r>
            <w:r>
              <w:rPr>
                <w:i/>
                <w:snapToGrid w:val="0"/>
              </w:rPr>
              <w:t>Gazette</w:t>
            </w:r>
            <w:r>
              <w:rPr>
                <w:snapToGrid w:val="0"/>
              </w:rPr>
              <w:t xml:space="preserve"> 14 Nov 2013 p. 5028);</w:t>
            </w:r>
            <w:r>
              <w:rPr>
                <w:snapToGrid w:val="0"/>
              </w:rPr>
              <w:br/>
              <w:t xml:space="preserve">s. 226(3): 1 Jul 2014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Revenue Laws Amendment Act 2012</w:t>
            </w:r>
            <w:r>
              <w:rPr>
                <w:snapToGrid w:val="0"/>
              </w:rPr>
              <w:t xml:space="preserve"> Pt. 6</w:t>
            </w:r>
          </w:p>
        </w:tc>
        <w:tc>
          <w:tcPr>
            <w:tcW w:w="1136" w:type="dxa"/>
            <w:tcBorders>
              <w:top w:val="nil"/>
              <w:bottom w:val="nil"/>
            </w:tcBorders>
          </w:tcPr>
          <w:p>
            <w:pPr>
              <w:pStyle w:val="nTable"/>
              <w:spacing w:after="40"/>
              <w:rPr>
                <w:snapToGrid w:val="0"/>
              </w:rPr>
            </w:pPr>
            <w:r>
              <w:rPr>
                <w:snapToGrid w:val="0"/>
              </w:rPr>
              <w:t>29 of 2012</w:t>
            </w:r>
          </w:p>
        </w:tc>
        <w:tc>
          <w:tcPr>
            <w:tcW w:w="1134" w:type="dxa"/>
            <w:tcBorders>
              <w:top w:val="nil"/>
              <w:bottom w:val="nil"/>
            </w:tcBorders>
          </w:tcPr>
          <w:p>
            <w:pPr>
              <w:pStyle w:val="nTable"/>
              <w:spacing w:after="40"/>
            </w:pPr>
            <w:r>
              <w:t>3 Sep 2012</w:t>
            </w:r>
          </w:p>
        </w:tc>
        <w:tc>
          <w:tcPr>
            <w:tcW w:w="2551" w:type="dxa"/>
            <w:tcBorders>
              <w:top w:val="nil"/>
              <w:bottom w:val="nil"/>
            </w:tcBorders>
          </w:tcPr>
          <w:p>
            <w:pPr>
              <w:pStyle w:val="nTable"/>
              <w:spacing w:after="40"/>
              <w:rPr>
                <w:snapToGrid w:val="0"/>
              </w:rPr>
            </w:pPr>
            <w:r>
              <w:rPr>
                <w:snapToGrid w:val="0"/>
              </w:rPr>
              <w:t>4 Sep 2012 (see s. 2(e))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Rates and Charges (Rebates and Deferments) Amendment Act 2013</w:t>
            </w:r>
            <w:r>
              <w:rPr>
                <w:snapToGrid w:val="0"/>
                <w:vertAlign w:val="superscript"/>
              </w:rPr>
              <w:t> 12</w:t>
            </w:r>
          </w:p>
        </w:tc>
        <w:tc>
          <w:tcPr>
            <w:tcW w:w="1136" w:type="dxa"/>
            <w:tcBorders>
              <w:top w:val="nil"/>
              <w:bottom w:val="nil"/>
            </w:tcBorders>
          </w:tcPr>
          <w:p>
            <w:pPr>
              <w:pStyle w:val="nTable"/>
              <w:spacing w:after="40"/>
              <w:rPr>
                <w:snapToGrid w:val="0"/>
              </w:rPr>
            </w:pPr>
            <w:r>
              <w:rPr>
                <w:snapToGrid w:val="0"/>
              </w:rPr>
              <w:t>4 of 2013</w:t>
            </w:r>
          </w:p>
        </w:tc>
        <w:tc>
          <w:tcPr>
            <w:tcW w:w="1134" w:type="dxa"/>
            <w:tcBorders>
              <w:top w:val="nil"/>
              <w:bottom w:val="nil"/>
            </w:tcBorders>
          </w:tcPr>
          <w:p>
            <w:pPr>
              <w:pStyle w:val="nTable"/>
              <w:spacing w:after="40"/>
            </w:pPr>
            <w:r>
              <w:t>29 Jun 2013</w:t>
            </w:r>
          </w:p>
        </w:tc>
        <w:tc>
          <w:tcPr>
            <w:tcW w:w="2551" w:type="dxa"/>
            <w:tcBorders>
              <w:top w:val="nil"/>
              <w:bottom w:val="nil"/>
            </w:tcBorders>
          </w:tcPr>
          <w:p>
            <w:pPr>
              <w:pStyle w:val="nTable"/>
              <w:keepLines/>
              <w:tabs>
                <w:tab w:val="left" w:pos="893"/>
              </w:tabs>
              <w:spacing w:after="40"/>
              <w:rPr>
                <w:snapToGrid w:val="0"/>
              </w:rPr>
            </w:pPr>
            <w:r>
              <w:rPr>
                <w:snapToGrid w:val="0"/>
              </w:rPr>
              <w:t>s. 1 and 2: 29 Jun 2013 (see s. 2(a));</w:t>
            </w:r>
            <w:r>
              <w:rPr>
                <w:snapToGrid w:val="0"/>
              </w:rPr>
              <w:br/>
              <w:t>Act other than s. 1, 2, 4(3) and (4) and 14: 1 Jul 2013 (see s. 2(b)(i));</w:t>
            </w:r>
            <w:r>
              <w:rPr>
                <w:snapToGrid w:val="0"/>
              </w:rPr>
              <w:br/>
              <w:t xml:space="preserve">s. 4(3): 18 Nov 2013 (see s. 2(c)(ii) and </w:t>
            </w:r>
            <w:r>
              <w:rPr>
                <w:i/>
                <w:snapToGrid w:val="0"/>
              </w:rPr>
              <w:t>Gazette</w:t>
            </w:r>
            <w:r>
              <w:rPr>
                <w:snapToGrid w:val="0"/>
              </w:rPr>
              <w:t xml:space="preserve"> 14 Nov 2013 p. 5028);</w:t>
            </w:r>
            <w:r>
              <w:rPr>
                <w:snapToGrid w:val="0"/>
              </w:rPr>
              <w:br/>
              <w:t xml:space="preserve">s.4(4): 1 Jul 2014 (see s. 2(d)(ii)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7" w:type="dxa"/>
        </w:trPr>
        <w:tc>
          <w:tcPr>
            <w:tcW w:w="7094" w:type="dxa"/>
            <w:gridSpan w:val="4"/>
            <w:tcBorders>
              <w:top w:val="nil"/>
              <w:bottom w:val="nil"/>
            </w:tcBorders>
            <w:shd w:val="clear" w:color="auto" w:fill="auto"/>
          </w:tcPr>
          <w:p>
            <w:pPr>
              <w:pStyle w:val="nTable"/>
              <w:keepNext/>
              <w:keepLines/>
              <w:spacing w:after="40"/>
              <w:rPr>
                <w:snapToGrid w:val="0"/>
              </w:rPr>
            </w:pPr>
            <w:r>
              <w:rPr>
                <w:b/>
              </w:rPr>
              <w:t xml:space="preserve">Reprint 4: The </w:t>
            </w:r>
            <w:r>
              <w:rPr>
                <w:b/>
                <w:i/>
              </w:rPr>
              <w:t>Rates and Charges (Rebates and Deferments) Act 1992</w:t>
            </w:r>
            <w:r>
              <w:rPr>
                <w:b/>
              </w:rPr>
              <w:t xml:space="preserve"> as at 4 Oct 2013 </w:t>
            </w:r>
            <w:r>
              <w:t xml:space="preserve">(includes amendments listed above except those in the </w:t>
            </w:r>
            <w:r>
              <w:rPr>
                <w:i/>
              </w:rPr>
              <w:t>Water Services Legislation Amendment and Repeal Act 2012</w:t>
            </w:r>
            <w:r>
              <w:t xml:space="preserve"> s. 226(2), (3), (5) and (6) and the </w:t>
            </w:r>
            <w:r>
              <w:rPr>
                <w:i/>
              </w:rPr>
              <w:t xml:space="preserve">Rates and Charges (Rebates and Deferments) Amendment Act 2013 </w:t>
            </w:r>
            <w:r>
              <w:t>s. 4(3) and (4))</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Revenue Laws Amendment Act 2015</w:t>
            </w:r>
            <w:r>
              <w:rPr>
                <w:snapToGrid w:val="0"/>
              </w:rPr>
              <w:t xml:space="preserve"> Pt. 3</w:t>
            </w:r>
          </w:p>
        </w:tc>
        <w:tc>
          <w:tcPr>
            <w:tcW w:w="1136" w:type="dxa"/>
            <w:tcBorders>
              <w:top w:val="nil"/>
              <w:bottom w:val="nil"/>
            </w:tcBorders>
          </w:tcPr>
          <w:p>
            <w:pPr>
              <w:pStyle w:val="nTable"/>
              <w:spacing w:after="40"/>
              <w:rPr>
                <w:snapToGrid w:val="0"/>
              </w:rPr>
            </w:pPr>
            <w:r>
              <w:rPr>
                <w:snapToGrid w:val="0"/>
              </w:rPr>
              <w:t>27 of 2015</w:t>
            </w:r>
          </w:p>
        </w:tc>
        <w:tc>
          <w:tcPr>
            <w:tcW w:w="1134" w:type="dxa"/>
            <w:tcBorders>
              <w:top w:val="nil"/>
              <w:bottom w:val="nil"/>
            </w:tcBorders>
          </w:tcPr>
          <w:p>
            <w:pPr>
              <w:pStyle w:val="nTable"/>
              <w:spacing w:after="40"/>
            </w:pPr>
            <w:r>
              <w:t xml:space="preserve">2 Oct 2015 </w:t>
            </w:r>
          </w:p>
        </w:tc>
        <w:tc>
          <w:tcPr>
            <w:tcW w:w="2551" w:type="dxa"/>
            <w:tcBorders>
              <w:top w:val="nil"/>
              <w:bottom w:val="nil"/>
            </w:tcBorders>
          </w:tcPr>
          <w:p>
            <w:pPr>
              <w:pStyle w:val="nTable"/>
              <w:keepLines/>
              <w:tabs>
                <w:tab w:val="left" w:pos="893"/>
              </w:tabs>
              <w:spacing w:after="40"/>
              <w:rPr>
                <w:snapToGrid w:val="0"/>
              </w:rPr>
            </w:pPr>
            <w:r>
              <w:rPr>
                <w:snapToGrid w:val="0"/>
              </w:rPr>
              <w:t>3 Oct 2015 (see s. 2(b))</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single" w:sz="4" w:space="0" w:color="auto"/>
              <w:right w:val="single" w:sz="8" w:space="0" w:color="auto"/>
            </w:tcBorders>
          </w:tcPr>
          <w:p>
            <w:pPr>
              <w:pStyle w:val="nTable"/>
              <w:spacing w:after="40"/>
              <w:rPr>
                <w:i/>
                <w:snapToGrid w:val="0"/>
              </w:rPr>
            </w:pPr>
            <w:r>
              <w:rPr>
                <w:i/>
                <w:snapToGrid w:val="0"/>
              </w:rPr>
              <w:t>Public Health (Consequential Provisions) Act 2016</w:t>
            </w:r>
            <w:r>
              <w:rPr>
                <w:snapToGrid w:val="0"/>
              </w:rPr>
              <w:t xml:space="preserve"> s. 101</w:t>
            </w:r>
          </w:p>
        </w:tc>
        <w:tc>
          <w:tcPr>
            <w:tcW w:w="1136" w:type="dxa"/>
            <w:tcBorders>
              <w:top w:val="nil"/>
              <w:bottom w:val="single" w:sz="4" w:space="0" w:color="auto"/>
              <w:right w:val="single" w:sz="8" w:space="0" w:color="auto"/>
            </w:tcBorders>
          </w:tcPr>
          <w:p>
            <w:pPr>
              <w:pStyle w:val="nTable"/>
              <w:spacing w:after="40"/>
              <w:rPr>
                <w:snapToGrid w:val="0"/>
              </w:rPr>
            </w:pPr>
            <w:r>
              <w:rPr>
                <w:snapToGrid w:val="0"/>
              </w:rPr>
              <w:t>19 of 2016</w:t>
            </w:r>
          </w:p>
        </w:tc>
        <w:tc>
          <w:tcPr>
            <w:tcW w:w="1134" w:type="dxa"/>
            <w:tcBorders>
              <w:top w:val="nil"/>
              <w:bottom w:val="single" w:sz="4" w:space="0" w:color="auto"/>
              <w:right w:val="single" w:sz="8" w:space="0" w:color="auto"/>
            </w:tcBorders>
          </w:tcPr>
          <w:p>
            <w:pPr>
              <w:pStyle w:val="nTable"/>
              <w:spacing w:after="40"/>
            </w:pPr>
            <w:r>
              <w:t>25 Jul 2016</w:t>
            </w:r>
          </w:p>
        </w:tc>
        <w:tc>
          <w:tcPr>
            <w:tcW w:w="2551" w:type="dxa"/>
            <w:tcBorders>
              <w:top w:val="nil"/>
              <w:bottom w:val="single" w:sz="4" w:space="0" w:color="auto"/>
            </w:tcBorders>
          </w:tcPr>
          <w:p>
            <w:pPr>
              <w:pStyle w:val="nTable"/>
              <w:keepLines/>
              <w:tabs>
                <w:tab w:val="left" w:pos="893"/>
              </w:tabs>
              <w:spacing w:after="40"/>
              <w:rPr>
                <w:snapToGrid w:val="0"/>
              </w:rPr>
            </w:pPr>
            <w:r>
              <w:rPr>
                <w:snapToGrid w:val="0"/>
              </w:rPr>
              <w:t>24 Jan 2017 (see s. 2(1)(c) and Gazette 10 Jan 2017 p. 165)</w:t>
            </w:r>
          </w:p>
        </w:tc>
      </w:tr>
    </w:tbl>
    <w:p>
      <w:pPr>
        <w:pStyle w:val="nSubsection"/>
        <w:spacing w:before="1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widowControl w:val="0"/>
        <w:spacing w:before="120" w:after="40"/>
      </w:pPr>
      <w:bookmarkStart w:id="80" w:name="_Toc473105331"/>
      <w:r>
        <w:t>Provisions that have not come into operation</w:t>
      </w:r>
      <w:bookmarkEnd w:id="8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tcBorders>
              <w:bottom w:val="single" w:sz="4" w:space="0" w:color="auto"/>
            </w:tcBorders>
            <w:shd w:val="clear" w:color="auto" w:fill="auto"/>
          </w:tcPr>
          <w:p>
            <w:pPr>
              <w:pStyle w:val="nTable"/>
              <w:spacing w:after="40"/>
              <w:rPr>
                <w:b/>
                <w:snapToGrid w:val="0"/>
              </w:rPr>
            </w:pPr>
            <w:r>
              <w:rPr>
                <w:b/>
                <w:snapToGrid w:val="0"/>
              </w:rPr>
              <w:t>Short title</w:t>
            </w:r>
          </w:p>
        </w:tc>
        <w:tc>
          <w:tcPr>
            <w:tcW w:w="1134" w:type="dxa"/>
            <w:tcBorders>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bottom w:val="single" w:sz="4" w:space="0" w:color="auto"/>
            </w:tcBorders>
            <w:shd w:val="clear" w:color="auto" w:fill="auto"/>
          </w:tcPr>
          <w:p>
            <w:pPr>
              <w:pStyle w:val="nTable"/>
              <w:keepNext/>
              <w:keepLines/>
              <w:spacing w:after="40"/>
              <w:rPr>
                <w:b/>
                <w:snapToGrid w:val="0"/>
              </w:rPr>
            </w:pPr>
            <w:r>
              <w:rPr>
                <w:b/>
                <w:snapToGrid w:val="0"/>
              </w:rPr>
              <w:t>Assent</w:t>
            </w:r>
          </w:p>
        </w:tc>
        <w:tc>
          <w:tcPr>
            <w:tcW w:w="2551" w:type="dxa"/>
            <w:tcBorders>
              <w:bottom w:val="single" w:sz="4"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68" w:type="dxa"/>
            <w:tcBorders>
              <w:top w:val="single" w:sz="4" w:space="0" w:color="auto"/>
              <w:bottom w:val="nil"/>
            </w:tcBorders>
          </w:tcPr>
          <w:p>
            <w:pPr>
              <w:pStyle w:val="nTable"/>
              <w:spacing w:after="40"/>
              <w:rPr>
                <w:snapToGrid w:val="0"/>
              </w:rPr>
            </w:pPr>
            <w:r>
              <w:rPr>
                <w:i/>
                <w:snapToGrid w:val="0"/>
              </w:rPr>
              <w:t>Water Services Legislation Amendment and Repeal Act 2012</w:t>
            </w:r>
            <w:r>
              <w:rPr>
                <w:snapToGrid w:val="0"/>
              </w:rPr>
              <w:t xml:space="preserve"> s. 226(4)</w:t>
            </w:r>
            <w:r>
              <w:rPr>
                <w:snapToGrid w:val="0"/>
                <w:vertAlign w:val="superscript"/>
              </w:rPr>
              <w:t> 13</w:t>
            </w:r>
          </w:p>
        </w:tc>
        <w:tc>
          <w:tcPr>
            <w:tcW w:w="1134" w:type="dxa"/>
            <w:tcBorders>
              <w:top w:val="single" w:sz="4" w:space="0" w:color="auto"/>
              <w:bottom w:val="nil"/>
            </w:tcBorders>
          </w:tcPr>
          <w:p>
            <w:pPr>
              <w:pStyle w:val="nTable"/>
              <w:spacing w:after="40"/>
              <w:rPr>
                <w:snapToGrid w:val="0"/>
              </w:rPr>
            </w:pPr>
            <w:r>
              <w:rPr>
                <w:snapToGrid w:val="0"/>
              </w:rPr>
              <w:t>25 of 2012</w:t>
            </w:r>
          </w:p>
        </w:tc>
        <w:tc>
          <w:tcPr>
            <w:tcW w:w="1134" w:type="dxa"/>
            <w:tcBorders>
              <w:top w:val="single" w:sz="4" w:space="0" w:color="auto"/>
              <w:bottom w:val="nil"/>
            </w:tcBorders>
          </w:tcPr>
          <w:p>
            <w:pPr>
              <w:pStyle w:val="nTable"/>
              <w:spacing w:after="40"/>
              <w:rPr>
                <w:snapToGrid w:val="0"/>
              </w:rPr>
            </w:pPr>
            <w:r>
              <w:rPr>
                <w:snapToGrid w:val="0"/>
              </w:rPr>
              <w:t>3 Sep 2012</w:t>
            </w:r>
          </w:p>
        </w:tc>
        <w:tc>
          <w:tcPr>
            <w:tcW w:w="2551" w:type="dxa"/>
            <w:tcBorders>
              <w:top w:val="single" w:sz="4" w:space="0" w:color="auto"/>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single" w:sz="4" w:space="0" w:color="auto"/>
            </w:tcBorders>
          </w:tcPr>
          <w:p>
            <w:pPr>
              <w:pStyle w:val="nTable"/>
              <w:spacing w:after="40"/>
              <w:rPr>
                <w:i/>
                <w:snapToGrid w:val="0"/>
              </w:rPr>
            </w:pPr>
            <w:r>
              <w:rPr>
                <w:i/>
              </w:rPr>
              <w:t>Public Health (Consequential Provisions) Act 2016</w:t>
            </w:r>
            <w:r>
              <w:t xml:space="preserve"> Pt. 5 Div. 19</w:t>
            </w:r>
            <w:r>
              <w:rPr>
                <w:vertAlign w:val="superscript"/>
              </w:rPr>
              <w:t> 14</w:t>
            </w:r>
          </w:p>
        </w:tc>
        <w:tc>
          <w:tcPr>
            <w:tcW w:w="1134" w:type="dxa"/>
            <w:tcBorders>
              <w:top w:val="nil"/>
              <w:bottom w:val="single" w:sz="4" w:space="0" w:color="auto"/>
            </w:tcBorders>
          </w:tcPr>
          <w:p>
            <w:pPr>
              <w:pStyle w:val="nTable"/>
              <w:spacing w:after="40"/>
              <w:rPr>
                <w:snapToGrid w:val="0"/>
              </w:rPr>
            </w:pPr>
            <w:r>
              <w:t>19 of 2016</w:t>
            </w:r>
          </w:p>
        </w:tc>
        <w:tc>
          <w:tcPr>
            <w:tcW w:w="1134" w:type="dxa"/>
            <w:tcBorders>
              <w:top w:val="nil"/>
              <w:bottom w:val="single" w:sz="4" w:space="0" w:color="auto"/>
            </w:tcBorders>
          </w:tcPr>
          <w:p>
            <w:pPr>
              <w:pStyle w:val="nTable"/>
              <w:spacing w:after="40"/>
              <w:rPr>
                <w:snapToGrid w:val="0"/>
              </w:rPr>
            </w:pPr>
            <w:r>
              <w:t>25 Jul 2016</w:t>
            </w:r>
          </w:p>
        </w:tc>
        <w:tc>
          <w:tcPr>
            <w:tcW w:w="2551"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Pr>
        <w:pStyle w:val="nSubsection"/>
        <w:spacing w:before="160"/>
      </w:pPr>
      <w:r>
        <w:rPr>
          <w:vertAlign w:val="superscript"/>
        </w:rPr>
        <w:t>2</w:t>
      </w:r>
      <w:r>
        <w:tab/>
        <w:t xml:space="preserve">The provision in this Act repealing that Act has been omitted under the </w:t>
      </w:r>
      <w:r>
        <w:rPr>
          <w:i/>
        </w:rPr>
        <w:t>Reprints Act 1984</w:t>
      </w:r>
      <w:r>
        <w:t xml:space="preserve"> s. 7(4)(f).</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The provision in this Act amending that Act has been omitted under the </w:t>
      </w:r>
      <w:r>
        <w:rPr>
          <w:i/>
        </w:rPr>
        <w:t>Reprints Act 1984</w:t>
      </w:r>
      <w:r>
        <w:t xml:space="preserve"> s. 7(4)(e).</w:t>
      </w:r>
    </w:p>
    <w:p>
      <w:pPr>
        <w:pStyle w:val="nSubsection"/>
      </w:pPr>
      <w:r>
        <w:rPr>
          <w:vertAlign w:val="superscript"/>
        </w:rPr>
        <w:t>5</w:t>
      </w:r>
      <w:r>
        <w:tab/>
        <w:t xml:space="preserve">The </w:t>
      </w:r>
      <w:r>
        <w:rPr>
          <w:i/>
        </w:rPr>
        <w:t>Pensioners (Rates Rebates and Deferments) Act 1966</w:t>
      </w:r>
      <w:r>
        <w:t xml:space="preserve"> was repealed by s. 51(1) of this Act. </w:t>
      </w:r>
    </w:p>
    <w:p>
      <w:pPr>
        <w:pStyle w:val="nSubsection"/>
      </w:pPr>
      <w:r>
        <w:rPr>
          <w:vertAlign w:val="superscript"/>
        </w:rPr>
        <w:t>6</w:t>
      </w:r>
      <w:r>
        <w:tab/>
        <w:t xml:space="preserve">The </w:t>
      </w:r>
      <w:r>
        <w:rPr>
          <w:i/>
        </w:rPr>
        <w:t>State Housing Act 1946</w:t>
      </w:r>
      <w:r>
        <w:t xml:space="preserve"> was repealed by the </w:t>
      </w:r>
      <w:r>
        <w:rPr>
          <w:i/>
        </w:rPr>
        <w:t>Housing Act 1980</w:t>
      </w:r>
      <w:r>
        <w:t>.</w:t>
      </w:r>
    </w:p>
    <w:p>
      <w:pPr>
        <w:pStyle w:val="nSubsection"/>
      </w:pPr>
      <w:r>
        <w:rPr>
          <w:vertAlign w:val="superscript"/>
        </w:rPr>
        <w:t>7</w:t>
      </w:r>
      <w:r>
        <w:tab/>
        <w:t xml:space="preserve">The </w:t>
      </w:r>
      <w:r>
        <w:rPr>
          <w:i/>
        </w:rPr>
        <w:t>Revenue Laws Amendment (Assessment) Act 1998</w:t>
      </w:r>
      <w:r>
        <w:t xml:space="preserve"> s. 25 reads as follows:</w:t>
      </w:r>
    </w:p>
    <w:p>
      <w:pPr>
        <w:pStyle w:val="BlankOpen"/>
      </w:pP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BlankClose"/>
      </w:pPr>
    </w:p>
    <w:p>
      <w:pPr>
        <w:pStyle w:val="nSubsection"/>
        <w:keepNext/>
      </w:pPr>
      <w:r>
        <w:rPr>
          <w:vertAlign w:val="superscript"/>
        </w:rPr>
        <w:t>8</w:t>
      </w:r>
      <w:r>
        <w:tab/>
        <w:t xml:space="preserve">The </w:t>
      </w:r>
      <w:r>
        <w:rPr>
          <w:i/>
        </w:rPr>
        <w:t xml:space="preserve">Revenue Laws Amendment (Assessment) Act 2001 </w:t>
      </w:r>
      <w:r>
        <w:t>s. 13(2) reads as follows:</w:t>
      </w:r>
    </w:p>
    <w:p>
      <w:pPr>
        <w:pStyle w:val="BlankOpen"/>
      </w:pP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keepNext/>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BlankClose"/>
      </w:pPr>
    </w:p>
    <w:p>
      <w:pPr>
        <w:pStyle w:val="nSubsection"/>
      </w:pPr>
      <w:r>
        <w:rPr>
          <w:vertAlign w:val="superscript"/>
        </w:rPr>
        <w:t>9</w:t>
      </w:r>
      <w:r>
        <w:tab/>
        <w:t xml:space="preserve">The </w:t>
      </w:r>
      <w:r>
        <w:rPr>
          <w:i/>
        </w:rPr>
        <w:t>Revenue Laws Amendment (Assessment) Act 2001</w:t>
      </w:r>
      <w:r>
        <w:t xml:space="preserve"> s. 16 reads as follows:</w:t>
      </w:r>
    </w:p>
    <w:p>
      <w:pPr>
        <w:pStyle w:val="BlankOpen"/>
      </w:pPr>
    </w:p>
    <w:p>
      <w:pPr>
        <w:pStyle w:val="nzHeading5"/>
      </w:pPr>
      <w:r>
        <w:rPr>
          <w:rStyle w:val="CharSectno"/>
        </w:rPr>
        <w:t>16</w:t>
      </w:r>
      <w:r>
        <w:t>.</w:t>
      </w:r>
      <w:r>
        <w:tab/>
        <w:t>Transitional</w:t>
      </w:r>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13) applies to that person as if the person were registered on the day the person became eligible to be registered.</w:t>
      </w:r>
    </w:p>
    <w:p>
      <w:pPr>
        <w:pStyle w:val="BlankClose"/>
      </w:pPr>
    </w:p>
    <w:p>
      <w:pPr>
        <w:pStyle w:val="nSubsection"/>
      </w:pPr>
      <w:r>
        <w:rPr>
          <w:vertAlign w:val="superscript"/>
        </w:rPr>
        <w:t>10</w:t>
      </w:r>
      <w:r>
        <w:tab/>
        <w:t xml:space="preserve">The </w:t>
      </w:r>
      <w:r>
        <w:rPr>
          <w:i/>
        </w:rPr>
        <w:t>Fire and Emergency Services Legislation (Emergency Services Levy) Amendment Act 2002</w:t>
      </w:r>
      <w:r>
        <w:t xml:space="preserve"> s. 33(2)</w:t>
      </w:r>
      <w:r>
        <w:noBreakHyphen/>
        <w:t>(4) read as follows:</w:t>
      </w:r>
    </w:p>
    <w:p>
      <w:pPr>
        <w:pStyle w:val="BlankOpen"/>
      </w:pP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nSubsection"/>
        <w:keepNext/>
        <w:keepLines/>
      </w:pPr>
      <w:r>
        <w:rPr>
          <w:vertAlign w:val="superscript"/>
        </w:rPr>
        <w:t>11</w:t>
      </w:r>
      <w:r>
        <w:tab/>
        <w:t xml:space="preserve">The </w:t>
      </w:r>
      <w:r>
        <w:rPr>
          <w:i/>
        </w:rPr>
        <w:t>Rates and Charges (Rebates and Deferments) Amendment Act 2005</w:t>
      </w:r>
      <w:r>
        <w:t xml:space="preserve"> s. 16 reads as follows:</w:t>
      </w:r>
    </w:p>
    <w:p>
      <w:pPr>
        <w:pStyle w:val="BlankOpen"/>
      </w:pPr>
    </w:p>
    <w:p>
      <w:pPr>
        <w:pStyle w:val="nzHeading5"/>
      </w:pPr>
      <w:r>
        <w:rPr>
          <w:rStyle w:val="CharSectno"/>
        </w:rPr>
        <w:t>16</w:t>
      </w:r>
      <w:r>
        <w:t>.</w:t>
      </w:r>
      <w:r>
        <w:tab/>
        <w:t>Transitional</w:t>
      </w:r>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BlankClose"/>
      </w:pPr>
    </w:p>
    <w:p>
      <w:pPr>
        <w:pStyle w:val="nSubsection"/>
        <w:keepLines/>
        <w:rPr>
          <w:snapToGrid w:val="0"/>
        </w:rPr>
      </w:pPr>
      <w:r>
        <w:rPr>
          <w:snapToGrid w:val="0"/>
          <w:vertAlign w:val="superscript"/>
        </w:rPr>
        <w:t>12</w:t>
      </w:r>
      <w:r>
        <w:rPr>
          <w:snapToGrid w:val="0"/>
        </w:rPr>
        <w:tab/>
        <w:t xml:space="preserve">The </w:t>
      </w:r>
      <w:r>
        <w:rPr>
          <w:i/>
          <w:snapToGrid w:val="0"/>
        </w:rPr>
        <w:t>Rates and Charges (Rebates and Deferments) Amendment Act 2013</w:t>
      </w:r>
      <w:r>
        <w:rPr>
          <w:snapToGrid w:val="0"/>
        </w:rPr>
        <w:t xml:space="preserve"> s. 14(2) does not have effect because this Act received the Royal Assent before 1 Jul 2013 (see s. 14(1)).</w:t>
      </w:r>
    </w:p>
    <w:p>
      <w:pPr>
        <w:pStyle w:val="nSubsection"/>
        <w:keepNext/>
        <w:spacing w:before="16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Water Services Legislation Amendment and Repeal Act 2012</w:t>
      </w:r>
      <w:r>
        <w:rPr>
          <w:snapToGrid w:val="0"/>
        </w:rPr>
        <w:t xml:space="preserve"> s. 226(4) had not come into operation.  It reads as follows:</w:t>
      </w:r>
    </w:p>
    <w:p>
      <w:pPr>
        <w:pStyle w:val="BlankOpen"/>
        <w:rPr>
          <w:snapToGrid w:val="0"/>
        </w:rPr>
      </w:pPr>
    </w:p>
    <w:p>
      <w:pPr>
        <w:pStyle w:val="nzHeading5"/>
      </w:pPr>
      <w:r>
        <w:rPr>
          <w:rStyle w:val="CharSectno"/>
        </w:rPr>
        <w:t>226</w:t>
      </w:r>
      <w:r>
        <w:t>.</w:t>
      </w:r>
      <w:r>
        <w:tab/>
      </w:r>
      <w:r>
        <w:rPr>
          <w:i/>
          <w:iCs/>
        </w:rPr>
        <w:t>Rates and Charges (Rebates and Deferments) Act 1992</w:t>
      </w:r>
      <w:r>
        <w:t> amended</w:t>
      </w:r>
    </w:p>
    <w:p>
      <w:pPr>
        <w:pStyle w:val="nzSubsection"/>
      </w:pPr>
      <w:r>
        <w:tab/>
        <w:t>(4)</w:t>
      </w:r>
      <w:r>
        <w:tab/>
        <w:t>In section 3(1):</w:t>
      </w:r>
    </w:p>
    <w:p>
      <w:pPr>
        <w:pStyle w:val="nzIndenta"/>
      </w:pPr>
      <w:r>
        <w:tab/>
        <w:t>(a)</w:t>
      </w:r>
      <w:r>
        <w:tab/>
        <w:t xml:space="preserve">in the definition of </w:t>
      </w:r>
      <w:r>
        <w:rPr>
          <w:b/>
          <w:bCs/>
          <w:i/>
          <w:iCs/>
        </w:rPr>
        <w:t>the pension means test</w:t>
      </w:r>
      <w:r>
        <w:t xml:space="preserve"> after paragraph (a)(i) insert:</w:t>
      </w:r>
    </w:p>
    <w:p>
      <w:pPr>
        <w:pStyle w:val="BlankOpen"/>
      </w:pPr>
    </w:p>
    <w:p>
      <w:pPr>
        <w:pStyle w:val="nzIndenta"/>
      </w:pPr>
      <w:r>
        <w:tab/>
      </w:r>
      <w:r>
        <w:tab/>
        <w:t>and</w:t>
      </w:r>
    </w:p>
    <w:p>
      <w:pPr>
        <w:pStyle w:val="BlankClose"/>
      </w:pPr>
    </w:p>
    <w:p>
      <w:pPr>
        <w:pStyle w:val="nzIndenta"/>
        <w:keepNext/>
      </w:pPr>
      <w:r>
        <w:tab/>
        <w:t>(b)</w:t>
      </w:r>
      <w:r>
        <w:tab/>
        <w:t xml:space="preserve">in the definition of </w:t>
      </w:r>
      <w:r>
        <w:rPr>
          <w:b/>
          <w:bCs/>
          <w:i/>
          <w:iCs/>
        </w:rPr>
        <w:t>dependant</w:t>
      </w:r>
      <w:r>
        <w:t xml:space="preserve"> after each of paragraphs (a) and (ab), the definition of </w:t>
      </w:r>
      <w:r>
        <w:rPr>
          <w:b/>
          <w:bCs/>
          <w:i/>
          <w:iCs/>
        </w:rPr>
        <w:t>eligibility</w:t>
      </w:r>
      <w:r>
        <w:t xml:space="preserve"> after each of paragraphs (a) and (a)(i) and (ii) and the definition of </w:t>
      </w:r>
      <w:r>
        <w:rPr>
          <w:b/>
          <w:bCs/>
          <w:i/>
          <w:iCs/>
        </w:rPr>
        <w:t>prescribed charge</w:t>
      </w:r>
      <w:r>
        <w:t xml:space="preserve"> after each of paragraphs (a) and (b) insert:</w:t>
      </w:r>
    </w:p>
    <w:p>
      <w:pPr>
        <w:pStyle w:val="BlankOpen"/>
        <w:rPr>
          <w:sz w:val="16"/>
          <w:szCs w:val="16"/>
        </w:rPr>
      </w:pPr>
    </w:p>
    <w:p>
      <w:pPr>
        <w:pStyle w:val="nzIndenta"/>
      </w:pPr>
      <w:r>
        <w:tab/>
      </w:r>
      <w:r>
        <w:tab/>
        <w:t>or</w:t>
      </w:r>
    </w:p>
    <w:p>
      <w:pPr>
        <w:pStyle w:val="BlankClose"/>
        <w:rPr>
          <w:sz w:val="16"/>
          <w:szCs w:val="16"/>
        </w:rPr>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Pt. 5 Div. 19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19</w:t>
      </w:r>
      <w:r>
        <w:t> — </w:t>
      </w:r>
      <w:r>
        <w:rPr>
          <w:rStyle w:val="CharDivText"/>
          <w:i/>
        </w:rPr>
        <w:t>Rates and Charges (Rebates and Deferments) Act 1992</w:t>
      </w:r>
      <w:r>
        <w:rPr>
          <w:rStyle w:val="CharDivText"/>
        </w:rPr>
        <w:t xml:space="preserve"> amended</w:t>
      </w:r>
    </w:p>
    <w:p>
      <w:pPr>
        <w:pStyle w:val="nzHeading5"/>
      </w:pPr>
      <w:r>
        <w:rPr>
          <w:rStyle w:val="CharSectno"/>
        </w:rPr>
        <w:t>321</w:t>
      </w:r>
      <w:r>
        <w:t>.</w:t>
      </w:r>
      <w:r>
        <w:tab/>
        <w:t xml:space="preserve">Act </w:t>
      </w:r>
      <w:r>
        <w:rPr>
          <w:iCs/>
        </w:rPr>
        <w:t>amended</w:t>
      </w:r>
    </w:p>
    <w:p>
      <w:pPr>
        <w:pStyle w:val="nzSubsection"/>
      </w:pPr>
      <w:r>
        <w:tab/>
      </w:r>
      <w:r>
        <w:tab/>
        <w:t xml:space="preserve">This Division amends the </w:t>
      </w:r>
      <w:r>
        <w:rPr>
          <w:i/>
        </w:rPr>
        <w:t>Rates and Charges (Rebates and Deferments) Act 1992</w:t>
      </w:r>
      <w:r>
        <w:t>.</w:t>
      </w:r>
    </w:p>
    <w:p>
      <w:pPr>
        <w:pStyle w:val="nzHeading5"/>
      </w:pPr>
      <w:r>
        <w:rPr>
          <w:rStyle w:val="CharSectno"/>
        </w:rPr>
        <w:t>322</w:t>
      </w:r>
      <w:r>
        <w:t>.</w:t>
      </w:r>
      <w:r>
        <w:tab/>
        <w:t>Section 3 amended</w:t>
      </w:r>
    </w:p>
    <w:p>
      <w:pPr>
        <w:pStyle w:val="nzSubsection"/>
        <w:keepNext/>
      </w:pPr>
      <w:r>
        <w:tab/>
        <w:t>(1)</w:t>
      </w:r>
      <w:r>
        <w:tab/>
        <w:t xml:space="preserve">In section 3(1) in the definition of </w:t>
      </w:r>
      <w:r>
        <w:rPr>
          <w:b/>
          <w:bCs/>
          <w:i/>
          <w:iCs/>
        </w:rPr>
        <w:t>prescribed charge</w:t>
      </w:r>
      <w:r>
        <w:t xml:space="preserve"> after paragraph (b)(iii) insert:</w:t>
      </w:r>
    </w:p>
    <w:p>
      <w:pPr>
        <w:pStyle w:val="BlankOpen"/>
      </w:pPr>
    </w:p>
    <w:p>
      <w:pPr>
        <w:pStyle w:val="nzDefstart"/>
      </w:pPr>
      <w:r>
        <w:tab/>
        <w:t>(iva)</w:t>
      </w:r>
      <w:r>
        <w:tab/>
        <w:t xml:space="preserve">the </w:t>
      </w:r>
      <w:r>
        <w:rPr>
          <w:i/>
        </w:rPr>
        <w:t>Public Health Act 2016</w:t>
      </w:r>
      <w:r>
        <w:t>; or</w:t>
      </w:r>
    </w:p>
    <w:p>
      <w:pPr>
        <w:pStyle w:val="BlankClose"/>
      </w:pPr>
    </w:p>
    <w:p>
      <w:pPr>
        <w:pStyle w:val="nzSubsection"/>
      </w:pPr>
      <w:r>
        <w:tab/>
        <w:t>(2)</w:t>
      </w:r>
      <w:r>
        <w:tab/>
        <w:t xml:space="preserve">In section 3(1) in the definition of </w:t>
      </w:r>
      <w:r>
        <w:rPr>
          <w:b/>
          <w:bCs/>
          <w:i/>
          <w:iCs/>
        </w:rPr>
        <w:t>prescribed charge</w:t>
      </w:r>
      <w:r>
        <w:t xml:space="preserve"> delete paragraph (b)(iii).</w:t>
      </w:r>
    </w:p>
    <w:p>
      <w:pPr>
        <w:pStyle w:val="BlankClose"/>
      </w:pPr>
    </w:p>
    <w:p>
      <w:pPr>
        <w:pStyle w:val="BlankClose"/>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82" w:name="_Toc473105332"/>
      <w:r>
        <w:rPr>
          <w:sz w:val="28"/>
        </w:rPr>
        <w:t>Defined terms</w:t>
      </w:r>
      <w:bookmarkEnd w:id="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29A(1)</w:t>
      </w:r>
    </w:p>
    <w:p>
      <w:pPr>
        <w:pStyle w:val="DefinedTerms"/>
      </w:pPr>
      <w:r>
        <w:t>administrative authority</w:t>
      </w:r>
      <w:r>
        <w:tab/>
        <w:t>3(1)</w:t>
      </w:r>
    </w:p>
    <w:p>
      <w:pPr>
        <w:pStyle w:val="DefinedTerms"/>
      </w:pPr>
      <w:r>
        <w:t>applicant</w:t>
      </w:r>
      <w:r>
        <w:tab/>
        <w:t>3(1)</w:t>
      </w:r>
    </w:p>
    <w:p>
      <w:pPr>
        <w:pStyle w:val="DefinedTerms"/>
      </w:pPr>
      <w:r>
        <w:t>caravan</w:t>
      </w:r>
      <w:r>
        <w:tab/>
        <w:t>29B(1)</w:t>
      </w:r>
    </w:p>
    <w:p>
      <w:pPr>
        <w:pStyle w:val="DefinedTerms"/>
      </w:pPr>
      <w:r>
        <w:t>caravan park</w:t>
      </w:r>
      <w:r>
        <w:tab/>
        <w:t>29B(1)</w:t>
      </w:r>
    </w:p>
    <w:p>
      <w:pPr>
        <w:pStyle w:val="DefinedTerms"/>
      </w:pPr>
      <w:r>
        <w:t>charged period</w:t>
      </w:r>
      <w:r>
        <w:tab/>
        <w:t>3(1)</w:t>
      </w:r>
    </w:p>
    <w:p>
      <w:pPr>
        <w:pStyle w:val="DefinedTerms"/>
      </w:pPr>
      <w:r>
        <w:t>child</w:t>
      </w:r>
      <w:r>
        <w:tab/>
        <w:t>3(1)</w:t>
      </w:r>
    </w:p>
    <w:p>
      <w:pPr>
        <w:pStyle w:val="DefinedTerms"/>
      </w:pPr>
      <w:r>
        <w:t>Commonwealth seniors health card</w:t>
      </w:r>
      <w:r>
        <w:tab/>
        <w:t>3(1)</w:t>
      </w:r>
    </w:p>
    <w:p>
      <w:pPr>
        <w:pStyle w:val="DefinedTerms"/>
      </w:pPr>
      <w:r>
        <w:t>de facto partner</w:t>
      </w:r>
      <w:r>
        <w:tab/>
        <w:t>3(1)</w:t>
      </w:r>
    </w:p>
    <w:p>
      <w:pPr>
        <w:pStyle w:val="DefinedTerms"/>
      </w:pPr>
      <w:r>
        <w:t>deceased partner</w:t>
      </w:r>
      <w:r>
        <w:tab/>
        <w:t>32A(1)</w:t>
      </w:r>
    </w:p>
    <w:p>
      <w:pPr>
        <w:pStyle w:val="DefinedTerms"/>
      </w:pPr>
      <w:r>
        <w:t>deferment</w:t>
      </w:r>
      <w:r>
        <w:tab/>
        <w:t>3(1)</w:t>
      </w:r>
    </w:p>
    <w:p>
      <w:pPr>
        <w:pStyle w:val="DefinedTerms"/>
      </w:pPr>
      <w:r>
        <w:t>dependant</w:t>
      </w:r>
      <w:r>
        <w:tab/>
        <w:t>3(1)</w:t>
      </w:r>
    </w:p>
    <w:p>
      <w:pPr>
        <w:pStyle w:val="DefinedTerms"/>
      </w:pPr>
      <w:r>
        <w:t>disabled person</w:t>
      </w:r>
      <w:r>
        <w:tab/>
        <w:t>23(7)</w:t>
      </w:r>
    </w:p>
    <w:p>
      <w:pPr>
        <w:pStyle w:val="DefinedTerms"/>
      </w:pPr>
      <w:r>
        <w:t>document</w:t>
      </w:r>
      <w:r>
        <w:tab/>
        <w:t>11(4)</w:t>
      </w:r>
    </w:p>
    <w:p>
      <w:pPr>
        <w:pStyle w:val="DefinedTerms"/>
      </w:pPr>
      <w:r>
        <w:t>eligibility</w:t>
      </w:r>
      <w:r>
        <w:tab/>
        <w:t>3(1)</w:t>
      </w:r>
    </w:p>
    <w:p>
      <w:pPr>
        <w:pStyle w:val="DefinedTerms"/>
      </w:pPr>
      <w:r>
        <w:t>eligible pensioner</w:t>
      </w:r>
      <w:r>
        <w:tab/>
        <w:t>3(1)</w:t>
      </w:r>
    </w:p>
    <w:p>
      <w:pPr>
        <w:pStyle w:val="DefinedTerms"/>
      </w:pPr>
      <w:r>
        <w:t>eligible person</w:t>
      </w:r>
      <w:r>
        <w:tab/>
        <w:t>3(1)</w:t>
      </w:r>
    </w:p>
    <w:p>
      <w:pPr>
        <w:pStyle w:val="DefinedTerms"/>
      </w:pPr>
      <w:r>
        <w:t>eligible senior</w:t>
      </w:r>
      <w:r>
        <w:tab/>
        <w:t>3(1)</w:t>
      </w:r>
    </w:p>
    <w:p>
      <w:pPr>
        <w:pStyle w:val="DefinedTerms"/>
      </w:pPr>
      <w:r>
        <w:t>emergency services levy</w:t>
      </w:r>
      <w:r>
        <w:tab/>
        <w:t>3(1)</w:t>
      </w:r>
    </w:p>
    <w:p>
      <w:pPr>
        <w:pStyle w:val="DefinedTerms"/>
      </w:pPr>
      <w:r>
        <w:t>entitlement</w:t>
      </w:r>
      <w:r>
        <w:tab/>
        <w:t>3(1)</w:t>
      </w:r>
    </w:p>
    <w:p>
      <w:pPr>
        <w:pStyle w:val="DefinedTerms"/>
      </w:pPr>
      <w:r>
        <w:t>final payment day</w:t>
      </w:r>
      <w:r>
        <w:tab/>
        <w:t>3(1)</w:t>
      </w:r>
    </w:p>
    <w:p>
      <w:pPr>
        <w:pStyle w:val="DefinedTerms"/>
      </w:pPr>
      <w:r>
        <w:t>final period</w:t>
      </w:r>
      <w:r>
        <w:tab/>
        <w:t>32A(3)</w:t>
      </w:r>
    </w:p>
    <w:p>
      <w:pPr>
        <w:pStyle w:val="DefinedTerms"/>
      </w:pPr>
      <w:r>
        <w:t>first payment</w:t>
      </w:r>
      <w:r>
        <w:tab/>
        <w:t>32A(4A)</w:t>
      </w:r>
    </w:p>
    <w:p>
      <w:pPr>
        <w:pStyle w:val="DefinedTerms"/>
      </w:pPr>
      <w:r>
        <w:t>information</w:t>
      </w:r>
      <w:r>
        <w:tab/>
        <w:t>11(4)</w:t>
      </w:r>
    </w:p>
    <w:p>
      <w:pPr>
        <w:pStyle w:val="DefinedTerms"/>
      </w:pPr>
      <w:r>
        <w:t>land</w:t>
      </w:r>
      <w:r>
        <w:tab/>
        <w:t>3(1)</w:t>
      </w:r>
    </w:p>
    <w:p>
      <w:pPr>
        <w:pStyle w:val="DefinedTerms"/>
      </w:pPr>
      <w:r>
        <w:t>lessor</w:t>
      </w:r>
      <w:r>
        <w:tab/>
        <w:t>29B(1)</w:t>
      </w:r>
    </w:p>
    <w:p>
      <w:pPr>
        <w:pStyle w:val="DefinedTerms"/>
      </w:pPr>
      <w:r>
        <w:t>making</w:t>
      </w:r>
      <w:r>
        <w:tab/>
        <w:t>3(1)</w:t>
      </w:r>
    </w:p>
    <w:p>
      <w:pPr>
        <w:pStyle w:val="DefinedTerms"/>
      </w:pPr>
      <w:r>
        <w:t>park home</w:t>
      </w:r>
      <w:r>
        <w:tab/>
        <w:t>29B(1)</w:t>
      </w:r>
    </w:p>
    <w:p>
      <w:pPr>
        <w:pStyle w:val="DefinedTerms"/>
      </w:pPr>
      <w:r>
        <w:t>park operator</w:t>
      </w:r>
      <w:r>
        <w:tab/>
        <w:t>29C(1)</w:t>
      </w:r>
    </w:p>
    <w:p>
      <w:pPr>
        <w:pStyle w:val="DefinedTerms"/>
      </w:pPr>
      <w:r>
        <w:t>parliamentary purposes</w:t>
      </w:r>
      <w:r>
        <w:tab/>
        <w:t>11(4)</w:t>
      </w:r>
    </w:p>
    <w:p>
      <w:pPr>
        <w:pStyle w:val="DefinedTerms"/>
      </w:pPr>
      <w:r>
        <w:t>pension means test</w:t>
      </w:r>
      <w:r>
        <w:tab/>
        <w:t>3(1)</w:t>
      </w:r>
    </w:p>
    <w:p>
      <w:pPr>
        <w:pStyle w:val="DefinedTerms"/>
      </w:pPr>
      <w:r>
        <w:t>pensioner concession card</w:t>
      </w:r>
      <w:r>
        <w:tab/>
        <w:t>3(1)</w:t>
      </w:r>
    </w:p>
    <w:p>
      <w:pPr>
        <w:pStyle w:val="DefinedTerms"/>
      </w:pPr>
      <w:r>
        <w:t>period 1</w:t>
      </w:r>
      <w:r>
        <w:tab/>
        <w:t>32A(2)</w:t>
      </w:r>
    </w:p>
    <w:p>
      <w:pPr>
        <w:pStyle w:val="DefinedTerms"/>
      </w:pPr>
      <w:r>
        <w:t>period 2</w:t>
      </w:r>
      <w:r>
        <w:tab/>
        <w:t>32A(2)</w:t>
      </w:r>
    </w:p>
    <w:p>
      <w:pPr>
        <w:pStyle w:val="DefinedTerms"/>
      </w:pPr>
      <w:r>
        <w:t>prescribed charge</w:t>
      </w:r>
      <w:r>
        <w:tab/>
        <w:t>3(1)</w:t>
      </w:r>
    </w:p>
    <w:p>
      <w:pPr>
        <w:pStyle w:val="DefinedTerms"/>
      </w:pPr>
      <w:r>
        <w:t>prescribed licensee</w:t>
      </w:r>
      <w:r>
        <w:tab/>
        <w:t>16(5)</w:t>
      </w:r>
    </w:p>
    <w:p>
      <w:pPr>
        <w:pStyle w:val="DefinedTerms"/>
      </w:pPr>
      <w:r>
        <w:t>prescribed means test</w:t>
      </w:r>
      <w:r>
        <w:tab/>
        <w:t>3(1)</w:t>
      </w:r>
    </w:p>
    <w:p>
      <w:pPr>
        <w:pStyle w:val="DefinedTerms"/>
      </w:pPr>
      <w:r>
        <w:t>procedural manual</w:t>
      </w:r>
      <w:r>
        <w:tab/>
        <w:t>3(1)</w:t>
      </w:r>
    </w:p>
    <w:p>
      <w:pPr>
        <w:pStyle w:val="DefinedTerms"/>
      </w:pPr>
      <w:r>
        <w:t>rating year</w:t>
      </w:r>
      <w:r>
        <w:tab/>
        <w:t>3(1)</w:t>
      </w:r>
    </w:p>
    <w:p>
      <w:pPr>
        <w:pStyle w:val="DefinedTerms"/>
      </w:pPr>
      <w:r>
        <w:t>rebate</w:t>
      </w:r>
      <w:r>
        <w:tab/>
        <w:t>3(1)</w:t>
      </w:r>
    </w:p>
    <w:p>
      <w:pPr>
        <w:pStyle w:val="DefinedTerms"/>
      </w:pPr>
      <w:r>
        <w:t>rebated amount</w:t>
      </w:r>
      <w:r>
        <w:tab/>
        <w:t>3(1)</w:t>
      </w:r>
    </w:p>
    <w:p>
      <w:pPr>
        <w:pStyle w:val="DefinedTerms"/>
      </w:pPr>
      <w:r>
        <w:t>registered</w:t>
      </w:r>
      <w:r>
        <w:tab/>
        <w:t>3(1)</w:t>
      </w:r>
    </w:p>
    <w:p>
      <w:pPr>
        <w:pStyle w:val="DefinedTerms"/>
      </w:pPr>
      <w:r>
        <w:t>registered person</w:t>
      </w:r>
      <w:r>
        <w:tab/>
        <w:t>3(1)</w:t>
      </w:r>
    </w:p>
    <w:p>
      <w:pPr>
        <w:pStyle w:val="DefinedTerms"/>
      </w:pPr>
      <w:r>
        <w:t>relevant interest</w:t>
      </w:r>
      <w:r>
        <w:tab/>
        <w:t>3(1)</w:t>
      </w:r>
    </w:p>
    <w:p>
      <w:pPr>
        <w:pStyle w:val="DefinedTerms"/>
      </w:pPr>
      <w:r>
        <w:t>relevant period</w:t>
      </w:r>
      <w:r>
        <w:tab/>
        <w:t>42(2A)</w:t>
      </w:r>
    </w:p>
    <w:p>
      <w:pPr>
        <w:pStyle w:val="DefinedTerms"/>
      </w:pPr>
      <w:r>
        <w:t>relocatable home</w:t>
      </w:r>
      <w:r>
        <w:tab/>
        <w:t>29C(1)</w:t>
      </w:r>
    </w:p>
    <w:p>
      <w:pPr>
        <w:pStyle w:val="DefinedTerms"/>
      </w:pPr>
      <w:r>
        <w:t>residence contract</w:t>
      </w:r>
      <w:r>
        <w:tab/>
        <w:t>29A(1)</w:t>
      </w:r>
    </w:p>
    <w:p>
      <w:pPr>
        <w:pStyle w:val="DefinedTerms"/>
      </w:pPr>
      <w:r>
        <w:t>resident</w:t>
      </w:r>
      <w:r>
        <w:tab/>
        <w:t>29A(1)</w:t>
      </w:r>
    </w:p>
    <w:p>
      <w:pPr>
        <w:pStyle w:val="DefinedTerms"/>
      </w:pPr>
      <w:r>
        <w:t>residential park</w:t>
      </w:r>
      <w:r>
        <w:tab/>
        <w:t>29C(1)</w:t>
      </w:r>
    </w:p>
    <w:p>
      <w:pPr>
        <w:pStyle w:val="DefinedTerms"/>
      </w:pPr>
      <w:r>
        <w:t>residential tenancy agreement</w:t>
      </w:r>
      <w:r>
        <w:tab/>
        <w:t>29B(1)</w:t>
      </w:r>
    </w:p>
    <w:p>
      <w:pPr>
        <w:pStyle w:val="DefinedTerms"/>
      </w:pPr>
      <w:r>
        <w:t>retirement village</w:t>
      </w:r>
      <w:r>
        <w:tab/>
        <w:t>29A(1)</w:t>
      </w:r>
    </w:p>
    <w:p>
      <w:pPr>
        <w:pStyle w:val="DefinedTerms"/>
      </w:pPr>
      <w:r>
        <w:t>senior’s card department</w:t>
      </w:r>
      <w:r>
        <w:tab/>
        <w:t>3(1)</w:t>
      </w:r>
    </w:p>
    <w:p>
      <w:pPr>
        <w:pStyle w:val="DefinedTerms"/>
      </w:pPr>
      <w:r>
        <w:t>seniors’ card</w:t>
      </w:r>
      <w:r>
        <w:tab/>
        <w:t>3(1)</w:t>
      </w:r>
    </w:p>
    <w:p>
      <w:pPr>
        <w:pStyle w:val="DefinedTerms"/>
      </w:pPr>
      <w:r>
        <w:t>site</w:t>
      </w:r>
      <w:r>
        <w:tab/>
        <w:t>29B(1), 29C(1)</w:t>
      </w:r>
    </w:p>
    <w:p>
      <w:pPr>
        <w:pStyle w:val="DefinedTerms"/>
      </w:pPr>
      <w:r>
        <w:t>site</w:t>
      </w:r>
      <w:r>
        <w:noBreakHyphen/>
        <w:t>only agreement</w:t>
      </w:r>
      <w:r>
        <w:tab/>
        <w:t>29C(1)</w:t>
      </w:r>
    </w:p>
    <w:p>
      <w:pPr>
        <w:pStyle w:val="DefinedTerms"/>
      </w:pPr>
      <w:r>
        <w:t>spouse</w:t>
      </w:r>
      <w:r>
        <w:tab/>
        <w:t>3(1)</w:t>
      </w:r>
    </w:p>
    <w:p>
      <w:pPr>
        <w:pStyle w:val="DefinedTerms"/>
      </w:pPr>
      <w:r>
        <w:t>State concession card</w:t>
      </w:r>
      <w:r>
        <w:tab/>
        <w:t>3(1)</w:t>
      </w:r>
    </w:p>
    <w:p>
      <w:pPr>
        <w:pStyle w:val="DefinedTerms"/>
      </w:pPr>
      <w:r>
        <w:t>surviving partner</w:t>
      </w:r>
      <w:r>
        <w:tab/>
        <w:t>32A(1)</w:t>
      </w:r>
    </w:p>
    <w:p>
      <w:pPr>
        <w:pStyle w:val="DefinedTerms"/>
      </w:pPr>
      <w:r>
        <w:t>surviving partner’s land</w:t>
      </w:r>
      <w:r>
        <w:tab/>
        <w:t>32A(1)</w:t>
      </w:r>
    </w:p>
    <w:p>
      <w:pPr>
        <w:pStyle w:val="DefinedTerms"/>
      </w:pPr>
      <w:r>
        <w:t>Water Corporation</w:t>
      </w:r>
      <w:r>
        <w:tab/>
        <w:t>3(1)</w:t>
      </w:r>
    </w:p>
    <w:p>
      <w:pPr>
        <w:pStyle w:val="DefinedTerms"/>
      </w:pPr>
      <w:r>
        <w:t>Water Corporation charge</w:t>
      </w:r>
      <w:r>
        <w:tab/>
        <w:t>3(1)</w:t>
      </w:r>
    </w:p>
    <w:p>
      <w:pPr>
        <w:pStyle w:val="DefinedTerms"/>
      </w:pPr>
      <w:r>
        <w:t>year</w:t>
      </w:r>
      <w:r>
        <w:tab/>
        <w:t>3(1)</w:t>
      </w:r>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7" w:name="Schedule"/>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3" w:name="DefinedTerms"/>
    <w:bookmarkEnd w:id="8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 w:name="Coversheet"/>
    <w:bookmarkEnd w:id="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26E7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0002"/>
    <w:docVar w:name="WAFER_20140114160937" w:val="RemoveTocBookmarks,RemoveUnusedBookmarks,RemoveLanguageTags,UsedStyles,ResetPageSize,UpdateArrangement"/>
    <w:docVar w:name="WAFER_20140114160937_GUID" w:val="224f36e9-6beb-45da-bd82-d93e467183d0"/>
    <w:docVar w:name="WAFER_20140114162252" w:val="RemoveTocBookmarks,RunningHeaders"/>
    <w:docVar w:name="WAFER_20140114162252_GUID" w:val="91f2b6b0-bd2c-400b-96cc-a16ccf2293bf"/>
    <w:docVar w:name="WAFER_20140306140145" w:val="RemoveTocBookmarks,RemoveUnusedBookmarks,RemoveLanguageTags,UsedStyles,ResetPageSize"/>
    <w:docVar w:name="WAFER_20140306140145_GUID" w:val="6b217ece-92ff-4c33-97de-5fc2105e1647"/>
    <w:docVar w:name="WAFER_20140306140916" w:val="RemoveTocBookmarks,RunningHeaders"/>
    <w:docVar w:name="WAFER_20140306140916_GUID" w:val="a5c81e1f-8880-4a0e-bb5b-f3bcb22d525c"/>
    <w:docVar w:name="WAFER_20140617111151" w:val="RemoveTocBookmarks,RemoveUnusedBookmarks,RemoveLanguageTags,UsedStyles,ResetPageSize,UpdateArrangement"/>
    <w:docVar w:name="WAFER_20140617111151_GUID" w:val="0be62ce5-d7ca-4d10-ad22-764c2d0a27f6"/>
    <w:docVar w:name="WAFER_20150710114219" w:val="ResetPageSize,UpdateArrangement,UpdateNTable"/>
    <w:docVar w:name="WAFER_20150710114219_GUID" w:val="774a9d1a-2dc1-46fa-9b0c-2936d1fee265"/>
    <w:docVar w:name="WAFER_20151111162713" w:val="UpdateStyles,UsedStyles"/>
    <w:docVar w:name="WAFER_20151111162713_GUID" w:val="f2f7edba-e78b-4b56-8b1e-03b3dcfbcb8d"/>
    <w:docVar w:name="WAFER_20170111140757" w:val="RemoveTocBookmarks,RemoveUnusedBookmarks,RemoveLanguageTags,UsedStyles,ResetPageSize"/>
    <w:docVar w:name="WAFER_20170111140757_GUID" w:val="650c39bf-4cc0-4694-892f-36eb09bddf71"/>
    <w:docVar w:name="WAFER_20170120160002" w:val="RemoveTocBookmarks,RemoveUnusedBookmarks,RemoveLanguageTags,UsedStyles,ResetPageSize"/>
    <w:docVar w:name="WAFER_20170120160002_GUID" w:val="349ec8a7-47a9-41b5-aa0c-476da3dd82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D04F9-E683-40EB-B56D-CD6D31DC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21282</Words>
  <Characters>100668</Characters>
  <Application>Microsoft Office Word</Application>
  <DocSecurity>0</DocSecurity>
  <Lines>2796</Lines>
  <Paragraphs>1524</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120426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1992 - 04-f0-00</dc:title>
  <dc:subject/>
  <dc:creator/>
  <cp:keywords/>
  <dc:description/>
  <cp:lastModifiedBy>svcMRProcess</cp:lastModifiedBy>
  <cp:revision>4</cp:revision>
  <cp:lastPrinted>2013-10-04T05:58:00Z</cp:lastPrinted>
  <dcterms:created xsi:type="dcterms:W3CDTF">2020-02-20T00:00:00Z</dcterms:created>
  <dcterms:modified xsi:type="dcterms:W3CDTF">2020-02-20T00:00:00Z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DocumentType">
    <vt:lpwstr>Act</vt:lpwstr>
  </property>
  <property fmtid="{D5CDD505-2E9C-101B-9397-08002B2CF9AE}" pid="4" name="OwlsUID">
    <vt:i4>670</vt:i4>
  </property>
  <property fmtid="{D5CDD505-2E9C-101B-9397-08002B2CF9AE}" pid="5" name="ReprintNo">
    <vt:lpwstr>4</vt:lpwstr>
  </property>
  <property fmtid="{D5CDD505-2E9C-101B-9397-08002B2CF9AE}" pid="6" name="ReprintedAsAt">
    <vt:filetime>2013-10-03T16:00:00Z</vt:filetime>
  </property>
  <property fmtid="{D5CDD505-2E9C-101B-9397-08002B2CF9AE}" pid="7" name="AsAtDate">
    <vt:lpwstr>24 Jan 2017</vt:lpwstr>
  </property>
  <property fmtid="{D5CDD505-2E9C-101B-9397-08002B2CF9AE}" pid="8" name="Suffix">
    <vt:lpwstr>04-f0-00</vt:lpwstr>
  </property>
  <property fmtid="{D5CDD505-2E9C-101B-9397-08002B2CF9AE}" pid="9" name="CommencementDate">
    <vt:lpwstr>20170124</vt:lpwstr>
  </property>
</Properties>
</file>