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426" w:right="424"/>
      </w:pPr>
      <w:r>
        <w:fldChar w:fldCharType="begin"/>
      </w:r>
      <w:r>
        <w:instrText xml:space="preserve"> STYLEREF "Name Of Act/Reg"</w:instrText>
      </w:r>
      <w:r>
        <w:fldChar w:fldCharType="separate"/>
      </w:r>
      <w:r>
        <w:rPr>
          <w:noProof/>
        </w:rPr>
        <w:t>Blood Donation (Limitation of Liability)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_Toc473115666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_Toc473115667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_Toc473115668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 xml:space="preserve">This Act not to apply to or in relation to liability under </w:t>
      </w:r>
      <w:r>
        <w:rPr>
          <w:i/>
        </w:rPr>
        <w:t>Workers’ Compensation and Injury Management Act 1981</w:t>
      </w:r>
      <w:r>
        <w:tab/>
      </w:r>
      <w:r>
        <w:fldChar w:fldCharType="begin"/>
      </w:r>
      <w:r>
        <w:instrText xml:space="preserve"> PAGEREF _Toc473115669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Initial limitation of liability</w:t>
      </w:r>
    </w:p>
    <w:p>
      <w:pPr>
        <w:pStyle w:val="TOC8"/>
        <w:rPr>
          <w:rFonts w:asciiTheme="minorHAnsi" w:eastAsiaTheme="minorEastAsia" w:hAnsiTheme="minorHAnsi" w:cstheme="minorBidi"/>
          <w:szCs w:val="22"/>
        </w:rPr>
      </w:pPr>
      <w:r>
        <w:t>4</w:t>
      </w:r>
      <w:r>
        <w:rPr>
          <w:snapToGrid w:val="0"/>
        </w:rPr>
        <w:t>.</w:t>
      </w:r>
      <w:r>
        <w:rPr>
          <w:snapToGrid w:val="0"/>
        </w:rPr>
        <w:tab/>
        <w:t>AIDS related actions to which this Part applies</w:t>
      </w:r>
      <w:r>
        <w:tab/>
      </w:r>
      <w:r>
        <w:fldChar w:fldCharType="begin"/>
      </w:r>
      <w:r>
        <w:instrText xml:space="preserve"> PAGEREF _Toc473115671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AIDS related actions against Society, hospitals etc., defences to</w:t>
      </w:r>
      <w:r>
        <w:tab/>
      </w:r>
      <w:r>
        <w:fldChar w:fldCharType="begin"/>
      </w:r>
      <w:r>
        <w:instrText xml:space="preserve"> PAGEREF _Toc473115672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AIDS related actions against people administering blood, defences to</w:t>
      </w:r>
      <w:r>
        <w:tab/>
      </w:r>
      <w:r>
        <w:fldChar w:fldCharType="begin"/>
      </w:r>
      <w:r>
        <w:instrText xml:space="preserve"> PAGEREF _Toc473115673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Donors, liability of</w:t>
      </w:r>
      <w:r>
        <w:tab/>
      </w:r>
      <w:r>
        <w:fldChar w:fldCharType="begin"/>
      </w:r>
      <w:r>
        <w:instrText xml:space="preserve"> PAGEREF _Toc473115674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Subsequent limitation of liability</w:t>
      </w:r>
    </w:p>
    <w:p>
      <w:pPr>
        <w:pStyle w:val="TOC8"/>
        <w:rPr>
          <w:rFonts w:asciiTheme="minorHAnsi" w:eastAsiaTheme="minorEastAsia" w:hAnsiTheme="minorHAnsi" w:cstheme="minorBidi"/>
          <w:szCs w:val="22"/>
        </w:rPr>
      </w:pPr>
      <w:r>
        <w:t>8</w:t>
      </w:r>
      <w:r>
        <w:rPr>
          <w:snapToGrid w:val="0"/>
        </w:rPr>
        <w:t>.</w:t>
      </w:r>
      <w:r>
        <w:rPr>
          <w:snapToGrid w:val="0"/>
        </w:rPr>
        <w:tab/>
        <w:t>AIDS related actions to which this Part applies</w:t>
      </w:r>
      <w:r>
        <w:tab/>
      </w:r>
      <w:r>
        <w:fldChar w:fldCharType="begin"/>
      </w:r>
      <w:r>
        <w:instrText xml:space="preserve"> PAGEREF _Toc473115676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AIDS related actions against Society, hospitals etc., defences to</w:t>
      </w:r>
      <w:r>
        <w:tab/>
      </w:r>
      <w:r>
        <w:fldChar w:fldCharType="begin"/>
      </w:r>
      <w:r>
        <w:instrText xml:space="preserve"> PAGEREF _Toc473115677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AIDS related actions against people administering blood, defences to</w:t>
      </w:r>
      <w:r>
        <w:tab/>
      </w:r>
      <w:r>
        <w:fldChar w:fldCharType="begin"/>
      </w:r>
      <w:r>
        <w:instrText xml:space="preserve"> PAGEREF _Toc473115678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Donor declarations, before whom to be made</w:t>
      </w:r>
      <w:r>
        <w:tab/>
      </w:r>
      <w:r>
        <w:fldChar w:fldCharType="begin"/>
      </w:r>
      <w:r>
        <w:instrText xml:space="preserve"> PAGEREF _Toc473115679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Donors, liability of</w:t>
      </w:r>
      <w:r>
        <w:tab/>
      </w:r>
      <w:r>
        <w:fldChar w:fldCharType="begin"/>
      </w:r>
      <w:r>
        <w:instrText xml:space="preserve"> PAGEREF _Toc473115680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Evidentiary provisions for certain AIDS related actions</w:t>
      </w:r>
      <w:r>
        <w:tab/>
      </w:r>
      <w:r>
        <w:fldChar w:fldCharType="begin"/>
      </w:r>
      <w:r>
        <w:instrText xml:space="preserve"> PAGEREF _Toc473115681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Regulations</w:t>
      </w:r>
      <w:r>
        <w:tab/>
      </w:r>
      <w:r>
        <w:fldChar w:fldCharType="begin"/>
      </w:r>
      <w:r>
        <w:instrText xml:space="preserve"> PAGEREF _Toc473115682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_Toc473115684 \h </w:instrText>
      </w:r>
      <w:r>
        <w:fldChar w:fldCharType="separate"/>
      </w:r>
      <w:r>
        <w:t>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_Toc473115685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840"/>
      </w:pPr>
      <w:r>
        <w:t>Blood Donation (Limitation of Liability) Act 1985</w:t>
      </w:r>
    </w:p>
    <w:p>
      <w:pPr>
        <w:pStyle w:val="LongTitle"/>
        <w:rPr>
          <w:snapToGrid w:val="0"/>
        </w:rPr>
      </w:pPr>
      <w:r>
        <w:rPr>
          <w:snapToGrid w:val="0"/>
        </w:rPr>
        <w:t>An Act to limit liability in respect of the transmission of the disease known as acquired immune deficiency syndrome through the transfusion of blood and blood products and for purposes connected therewith or incidental thereto.</w:t>
      </w:r>
    </w:p>
    <w:p>
      <w:pPr>
        <w:pStyle w:val="Heading2"/>
      </w:pPr>
      <w:bookmarkStart w:id="3" w:name="_Toc471913235"/>
      <w:bookmarkStart w:id="4" w:name="_Toc472066475"/>
      <w:bookmarkStart w:id="5" w:name="_Toc472086136"/>
      <w:bookmarkStart w:id="6" w:name="_Toc473039528"/>
      <w:bookmarkStart w:id="7" w:name="_Toc47311566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73115666"/>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9" w:name="_Toc473115667"/>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0" w:name="_Toc473115668"/>
      <w:r>
        <w:rPr>
          <w:rStyle w:val="CharSectno"/>
        </w:rPr>
        <w:t>3</w:t>
      </w:r>
      <w:r>
        <w:rPr>
          <w:snapToGrid w:val="0"/>
        </w:rPr>
        <w:t>.</w:t>
      </w:r>
      <w:r>
        <w:rPr>
          <w:snapToGrid w:val="0"/>
        </w:rPr>
        <w:tab/>
        <w:t>Terms used</w:t>
      </w:r>
      <w:bookmarkEnd w:id="10"/>
    </w:p>
    <w:p>
      <w:pPr>
        <w:pStyle w:val="Subsection"/>
        <w:rPr>
          <w:snapToGrid w:val="0"/>
        </w:rPr>
      </w:pPr>
      <w:r>
        <w:rPr>
          <w:snapToGrid w:val="0"/>
        </w:rPr>
        <w:tab/>
      </w:r>
      <w:r>
        <w:rPr>
          <w:snapToGrid w:val="0"/>
        </w:rPr>
        <w:tab/>
        <w:t>In this Act, unless the contrary intention appears —</w:t>
      </w:r>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p>
    <w:p>
      <w:pPr>
        <w:pStyle w:val="Defpara"/>
        <w:spacing w:before="100"/>
      </w:pPr>
      <w:r>
        <w:tab/>
        <w:t>(a)</w:t>
      </w:r>
      <w:r>
        <w:tab/>
        <w:t>a person who claims to have contracted AIDS —</w:t>
      </w:r>
    </w:p>
    <w:p>
      <w:pPr>
        <w:pStyle w:val="Defsubpara"/>
        <w:spacing w:before="100"/>
      </w:pPr>
      <w:r>
        <w:tab/>
        <w:t>(i)</w:t>
      </w:r>
      <w:r>
        <w:tab/>
        <w:t>by reason of having been administered blood supplied by the Society or a hospital or a blood product derived from blood so supplied; or</w:t>
      </w:r>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tab/>
      </w:r>
      <w:r>
        <w:rPr>
          <w:rStyle w:val="CharDefText"/>
        </w:rPr>
        <w:t>approved</w:t>
      </w:r>
      <w:r>
        <w:t xml:space="preserve"> means approved by the Chief Health Officer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w:t>
      </w:r>
    </w:p>
    <w:p>
      <w:pPr>
        <w:pStyle w:val="Defpara"/>
      </w:pPr>
      <w:r>
        <w:tab/>
        <w:t>(a)</w:t>
      </w:r>
      <w:r>
        <w:tab/>
        <w:t xml:space="preserve">a public hospital as defined in the </w:t>
      </w:r>
      <w:r>
        <w:rPr>
          <w:i/>
        </w:rPr>
        <w:t>Health Services Act 2016</w:t>
      </w:r>
      <w:r>
        <w:t xml:space="preserve"> section 6, means the health service provider for that hospital;</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Society</w:t>
      </w:r>
      <w:r>
        <w:t xml:space="preserve"> means the society incorporated by Royal Charter under the name of the Australian Red Cross Society;</w:t>
      </w:r>
    </w:p>
    <w:p>
      <w:pPr>
        <w:pStyle w:val="Defstart"/>
      </w:pPr>
      <w:r>
        <w:tab/>
      </w:r>
      <w:r>
        <w:rPr>
          <w:rStyle w:val="CharDefText"/>
        </w:rPr>
        <w:t>Transmissible Diseases Regulations</w:t>
      </w:r>
      <w:r>
        <w:t xml:space="preserve"> means regulations that — </w:t>
      </w:r>
    </w:p>
    <w:p>
      <w:pPr>
        <w:pStyle w:val="Defpara"/>
      </w:pPr>
      <w:r>
        <w:tab/>
        <w:t>(a)</w:t>
      </w:r>
      <w:r>
        <w:tab/>
        <w:t xml:space="preserve">are made under the </w:t>
      </w:r>
      <w:r>
        <w:rPr>
          <w:i/>
        </w:rPr>
        <w:t>Health (Miscellaneous Provisions) Act 1911</w:t>
      </w:r>
      <w:r>
        <w:t>; and</w:t>
      </w:r>
    </w:p>
    <w:p>
      <w:pPr>
        <w:pStyle w:val="Defpara"/>
      </w:pPr>
      <w:r>
        <w:tab/>
        <w:t>(b)</w:t>
      </w:r>
      <w:r>
        <w:tab/>
        <w:t>consist of or include provisions that provide for or require a person donating blood to make a declaration.</w:t>
      </w:r>
    </w:p>
    <w:p>
      <w:pPr>
        <w:pStyle w:val="Footnotesection"/>
      </w:pPr>
      <w:r>
        <w:tab/>
        <w:t xml:space="preserve">[Section 3 amended by No. 103 of 1994 s. 18; No. 22 of 2008 </w:t>
      </w:r>
      <w:r>
        <w:rPr>
          <w:iCs/>
          <w:szCs w:val="24"/>
        </w:rPr>
        <w:t>Sch. 3 cl. 6</w:t>
      </w:r>
      <w:r>
        <w:t>; No. 35 of 2010 s. 36; No. 11 of 2016 s. 285(2); No. 19 of 2016 s. 110.]</w:t>
      </w:r>
    </w:p>
    <w:p>
      <w:pPr>
        <w:pStyle w:val="Heading5"/>
        <w:rPr>
          <w:snapToGrid w:val="0"/>
        </w:rPr>
      </w:pPr>
      <w:bookmarkStart w:id="11" w:name="_Toc473115669"/>
      <w:r>
        <w:rPr>
          <w:rStyle w:val="CharSectno"/>
        </w:rPr>
        <w:t>3A</w:t>
      </w:r>
      <w:r>
        <w:rPr>
          <w:snapToGrid w:val="0"/>
        </w:rPr>
        <w:t xml:space="preserve">. </w:t>
      </w:r>
      <w:r>
        <w:rPr>
          <w:snapToGrid w:val="0"/>
        </w:rPr>
        <w:tab/>
        <w:t xml:space="preserve">This Act not to apply to or in relation to liability under </w:t>
      </w:r>
      <w:r>
        <w:rPr>
          <w:i/>
        </w:rPr>
        <w:t>Workers’ Compensation and Injury Management Act 1981</w:t>
      </w:r>
      <w:bookmarkEnd w:id="11"/>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w:t>
      </w:r>
      <w:r>
        <w:t>or in</w:t>
      </w:r>
      <w:r>
        <w:rPr>
          <w:snapToGrid w:val="0"/>
        </w:rPr>
        <w:t xml:space="preserve"> the Society, hospital, medical practitioner or other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by No. 52 of 1987 s. 4; amended by No. 42 of 2004 s. 156 and 174; No. 11 of 2016 s. 285(3).]</w:t>
      </w:r>
    </w:p>
    <w:p>
      <w:pPr>
        <w:pStyle w:val="Heading2"/>
      </w:pPr>
      <w:bookmarkStart w:id="12" w:name="_Toc471913240"/>
      <w:bookmarkStart w:id="13" w:name="_Toc472066480"/>
      <w:bookmarkStart w:id="14" w:name="_Toc472086141"/>
      <w:bookmarkStart w:id="15" w:name="_Toc473039533"/>
      <w:bookmarkStart w:id="16" w:name="_Toc473115670"/>
      <w:r>
        <w:rPr>
          <w:rStyle w:val="CharPartNo"/>
        </w:rPr>
        <w:t>Part II</w:t>
      </w:r>
      <w:r>
        <w:rPr>
          <w:rStyle w:val="CharDivNo"/>
        </w:rPr>
        <w:t> </w:t>
      </w:r>
      <w:r>
        <w:t>—</w:t>
      </w:r>
      <w:r>
        <w:rPr>
          <w:rStyle w:val="CharDivText"/>
        </w:rPr>
        <w:t> </w:t>
      </w:r>
      <w:r>
        <w:rPr>
          <w:rStyle w:val="CharPartText"/>
        </w:rPr>
        <w:t>Initial limitation of liability</w:t>
      </w:r>
      <w:bookmarkEnd w:id="12"/>
      <w:bookmarkEnd w:id="13"/>
      <w:bookmarkEnd w:id="14"/>
      <w:bookmarkEnd w:id="15"/>
      <w:bookmarkEnd w:id="16"/>
    </w:p>
    <w:p>
      <w:pPr>
        <w:pStyle w:val="Heading5"/>
        <w:rPr>
          <w:snapToGrid w:val="0"/>
        </w:rPr>
      </w:pPr>
      <w:bookmarkStart w:id="17" w:name="_Toc473115671"/>
      <w:r>
        <w:rPr>
          <w:rStyle w:val="CharSectno"/>
        </w:rPr>
        <w:t>4</w:t>
      </w:r>
      <w:r>
        <w:rPr>
          <w:snapToGrid w:val="0"/>
        </w:rPr>
        <w:t>.</w:t>
      </w:r>
      <w:r>
        <w:rPr>
          <w:snapToGrid w:val="0"/>
        </w:rPr>
        <w:tab/>
        <w:t>AIDS related actions to which this Part applies</w:t>
      </w:r>
      <w:bookmarkEnd w:id="17"/>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r>
        <w:rPr>
          <w:snapToGrid w:val="0"/>
          <w:vertAlign w:val="superscript"/>
        </w:rPr>
        <w:t> 2</w:t>
      </w:r>
      <w:r>
        <w:rPr>
          <w:snapToGrid w:val="0"/>
        </w:rPr>
        <w:t xml:space="preserve">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18" w:name="_Toc473115672"/>
      <w:r>
        <w:rPr>
          <w:rStyle w:val="CharSectno"/>
        </w:rPr>
        <w:t>5</w:t>
      </w:r>
      <w:r>
        <w:rPr>
          <w:snapToGrid w:val="0"/>
        </w:rPr>
        <w:t>.</w:t>
      </w:r>
      <w:r>
        <w:rPr>
          <w:snapToGrid w:val="0"/>
        </w:rPr>
        <w:tab/>
        <w:t>AIDS related actions against Society, hospitals etc., defences to</w:t>
      </w:r>
      <w:bookmarkEnd w:id="18"/>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19" w:name="_Toc473115673"/>
      <w:r>
        <w:rPr>
          <w:rStyle w:val="CharSectno"/>
        </w:rPr>
        <w:t>6</w:t>
      </w:r>
      <w:r>
        <w:rPr>
          <w:snapToGrid w:val="0"/>
        </w:rPr>
        <w:t>.</w:t>
      </w:r>
      <w:r>
        <w:rPr>
          <w:snapToGrid w:val="0"/>
        </w:rPr>
        <w:tab/>
        <w:t>AIDS related actions against people administering blood, defences to</w:t>
      </w:r>
      <w:bookmarkEnd w:id="19"/>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 and</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20" w:name="_Toc473115674"/>
      <w:r>
        <w:rPr>
          <w:rStyle w:val="CharSectno"/>
        </w:rPr>
        <w:t>7</w:t>
      </w:r>
      <w:r>
        <w:rPr>
          <w:snapToGrid w:val="0"/>
        </w:rPr>
        <w:t>.</w:t>
      </w:r>
      <w:r>
        <w:rPr>
          <w:snapToGrid w:val="0"/>
        </w:rPr>
        <w:tab/>
        <w:t>Donors, liability of</w:t>
      </w:r>
      <w:bookmarkEnd w:id="20"/>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21" w:name="_Toc471913245"/>
      <w:bookmarkStart w:id="22" w:name="_Toc472066485"/>
      <w:bookmarkStart w:id="23" w:name="_Toc472086146"/>
      <w:bookmarkStart w:id="24" w:name="_Toc473039538"/>
      <w:bookmarkStart w:id="25" w:name="_Toc473115675"/>
      <w:r>
        <w:rPr>
          <w:rStyle w:val="CharPartNo"/>
        </w:rPr>
        <w:t>Part III</w:t>
      </w:r>
      <w:r>
        <w:rPr>
          <w:rStyle w:val="CharDivNo"/>
        </w:rPr>
        <w:t> </w:t>
      </w:r>
      <w:r>
        <w:t>—</w:t>
      </w:r>
      <w:r>
        <w:rPr>
          <w:rStyle w:val="CharDivText"/>
        </w:rPr>
        <w:t> </w:t>
      </w:r>
      <w:r>
        <w:rPr>
          <w:rStyle w:val="CharPartText"/>
        </w:rPr>
        <w:t>Subsequent limitation of liability</w:t>
      </w:r>
      <w:bookmarkEnd w:id="21"/>
      <w:bookmarkEnd w:id="22"/>
      <w:bookmarkEnd w:id="23"/>
      <w:bookmarkEnd w:id="24"/>
      <w:bookmarkEnd w:id="25"/>
    </w:p>
    <w:p>
      <w:pPr>
        <w:pStyle w:val="Heading5"/>
        <w:rPr>
          <w:snapToGrid w:val="0"/>
        </w:rPr>
      </w:pPr>
      <w:bookmarkStart w:id="26" w:name="_Toc473115676"/>
      <w:r>
        <w:rPr>
          <w:rStyle w:val="CharSectno"/>
        </w:rPr>
        <w:t>8</w:t>
      </w:r>
      <w:r>
        <w:rPr>
          <w:snapToGrid w:val="0"/>
        </w:rPr>
        <w:t>.</w:t>
      </w:r>
      <w:r>
        <w:rPr>
          <w:snapToGrid w:val="0"/>
        </w:rPr>
        <w:tab/>
        <w:t>AIDS related actions to which this Part applies</w:t>
      </w:r>
      <w:bookmarkEnd w:id="26"/>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27" w:name="_Toc473115677"/>
      <w:r>
        <w:rPr>
          <w:rStyle w:val="CharSectno"/>
        </w:rPr>
        <w:t>9</w:t>
      </w:r>
      <w:r>
        <w:rPr>
          <w:snapToGrid w:val="0"/>
        </w:rPr>
        <w:t>.</w:t>
      </w:r>
      <w:r>
        <w:rPr>
          <w:snapToGrid w:val="0"/>
        </w:rPr>
        <w:tab/>
        <w:t>AIDS related actions against Society, hospitals etc., defences to</w:t>
      </w:r>
      <w:bookmarkEnd w:id="27"/>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 xml:space="preserve">neither the Society nor the hospital, as the case requires, nor any </w:t>
      </w:r>
      <w:r>
        <w:t xml:space="preserve">employee of or in, </w:t>
      </w:r>
      <w:r>
        <w:rPr>
          <w:snapToGrid w:val="0"/>
          <w:spacing w:val="-2"/>
        </w:rPr>
        <w:t>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Footnotesection"/>
      </w:pPr>
      <w:r>
        <w:tab/>
        <w:t>[Section 9 amended by No. 11 of 2016 s. 285(4).]</w:t>
      </w:r>
    </w:p>
    <w:p>
      <w:pPr>
        <w:pStyle w:val="Heading5"/>
        <w:rPr>
          <w:snapToGrid w:val="0"/>
        </w:rPr>
      </w:pPr>
      <w:bookmarkStart w:id="28" w:name="_Toc473115678"/>
      <w:r>
        <w:rPr>
          <w:rStyle w:val="CharSectno"/>
        </w:rPr>
        <w:t>10</w:t>
      </w:r>
      <w:r>
        <w:rPr>
          <w:snapToGrid w:val="0"/>
        </w:rPr>
        <w:t>.</w:t>
      </w:r>
      <w:r>
        <w:rPr>
          <w:snapToGrid w:val="0"/>
        </w:rPr>
        <w:tab/>
        <w:t>AIDS related actions against people administering blood, defences to</w:t>
      </w:r>
      <w:bookmarkEnd w:id="28"/>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 and</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29" w:name="_Toc473115679"/>
      <w:r>
        <w:rPr>
          <w:rStyle w:val="CharSectno"/>
        </w:rPr>
        <w:t>11</w:t>
      </w:r>
      <w:r>
        <w:rPr>
          <w:snapToGrid w:val="0"/>
        </w:rPr>
        <w:t>.</w:t>
      </w:r>
      <w:r>
        <w:rPr>
          <w:snapToGrid w:val="0"/>
        </w:rPr>
        <w:tab/>
        <w:t>Donor declarations, before whom to be made</w:t>
      </w:r>
      <w:bookmarkEnd w:id="29"/>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p>
    <w:p>
      <w:pPr>
        <w:pStyle w:val="Indenta"/>
        <w:rPr>
          <w:snapToGrid w:val="0"/>
        </w:rPr>
      </w:pPr>
      <w:r>
        <w:rPr>
          <w:snapToGrid w:val="0"/>
        </w:rPr>
        <w:tab/>
        <w:t>(a)</w:t>
      </w:r>
      <w:r>
        <w:rPr>
          <w:snapToGrid w:val="0"/>
        </w:rPr>
        <w:tab/>
        <w:t>authorised to permit a statutory declaration to be made before him; or</w:t>
      </w:r>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 or</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p>
    <w:p>
      <w:pPr>
        <w:pStyle w:val="Defstart"/>
      </w:pPr>
      <w:r>
        <w:rPr>
          <w:b/>
        </w:rPr>
        <w:tab/>
      </w:r>
      <w:r>
        <w:rPr>
          <w:rStyle w:val="CharDefText"/>
        </w:rPr>
        <w:t>tissue</w:t>
      </w:r>
      <w:r>
        <w:t xml:space="preserve"> includes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by No. 50 of </w:t>
      </w:r>
      <w:r>
        <w:rPr>
          <w:szCs w:val="24"/>
        </w:rPr>
        <w:t xml:space="preserve">2006 </w:t>
      </w:r>
      <w:r>
        <w:rPr>
          <w:iCs/>
          <w:szCs w:val="24"/>
        </w:rPr>
        <w:t>Sch. 3 cl. 1</w:t>
      </w:r>
      <w:r>
        <w:t>; No. 35 of 2010 s. 37.]</w:t>
      </w:r>
    </w:p>
    <w:p>
      <w:pPr>
        <w:pStyle w:val="Heading5"/>
        <w:rPr>
          <w:snapToGrid w:val="0"/>
        </w:rPr>
      </w:pPr>
      <w:bookmarkStart w:id="30" w:name="_Toc473115680"/>
      <w:r>
        <w:rPr>
          <w:rStyle w:val="CharSectno"/>
        </w:rPr>
        <w:t>12</w:t>
      </w:r>
      <w:r>
        <w:rPr>
          <w:snapToGrid w:val="0"/>
        </w:rPr>
        <w:t>.</w:t>
      </w:r>
      <w:r>
        <w:rPr>
          <w:snapToGrid w:val="0"/>
        </w:rPr>
        <w:tab/>
        <w:t>Donors, liability of</w:t>
      </w:r>
      <w:bookmarkEnd w:id="30"/>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31" w:name="_Toc473115681"/>
      <w:r>
        <w:rPr>
          <w:rStyle w:val="CharSectno"/>
        </w:rPr>
        <w:t>13</w:t>
      </w:r>
      <w:r>
        <w:rPr>
          <w:snapToGrid w:val="0"/>
        </w:rPr>
        <w:t>.</w:t>
      </w:r>
      <w:r>
        <w:rPr>
          <w:snapToGrid w:val="0"/>
        </w:rPr>
        <w:tab/>
        <w:t>Evidentiary provisions for certain AIDS related actions</w:t>
      </w:r>
      <w:bookmarkEnd w:id="31"/>
    </w:p>
    <w:p>
      <w:pPr>
        <w:pStyle w:val="Subsection"/>
        <w:rPr>
          <w:snapToGrid w:val="0"/>
        </w:rPr>
      </w:pPr>
      <w:r>
        <w:rPr>
          <w:snapToGrid w:val="0"/>
        </w:rPr>
        <w:tab/>
      </w:r>
      <w:r>
        <w:rPr>
          <w:snapToGrid w:val="0"/>
        </w:rPr>
        <w:tab/>
        <w:t>In an AIDS related action referred to in section 9 or 10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32" w:name="_Toc473115682"/>
      <w:r>
        <w:rPr>
          <w:rStyle w:val="CharSectno"/>
        </w:rPr>
        <w:t>14</w:t>
      </w:r>
      <w:r>
        <w:rPr>
          <w:snapToGrid w:val="0"/>
        </w:rPr>
        <w:t>.</w:t>
      </w:r>
      <w:r>
        <w:rPr>
          <w:snapToGrid w:val="0"/>
        </w:rPr>
        <w:tab/>
        <w:t>Regulations</w:t>
      </w:r>
      <w:bookmarkEnd w:id="3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33" w:name="_Toc471913253"/>
      <w:bookmarkStart w:id="34" w:name="_Toc472066493"/>
      <w:bookmarkStart w:id="35" w:name="_Toc472086154"/>
      <w:bookmarkStart w:id="36" w:name="_Toc473039546"/>
      <w:bookmarkStart w:id="37" w:name="_Toc473115683"/>
      <w:r>
        <w:t>Notes</w:t>
      </w:r>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 w:name="_Toc473115684"/>
      <w:r>
        <w:rPr>
          <w:snapToGrid w:val="0"/>
        </w:rPr>
        <w:t>Compilation table</w:t>
      </w:r>
      <w:bookmarkEnd w:id="38"/>
    </w:p>
    <w:tbl>
      <w:tblPr>
        <w:tblW w:w="7089" w:type="dxa"/>
        <w:tblInd w:w="81" w:type="dxa"/>
        <w:tblLayout w:type="fixed"/>
        <w:tblCellMar>
          <w:left w:w="56" w:type="dxa"/>
          <w:right w:w="56" w:type="dxa"/>
        </w:tblCellMar>
        <w:tblLook w:val="0000" w:firstRow="0" w:lastRow="0" w:firstColumn="0" w:lastColumn="0" w:noHBand="0" w:noVBand="0"/>
      </w:tblPr>
      <w:tblGrid>
        <w:gridCol w:w="2266"/>
        <w:gridCol w:w="1134"/>
        <w:gridCol w:w="1133"/>
        <w:gridCol w:w="2556"/>
      </w:tblGrid>
      <w:tr>
        <w:trPr>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6" w:type="dxa"/>
          </w:tcPr>
          <w:p>
            <w:pPr>
              <w:pStyle w:val="nTable"/>
              <w:spacing w:after="40"/>
            </w:pPr>
            <w:r>
              <w:rPr>
                <w:i/>
              </w:rPr>
              <w:t>Blood Donation (Limitation of Liability) Act 1985</w:t>
            </w:r>
          </w:p>
        </w:tc>
        <w:tc>
          <w:tcPr>
            <w:tcW w:w="1134" w:type="dxa"/>
          </w:tcPr>
          <w:p>
            <w:pPr>
              <w:pStyle w:val="nTable"/>
              <w:spacing w:after="40"/>
            </w:pPr>
            <w:r>
              <w:t>88 of 1985</w:t>
            </w:r>
          </w:p>
        </w:tc>
        <w:tc>
          <w:tcPr>
            <w:tcW w:w="1133" w:type="dxa"/>
          </w:tcPr>
          <w:p>
            <w:pPr>
              <w:pStyle w:val="nTable"/>
              <w:spacing w:after="40"/>
            </w:pPr>
            <w:r>
              <w:t>4 Dec 1985</w:t>
            </w:r>
          </w:p>
        </w:tc>
        <w:tc>
          <w:tcPr>
            <w:tcW w:w="2556" w:type="dxa"/>
          </w:tcPr>
          <w:p>
            <w:pPr>
              <w:pStyle w:val="nTable"/>
              <w:spacing w:after="40"/>
            </w:pPr>
            <w:r>
              <w:t>30 Jun 1985 (see s. 2)</w:t>
            </w:r>
          </w:p>
        </w:tc>
      </w:tr>
      <w:tr>
        <w:tc>
          <w:tcPr>
            <w:tcW w:w="2266"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3" w:type="dxa"/>
          </w:tcPr>
          <w:p>
            <w:pPr>
              <w:pStyle w:val="nTable"/>
              <w:spacing w:after="40"/>
            </w:pPr>
            <w:r>
              <w:t>30 Oct 1987</w:t>
            </w:r>
          </w:p>
        </w:tc>
        <w:tc>
          <w:tcPr>
            <w:tcW w:w="2556" w:type="dxa"/>
          </w:tcPr>
          <w:p>
            <w:pPr>
              <w:pStyle w:val="nTable"/>
              <w:spacing w:after="40"/>
            </w:pPr>
            <w:r>
              <w:t>30 Jun 1985 (see s. 3)</w:t>
            </w:r>
          </w:p>
        </w:tc>
      </w:tr>
      <w:tr>
        <w:tc>
          <w:tcPr>
            <w:tcW w:w="2266"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3" w:type="dxa"/>
          </w:tcPr>
          <w:p>
            <w:pPr>
              <w:pStyle w:val="nTable"/>
              <w:spacing w:after="40"/>
            </w:pPr>
            <w:r>
              <w:t>11 Jan 1995</w:t>
            </w:r>
          </w:p>
        </w:tc>
        <w:tc>
          <w:tcPr>
            <w:tcW w:w="2556" w:type="dxa"/>
          </w:tcPr>
          <w:p>
            <w:pPr>
              <w:pStyle w:val="nTable"/>
              <w:spacing w:after="40"/>
            </w:pPr>
            <w:r>
              <w:t xml:space="preserve">3 Feb 1995 (see s. 2 and </w:t>
            </w:r>
            <w:r>
              <w:rPr>
                <w:i/>
              </w:rPr>
              <w:t>Gazette</w:t>
            </w:r>
            <w:r>
              <w:t xml:space="preserve"> 3 Feb 1995 p. 333)</w:t>
            </w:r>
          </w:p>
        </w:tc>
      </w:tr>
      <w:tr>
        <w:trPr>
          <w:cantSplit/>
        </w:trPr>
        <w:tc>
          <w:tcPr>
            <w:tcW w:w="7089"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 174</w:t>
            </w:r>
          </w:p>
        </w:tc>
        <w:tc>
          <w:tcPr>
            <w:tcW w:w="1134" w:type="dxa"/>
            <w:tcBorders>
              <w:top w:val="nil"/>
              <w:bottom w:val="nil"/>
            </w:tcBorders>
          </w:tcPr>
          <w:p>
            <w:pPr>
              <w:pStyle w:val="nTable"/>
              <w:spacing w:after="40"/>
              <w:rPr>
                <w:snapToGrid w:val="0"/>
              </w:rPr>
            </w:pPr>
            <w:r>
              <w:rPr>
                <w:snapToGrid w:val="0"/>
              </w:rPr>
              <w:t>42 of 2004</w:t>
            </w:r>
          </w:p>
        </w:tc>
        <w:tc>
          <w:tcPr>
            <w:tcW w:w="1133" w:type="dxa"/>
            <w:tcBorders>
              <w:top w:val="nil"/>
              <w:bottom w:val="nil"/>
            </w:tcBorders>
          </w:tcPr>
          <w:p>
            <w:pPr>
              <w:pStyle w:val="nTable"/>
              <w:spacing w:after="40"/>
            </w:pPr>
            <w:r>
              <w:t>9 Nov 2004</w:t>
            </w:r>
          </w:p>
        </w:tc>
        <w:tc>
          <w:tcPr>
            <w:tcW w:w="2556" w:type="dxa"/>
            <w:tcBorders>
              <w:top w:val="nil"/>
              <w:bottom w:val="nil"/>
            </w:tcBorders>
          </w:tcPr>
          <w:p>
            <w:pPr>
              <w:pStyle w:val="nTable"/>
              <w:spacing w:after="40"/>
              <w:rPr>
                <w:snapToGrid w:val="0"/>
              </w:rPr>
            </w:pPr>
            <w:r>
              <w:rPr>
                <w:color w:val="FF0000"/>
              </w:rPr>
              <w:t xml:space="preserve"> </w:t>
            </w:r>
            <w:r>
              <w:t xml:space="preserve">s. 174: 4 Jan 2005 (see s. 2 and </w:t>
            </w:r>
            <w:r>
              <w:rPr>
                <w:i/>
              </w:rPr>
              <w:t>Gazette</w:t>
            </w:r>
            <w:r>
              <w:t xml:space="preserve"> 31 Dec 2004 p. 7131);</w:t>
            </w:r>
            <w:r>
              <w:br/>
              <w:t xml:space="preserve">s. 156: 14 Nov 2005 (see s. 2 and </w:t>
            </w:r>
            <w:r>
              <w:rPr>
                <w:i/>
              </w:rPr>
              <w:t>Gazette</w:t>
            </w:r>
            <w:r>
              <w:t xml:space="preserve"> 31 Dec 2004 p. 7131 and 17 Jun 2005 p. 2657);</w:t>
            </w:r>
            <w:r>
              <w:br/>
              <w:t xml:space="preserve">Proclamation published 31 Dec 2004 p. 7131 revoked para (b)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Nurses and Midwives Act 2006</w:t>
            </w:r>
            <w:r>
              <w:rPr>
                <w:iCs/>
                <w:snapToGrid w:val="0"/>
              </w:rPr>
              <w:t xml:space="preserve"> Sch. 3 cl. 1</w:t>
            </w:r>
          </w:p>
        </w:tc>
        <w:tc>
          <w:tcPr>
            <w:tcW w:w="1134" w:type="dxa"/>
            <w:tcBorders>
              <w:top w:val="nil"/>
              <w:bottom w:val="nil"/>
            </w:tcBorders>
          </w:tcPr>
          <w:p>
            <w:pPr>
              <w:pStyle w:val="nTable"/>
              <w:spacing w:after="40"/>
              <w:rPr>
                <w:snapToGrid w:val="0"/>
              </w:rPr>
            </w:pPr>
            <w:r>
              <w:rPr>
                <w:snapToGrid w:val="0"/>
              </w:rPr>
              <w:t>50 of 2006</w:t>
            </w:r>
          </w:p>
        </w:tc>
        <w:tc>
          <w:tcPr>
            <w:tcW w:w="1133" w:type="dxa"/>
            <w:tcBorders>
              <w:top w:val="nil"/>
              <w:bottom w:val="nil"/>
            </w:tcBorders>
          </w:tcPr>
          <w:p>
            <w:pPr>
              <w:pStyle w:val="nTable"/>
              <w:spacing w:after="40"/>
            </w:pPr>
            <w:r>
              <w:t>6 Oct 2006</w:t>
            </w:r>
          </w:p>
        </w:tc>
        <w:tc>
          <w:tcPr>
            <w:tcW w:w="2556"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Medical Practitioners Act 2008</w:t>
            </w:r>
            <w:r>
              <w:rPr>
                <w:iCs/>
                <w:snapToGrid w:val="0"/>
              </w:rPr>
              <w:t xml:space="preserve"> Sch. 3 cl. 6</w:t>
            </w:r>
          </w:p>
        </w:tc>
        <w:tc>
          <w:tcPr>
            <w:tcW w:w="1134" w:type="dxa"/>
            <w:tcBorders>
              <w:top w:val="nil"/>
              <w:bottom w:val="nil"/>
            </w:tcBorders>
          </w:tcPr>
          <w:p>
            <w:pPr>
              <w:pStyle w:val="nTable"/>
              <w:spacing w:after="40"/>
              <w:rPr>
                <w:snapToGrid w:val="0"/>
              </w:rPr>
            </w:pPr>
            <w:r>
              <w:rPr>
                <w:snapToGrid w:val="0"/>
              </w:rPr>
              <w:t>22 of 2008</w:t>
            </w:r>
          </w:p>
        </w:tc>
        <w:tc>
          <w:tcPr>
            <w:tcW w:w="1133"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pPr>
            <w:r>
              <w:rPr>
                <w:snapToGrid w:val="0"/>
              </w:rPr>
              <w:t>30 Aug 2010</w:t>
            </w:r>
          </w:p>
        </w:tc>
        <w:tc>
          <w:tcPr>
            <w:tcW w:w="2556"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after="40"/>
              <w:rPr>
                <w:snapToGrid w:val="0"/>
              </w:rPr>
            </w:pPr>
            <w:r>
              <w:rPr>
                <w:b/>
              </w:rPr>
              <w:t xml:space="preserve">Reprint 2: The </w:t>
            </w:r>
            <w:r>
              <w:rPr>
                <w:b/>
                <w:i/>
              </w:rPr>
              <w:t>Blood Donation (Limitation of Liability) Act 1985</w:t>
            </w:r>
            <w:r>
              <w:rPr>
                <w:b/>
              </w:rPr>
              <w:t xml:space="preserve"> as at 21 Sep 2012</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Health Services Act 2016</w:t>
            </w:r>
            <w:r>
              <w:rPr>
                <w:snapToGrid w:val="0"/>
              </w:rPr>
              <w:t xml:space="preserve"> s. 285</w:t>
            </w:r>
          </w:p>
        </w:tc>
        <w:tc>
          <w:tcPr>
            <w:tcW w:w="1134" w:type="dxa"/>
            <w:tcBorders>
              <w:top w:val="nil"/>
              <w:bottom w:val="nil"/>
            </w:tcBorders>
            <w:shd w:val="clear" w:color="auto" w:fill="auto"/>
          </w:tcPr>
          <w:p>
            <w:pPr>
              <w:pStyle w:val="nTable"/>
              <w:spacing w:after="40"/>
              <w:rPr>
                <w:snapToGrid w:val="0"/>
              </w:rPr>
            </w:pPr>
            <w:r>
              <w:t>11 of 2016</w:t>
            </w:r>
          </w:p>
        </w:tc>
        <w:tc>
          <w:tcPr>
            <w:tcW w:w="1133" w:type="dxa"/>
            <w:tcBorders>
              <w:top w:val="nil"/>
              <w:bottom w:val="nil"/>
            </w:tcBorders>
            <w:shd w:val="clear" w:color="auto" w:fill="auto"/>
          </w:tcPr>
          <w:p>
            <w:pPr>
              <w:pStyle w:val="nTable"/>
              <w:spacing w:after="40"/>
            </w:pPr>
            <w:r>
              <w:t>26 May 2016</w:t>
            </w:r>
          </w:p>
        </w:tc>
        <w:tc>
          <w:tcPr>
            <w:tcW w:w="2556"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4" w:space="0" w:color="auto"/>
            <w:bottom w:val="single" w:sz="4" w:space="0" w:color="auto"/>
            <w:insideH w:val="single" w:sz="4" w:space="0" w:color="auto"/>
          </w:tblBorders>
        </w:tblPrEx>
        <w:tc>
          <w:tcPr>
            <w:tcW w:w="2266" w:type="dxa"/>
            <w:tcBorders>
              <w:top w:val="nil"/>
              <w:bottom w:val="single" w:sz="4" w:space="0" w:color="auto"/>
            </w:tcBorders>
            <w:shd w:val="clear" w:color="auto" w:fill="auto"/>
          </w:tcPr>
          <w:p>
            <w:pPr>
              <w:pStyle w:val="nTable"/>
              <w:spacing w:after="40"/>
              <w:rPr>
                <w:i/>
                <w:snapToGrid w:val="0"/>
              </w:rPr>
            </w:pPr>
            <w:r>
              <w:rPr>
                <w:i/>
              </w:rPr>
              <w:t xml:space="preserve">Public Health (Consequential </w:t>
            </w:r>
            <w:r>
              <w:rPr>
                <w:i/>
                <w:noProof/>
                <w:snapToGrid w:val="0"/>
              </w:rPr>
              <w:t>Provisions</w:t>
            </w:r>
            <w:r>
              <w:rPr>
                <w:i/>
              </w:rPr>
              <w:t>) Act 2016</w:t>
            </w:r>
            <w:r>
              <w:t xml:space="preserve"> Pt. 3 Div. 5</w:t>
            </w:r>
          </w:p>
        </w:tc>
        <w:tc>
          <w:tcPr>
            <w:tcW w:w="1134" w:type="dxa"/>
            <w:tcBorders>
              <w:top w:val="nil"/>
              <w:bottom w:val="single" w:sz="4" w:space="0" w:color="auto"/>
            </w:tcBorders>
            <w:shd w:val="clear" w:color="auto" w:fill="auto"/>
          </w:tcPr>
          <w:p>
            <w:pPr>
              <w:pStyle w:val="nTable"/>
              <w:spacing w:after="40"/>
            </w:pPr>
            <w:r>
              <w:t>19 of 2016</w:t>
            </w:r>
          </w:p>
        </w:tc>
        <w:tc>
          <w:tcPr>
            <w:tcW w:w="1133" w:type="dxa"/>
            <w:tcBorders>
              <w:top w:val="nil"/>
              <w:bottom w:val="single" w:sz="4" w:space="0" w:color="auto"/>
            </w:tcBorders>
            <w:shd w:val="clear" w:color="auto" w:fill="auto"/>
          </w:tcPr>
          <w:p>
            <w:pPr>
              <w:pStyle w:val="nTable"/>
              <w:spacing w:after="40"/>
            </w:pPr>
            <w:r>
              <w:t>25 Jul 2016</w:t>
            </w:r>
          </w:p>
        </w:tc>
        <w:tc>
          <w:tcPr>
            <w:tcW w:w="2556" w:type="dxa"/>
            <w:tcBorders>
              <w:top w:val="nil"/>
              <w:bottom w:val="single" w:sz="4" w:space="0" w:color="auto"/>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 w:name="_Toc473115685"/>
      <w:r>
        <w:t>Provisions that have not come into operation</w:t>
      </w:r>
      <w:bookmarkEnd w:id="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single" w:sz="4" w:space="0" w:color="auto"/>
            </w:tcBorders>
          </w:tcPr>
          <w:p>
            <w:pPr>
              <w:pStyle w:val="nTable"/>
              <w:spacing w:after="40"/>
              <w:rPr>
                <w:noProof/>
                <w:snapToGrid w:val="0"/>
                <w:vertAlign w:val="superscript"/>
              </w:rPr>
            </w:pPr>
            <w:r>
              <w:rPr>
                <w:i/>
                <w:snapToGrid w:val="0"/>
              </w:rPr>
              <w:t xml:space="preserve">Public Health (Consequential Provisions) Act 2016 </w:t>
            </w:r>
            <w:r>
              <w:rPr>
                <w:snapToGrid w:val="0"/>
              </w:rPr>
              <w:t>Pt. 5 Div. 2</w:t>
            </w:r>
            <w:r>
              <w:rPr>
                <w:snapToGrid w:val="0"/>
                <w:vertAlign w:val="superscript"/>
              </w:rPr>
              <w:t> 3</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6" w:type="dxa"/>
            <w:tcBorders>
              <w:top w:val="nil"/>
              <w:bottom w:val="single" w:sz="4" w:space="0" w:color="auto"/>
            </w:tcBorders>
          </w:tcPr>
          <w:p>
            <w:pPr>
              <w:pStyle w:val="nTable"/>
              <w:spacing w:after="40"/>
              <w:rPr>
                <w:snapToGrid w:val="0"/>
              </w:rPr>
            </w:pPr>
            <w:r>
              <w:rPr>
                <w:snapToGrid w:val="0"/>
              </w:rPr>
              <w:t>To be proclaimed (see s. 2(1)(c))</w:t>
            </w:r>
          </w:p>
        </w:tc>
      </w:tr>
    </w:tbl>
    <w:p>
      <w:pPr>
        <w:pStyle w:val="nSubsection"/>
        <w:rPr>
          <w:vertAlign w:val="superscript"/>
        </w:rPr>
      </w:pPr>
    </w:p>
    <w:p>
      <w:pPr>
        <w:pStyle w:val="nSubsection"/>
      </w:pPr>
      <w:r>
        <w:rPr>
          <w:vertAlign w:val="superscript"/>
        </w:rPr>
        <w:t>2</w:t>
      </w:r>
      <w:r>
        <w:tab/>
        <w:t xml:space="preserve">Day fixed is 15 September 1986 (see </w:t>
      </w:r>
      <w:r>
        <w:rPr>
          <w:i/>
        </w:rPr>
        <w:t>Gazette</w:t>
      </w:r>
      <w:r>
        <w:t xml:space="preserve"> 12 Sep 1986 p. 3343).</w:t>
      </w:r>
    </w:p>
    <w:p>
      <w:pPr>
        <w:pStyle w:val="nSubsection"/>
        <w:keepNext/>
        <w:keepLines/>
        <w:spacing w:before="120"/>
      </w:pPr>
      <w:r>
        <w:rPr>
          <w:vertAlign w:val="superscript"/>
        </w:rPr>
        <w:t>3</w:t>
      </w:r>
      <w:r>
        <w:tab/>
      </w:r>
      <w:r>
        <w:rPr>
          <w:snapToGrid w:val="0"/>
        </w:rPr>
        <w:t xml:space="preserve">On the date as at which this compilation was prepared, the </w:t>
      </w:r>
      <w:r>
        <w:rPr>
          <w:i/>
          <w:noProof/>
        </w:rPr>
        <w:t>Public Health (Consequential Provisions) Act 2016</w:t>
      </w:r>
      <w:r>
        <w:rPr>
          <w:noProof/>
        </w:rPr>
        <w:t xml:space="preserve"> </w:t>
      </w:r>
      <w:r>
        <w:t>Pt. 5 Div. 2</w:t>
      </w:r>
      <w:r>
        <w:rPr>
          <w:snapToGrid w:val="0"/>
        </w:rPr>
        <w:t xml:space="preserve"> 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2</w:t>
      </w:r>
      <w:r>
        <w:t> — </w:t>
      </w:r>
      <w:r>
        <w:rPr>
          <w:rStyle w:val="CharDivText"/>
          <w:i/>
        </w:rPr>
        <w:t>Blood Donation (Limitation of Liability) Act 1985 </w:t>
      </w:r>
      <w:r>
        <w:rPr>
          <w:rStyle w:val="CharDivText"/>
        </w:rPr>
        <w:t>amended</w:t>
      </w:r>
    </w:p>
    <w:p>
      <w:pPr>
        <w:pStyle w:val="nzHeading5"/>
      </w:pPr>
      <w:r>
        <w:rPr>
          <w:rStyle w:val="CharSectno"/>
        </w:rPr>
        <w:t>280</w:t>
      </w:r>
      <w:r>
        <w:t>.</w:t>
      </w:r>
      <w:r>
        <w:tab/>
        <w:t xml:space="preserve">Act </w:t>
      </w:r>
      <w:r>
        <w:rPr>
          <w:iCs/>
        </w:rPr>
        <w:t>amended</w:t>
      </w:r>
    </w:p>
    <w:p>
      <w:pPr>
        <w:pStyle w:val="nzSubsection"/>
      </w:pPr>
      <w:r>
        <w:tab/>
      </w:r>
      <w:r>
        <w:tab/>
        <w:t xml:space="preserve">This Division amends the </w:t>
      </w:r>
      <w:r>
        <w:rPr>
          <w:i/>
        </w:rPr>
        <w:t>Blood Donation (Limitation of Liability) Act 1985</w:t>
      </w:r>
      <w:r>
        <w:t>.</w:t>
      </w:r>
    </w:p>
    <w:p>
      <w:pPr>
        <w:pStyle w:val="nzHeading5"/>
      </w:pPr>
      <w:r>
        <w:rPr>
          <w:rStyle w:val="CharSectno"/>
        </w:rPr>
        <w:t>281</w:t>
      </w:r>
      <w:r>
        <w:t>.</w:t>
      </w:r>
      <w:r>
        <w:tab/>
        <w:t>Section 3 amended</w:t>
      </w:r>
    </w:p>
    <w:p>
      <w:pPr>
        <w:pStyle w:val="nzSubsection"/>
      </w:pPr>
      <w:r>
        <w:tab/>
      </w:r>
      <w:r>
        <w:tab/>
        <w:t xml:space="preserve">In section 3 in the definition of </w:t>
      </w:r>
      <w:r>
        <w:rPr>
          <w:b/>
          <w:i/>
        </w:rPr>
        <w:t>Transmissible Diseases Regulations</w:t>
      </w:r>
      <w:r>
        <w:t xml:space="preserve"> paragraph (a) delete “</w:t>
      </w:r>
      <w:r>
        <w:rPr>
          <w:i/>
        </w:rPr>
        <w:t>1911</w:t>
      </w:r>
      <w:r>
        <w:t>; and” and insert:</w:t>
      </w:r>
    </w:p>
    <w:p>
      <w:pPr>
        <w:pStyle w:val="BlankOpen"/>
      </w:pPr>
    </w:p>
    <w:p>
      <w:pPr>
        <w:pStyle w:val="nzSubsection"/>
      </w:pPr>
      <w:r>
        <w:rPr>
          <w:i/>
        </w:rPr>
        <w:tab/>
      </w:r>
      <w:r>
        <w:rPr>
          <w:i/>
        </w:rPr>
        <w:tab/>
        <w:t xml:space="preserve">1911 </w:t>
      </w:r>
      <w:r>
        <w:t xml:space="preserve">or the </w:t>
      </w:r>
      <w:r>
        <w:rPr>
          <w:i/>
        </w:rPr>
        <w:t>Public Health Act 2016</w:t>
      </w:r>
      <w:r>
        <w:t>; and</w:t>
      </w:r>
    </w:p>
    <w:p>
      <w:pPr>
        <w:pStyle w:val="BlankClose"/>
      </w:pPr>
    </w:p>
    <w:p>
      <w:pPr>
        <w:pStyle w:val="BlankClose"/>
      </w:pPr>
    </w:p>
    <w:p>
      <w:pPr>
        <w:rPr>
          <w:u w:val="words"/>
        </w:rPr>
      </w:pP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41" w:name="_Toc473115686"/>
      <w:r>
        <w:rPr>
          <w:sz w:val="28"/>
        </w:rPr>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hospital</w:t>
      </w:r>
      <w:r>
        <w:tab/>
        <w:t>6(1), 10(1)</w:t>
      </w:r>
    </w:p>
    <w:p>
      <w:pPr>
        <w:pStyle w:val="DefinedTerms"/>
      </w:pPr>
      <w:r>
        <w:t>AIDS</w:t>
      </w:r>
      <w:r>
        <w:tab/>
        <w:t>3</w:t>
      </w:r>
    </w:p>
    <w:p>
      <w:pPr>
        <w:pStyle w:val="DefinedTerms"/>
      </w:pPr>
      <w:r>
        <w:t>AIDS related action</w:t>
      </w:r>
      <w:r>
        <w:tab/>
        <w:t>3</w:t>
      </w:r>
    </w:p>
    <w:p>
      <w:pPr>
        <w:pStyle w:val="DefinedTerms"/>
      </w:pPr>
      <w:r>
        <w:t>approved</w:t>
      </w:r>
      <w:r>
        <w:tab/>
        <w:t>3</w:t>
      </w:r>
    </w:p>
    <w:p>
      <w:pPr>
        <w:pStyle w:val="DefinedTerms"/>
      </w:pPr>
      <w:r>
        <w:t>blood product</w:t>
      </w:r>
      <w:r>
        <w:tab/>
        <w:t>3</w:t>
      </w:r>
    </w:p>
    <w:p>
      <w:pPr>
        <w:pStyle w:val="DefinedTerms"/>
      </w:pPr>
      <w:r>
        <w:t>Chief Health Officer</w:t>
      </w:r>
      <w:r>
        <w:tab/>
        <w:t>3</w:t>
      </w:r>
    </w:p>
    <w:p>
      <w:pPr>
        <w:pStyle w:val="DefinedTerms"/>
      </w:pPr>
      <w:r>
        <w:t>Department</w:t>
      </w:r>
      <w:r>
        <w:tab/>
        <w:t>3</w:t>
      </w:r>
    </w:p>
    <w:p>
      <w:pPr>
        <w:pStyle w:val="DefinedTerms"/>
      </w:pPr>
      <w:r>
        <w:t>donor</w:t>
      </w:r>
      <w:r>
        <w:tab/>
        <w:t>3</w:t>
      </w:r>
    </w:p>
    <w:p>
      <w:pPr>
        <w:pStyle w:val="DefinedTerms"/>
      </w:pPr>
      <w:r>
        <w:t>donor declaration</w:t>
      </w:r>
      <w:r>
        <w:tab/>
        <w:t>3</w:t>
      </w:r>
    </w:p>
    <w:p>
      <w:pPr>
        <w:pStyle w:val="DefinedTerms"/>
      </w:pPr>
      <w:r>
        <w:t>hospital</w:t>
      </w:r>
      <w:r>
        <w:tab/>
        <w:t>3</w:t>
      </w:r>
    </w:p>
    <w:p>
      <w:pPr>
        <w:pStyle w:val="DefinedTerms"/>
      </w:pPr>
      <w:r>
        <w:t>injury</w:t>
      </w:r>
      <w:r>
        <w:tab/>
        <w:t>3A(2)</w:t>
      </w:r>
    </w:p>
    <w:p>
      <w:pPr>
        <w:pStyle w:val="DefinedTerms"/>
      </w:pPr>
      <w:r>
        <w:t>medical practitioner</w:t>
      </w:r>
      <w:r>
        <w:tab/>
        <w:t>3</w:t>
      </w:r>
    </w:p>
    <w:p>
      <w:pPr>
        <w:pStyle w:val="DefinedTerms"/>
      </w:pPr>
      <w:r>
        <w:t>Society</w:t>
      </w:r>
      <w:r>
        <w:tab/>
        <w:t>3</w:t>
      </w:r>
    </w:p>
    <w:p>
      <w:pPr>
        <w:pStyle w:val="DefinedTerms"/>
      </w:pPr>
      <w:r>
        <w:t>tissue</w:t>
      </w:r>
      <w:r>
        <w:tab/>
        <w:t>11(2)</w:t>
      </w:r>
    </w:p>
    <w:p>
      <w:pPr>
        <w:pStyle w:val="DefinedTerms"/>
      </w:pPr>
      <w:r>
        <w:t>Transmissible Diseases Regulations</w:t>
      </w:r>
      <w:r>
        <w:tab/>
        <w:t>3</w:t>
      </w:r>
    </w:p>
    <w:p>
      <w:pPr>
        <w:pStyle w:val="DefinedTerms"/>
      </w:pPr>
      <w:r>
        <w:t>worker</w:t>
      </w:r>
      <w:r>
        <w:tab/>
        <w:t>3A(2)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lvlText w:val="%1."/>
      <w:lvlJc w:val="left"/>
      <w:pPr>
        <w:tabs>
          <w:tab w:val="num" w:pos="1492"/>
        </w:tabs>
        <w:ind w:left="1492" w:hanging="360"/>
      </w:pPr>
    </w:lvl>
  </w:abstractNum>
  <w:abstractNum w:abstractNumId="1">
    <w:nsid w:val="FFFFFF7D"/>
    <w:multiLevelType w:val="singleLevel"/>
    <w:tmpl w:val="45FEA5E4"/>
    <w:lvl w:ilvl="0">
      <w:start w:val="1"/>
      <w:numFmt w:val="decimal"/>
      <w:lvlText w:val="%1."/>
      <w:lvlJc w:val="left"/>
      <w:pPr>
        <w:tabs>
          <w:tab w:val="num" w:pos="1209"/>
        </w:tabs>
        <w:ind w:left="1209" w:hanging="360"/>
      </w:pPr>
    </w:lvl>
  </w:abstractNum>
  <w:abstractNum w:abstractNumId="2">
    <w:nsid w:val="FFFFFF7E"/>
    <w:multiLevelType w:val="singleLevel"/>
    <w:tmpl w:val="BBFE720A"/>
    <w:lvl w:ilvl="0">
      <w:start w:val="1"/>
      <w:numFmt w:val="decimal"/>
      <w:lvlText w:val="%1."/>
      <w:lvlJc w:val="left"/>
      <w:pPr>
        <w:tabs>
          <w:tab w:val="num" w:pos="926"/>
        </w:tabs>
        <w:ind w:left="926" w:hanging="360"/>
      </w:pPr>
    </w:lvl>
  </w:abstractNum>
  <w:abstractNum w:abstractNumId="3">
    <w:nsid w:val="FFFFFF7F"/>
    <w:multiLevelType w:val="singleLevel"/>
    <w:tmpl w:val="FC8E9A1C"/>
    <w:lvl w:ilvl="0">
      <w:start w:val="1"/>
      <w:numFmt w:val="decimal"/>
      <w:lvlText w:val="%1."/>
      <w:lvlJc w:val="left"/>
      <w:pPr>
        <w:tabs>
          <w:tab w:val="num" w:pos="643"/>
        </w:tabs>
        <w:ind w:left="643" w:hanging="360"/>
      </w:pPr>
    </w:lvl>
  </w:abstractNum>
  <w:abstractNum w:abstractNumId="4">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lvlText w:val="%1."/>
      <w:lvlJc w:val="left"/>
      <w:pPr>
        <w:tabs>
          <w:tab w:val="num" w:pos="360"/>
        </w:tabs>
        <w:ind w:left="360" w:hanging="360"/>
      </w:pPr>
    </w:lvl>
  </w:abstractNum>
  <w:abstractNum w:abstractNumId="9">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617"/>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 w:name="WAFER_20170111145617" w:val="RemoveTocBookmarks,RemoveUnusedBookmarks,RemoveLanguageTags,UsedStyles,ResetPageSize"/>
    <w:docVar w:name="WAFER_20170111145617_GUID" w:val="d1f7b1d7-0ad4-4ef4-9a9e-505ee04d23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BDB4-91DA-4E76-B354-3F87FF99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5460</Words>
  <Characters>26208</Characters>
  <Application>Microsoft Office Word</Application>
  <DocSecurity>0</DocSecurity>
  <Lines>794</Lines>
  <Paragraphs>368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1985 - 02-e0-00</dc:title>
  <dc:subject/>
  <dc:creator/>
  <cp:keywords/>
  <dc:description/>
  <cp:lastModifiedBy>svcMRProcess</cp:lastModifiedBy>
  <cp:revision>4</cp:revision>
  <cp:lastPrinted>2012-09-28T01:42:00Z</cp:lastPrinted>
  <dcterms:created xsi:type="dcterms:W3CDTF">2017-01-25T06:25:00Z</dcterms:created>
  <dcterms:modified xsi:type="dcterms:W3CDTF">2017-01-25T06:25:00Z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DocumentType">
    <vt:lpwstr>Act</vt:lpwstr>
  </property>
  <property fmtid="{D5CDD505-2E9C-101B-9397-08002B2CF9AE}" pid="4" name="OwlsUID">
    <vt:i4>76</vt:i4>
  </property>
  <property fmtid="{D5CDD505-2E9C-101B-9397-08002B2CF9AE}" pid="5" name="ReprintNo">
    <vt:lpwstr>2</vt:lpwstr>
  </property>
  <property fmtid="{D5CDD505-2E9C-101B-9397-08002B2CF9AE}" pid="6" name="ReprintedAsAt">
    <vt:filetime>2012-09-20T16:00:00Z</vt:filetime>
  </property>
  <property fmtid="{D5CDD505-2E9C-101B-9397-08002B2CF9AE}" pid="7" name="AsAtDate">
    <vt:lpwstr>24 Jan 2017</vt:lpwstr>
  </property>
  <property fmtid="{D5CDD505-2E9C-101B-9397-08002B2CF9AE}" pid="8" name="Suffix">
    <vt:lpwstr>02-e0-00</vt:lpwstr>
  </property>
  <property fmtid="{D5CDD505-2E9C-101B-9397-08002B2CF9AE}" pid="9" name="CommencementDate">
    <vt:lpwstr>20170124</vt:lpwstr>
  </property>
</Properties>
</file>