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Poisons Act 1964</w:t>
      </w:r>
      <w:r>
        <w:fldChar w:fldCharType="end"/>
      </w:r>
    </w:p>
    <w:p>
      <w:pPr>
        <w:pStyle w:val="Subsection"/>
      </w:pPr>
      <w:r>
        <w:tab/>
      </w:r>
      <w:r>
        <w:tab/>
        <w:t xml:space="preserve">This Act was repealed by the </w:t>
      </w:r>
      <w:r>
        <w:rPr>
          <w:i/>
        </w:rPr>
        <w:t>Medicines and Poisons Act 2014</w:t>
      </w:r>
      <w:r>
        <w:t xml:space="preserve"> (No. 13 of 2014) s. 137 as at 30 Jan 2017 (see s. 2(b) and </w:t>
      </w:r>
      <w:r>
        <w:rPr>
          <w:i/>
        </w:rPr>
        <w:t xml:space="preserve">Gazette </w:t>
      </w:r>
      <w:r>
        <w:t>17 Jan 2017 p. 403).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Poisons Act 1964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 provisions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_Toc473109322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_Toc473109323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_Toc473109324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Construction</w:t>
      </w:r>
      <w:r>
        <w:tab/>
      </w:r>
      <w:r>
        <w:fldChar w:fldCharType="begin"/>
      </w:r>
      <w:r>
        <w:instrText xml:space="preserve"> PAGEREF _Toc473109325 \h </w:instrText>
      </w:r>
      <w:r>
        <w:fldChar w:fldCharType="separate"/>
      </w:r>
      <w:r>
        <w:t>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Crown bound</w:t>
      </w:r>
      <w:r>
        <w:tab/>
      </w:r>
      <w:r>
        <w:fldChar w:fldCharType="begin"/>
      </w:r>
      <w:r>
        <w:instrText xml:space="preserve"> PAGEREF _Toc473109326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Administration</w:t>
      </w:r>
      <w:r>
        <w:tab/>
      </w:r>
      <w:r>
        <w:fldChar w:fldCharType="begin"/>
      </w:r>
      <w:r>
        <w:instrText xml:space="preserve"> PAGEREF _Toc473109327 \h </w:instrText>
      </w:r>
      <w:r>
        <w:fldChar w:fldCharType="separate"/>
      </w:r>
      <w:r>
        <w:t>7</w:t>
      </w:r>
      <w:r>
        <w:fldChar w:fldCharType="end"/>
      </w:r>
    </w:p>
    <w:p>
      <w:pPr>
        <w:pStyle w:val="TOC8"/>
        <w:rPr>
          <w:rFonts w:asciiTheme="minorHAnsi" w:eastAsiaTheme="minorEastAsia" w:hAnsiTheme="minorHAnsi" w:cstheme="minorBidi"/>
          <w:szCs w:val="22"/>
        </w:rPr>
      </w:pPr>
      <w:r>
        <w:t>7A.</w:t>
      </w:r>
      <w:r>
        <w:tab/>
        <w:t>Application: industrial hemp, industrial hemp seed and processed industrial hemp</w:t>
      </w:r>
      <w:r>
        <w:tab/>
      </w:r>
      <w:r>
        <w:fldChar w:fldCharType="begin"/>
      </w:r>
      <w:r>
        <w:instrText xml:space="preserve"> PAGEREF _Toc473109328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Poisons Advisory Committee</w:t>
      </w:r>
    </w:p>
    <w:p>
      <w:pPr>
        <w:pStyle w:val="TOC8"/>
        <w:rPr>
          <w:rFonts w:asciiTheme="minorHAnsi" w:eastAsiaTheme="minorEastAsia" w:hAnsiTheme="minorHAnsi" w:cstheme="minorBidi"/>
          <w:szCs w:val="22"/>
        </w:rPr>
      </w:pPr>
      <w:r>
        <w:t>8</w:t>
      </w:r>
      <w:r>
        <w:rPr>
          <w:snapToGrid w:val="0"/>
        </w:rPr>
        <w:t>.</w:t>
      </w:r>
      <w:r>
        <w:rPr>
          <w:snapToGrid w:val="0"/>
        </w:rPr>
        <w:tab/>
        <w:t>Constitution of Poisons Advisory Committee</w:t>
      </w:r>
      <w:r>
        <w:tab/>
      </w:r>
      <w:r>
        <w:fldChar w:fldCharType="begin"/>
      </w:r>
      <w:r>
        <w:instrText xml:space="preserve"> PAGEREF _Toc473109330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default of nomination</w:t>
      </w:r>
      <w:r>
        <w:tab/>
      </w:r>
      <w:r>
        <w:fldChar w:fldCharType="begin"/>
      </w:r>
      <w:r>
        <w:instrText xml:space="preserve"> PAGEREF _Toc473109331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of office of nominee member</w:t>
      </w:r>
      <w:r>
        <w:tab/>
      </w:r>
      <w:r>
        <w:fldChar w:fldCharType="begin"/>
      </w:r>
      <w:r>
        <w:instrText xml:space="preserve"> PAGEREF _Toc473109332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Vacation of office</w:t>
      </w:r>
      <w:r>
        <w:tab/>
      </w:r>
      <w:r>
        <w:fldChar w:fldCharType="begin"/>
      </w:r>
      <w:r>
        <w:instrText xml:space="preserve"> PAGEREF _Toc473109333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Dismissal of members</w:t>
      </w:r>
      <w:r>
        <w:tab/>
      </w:r>
      <w:r>
        <w:fldChar w:fldCharType="begin"/>
      </w:r>
      <w:r>
        <w:instrText xml:space="preserve"> PAGEREF _Toc473109334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Leave of absence</w:t>
      </w:r>
      <w:r>
        <w:tab/>
      </w:r>
      <w:r>
        <w:fldChar w:fldCharType="begin"/>
      </w:r>
      <w:r>
        <w:instrText xml:space="preserve"> PAGEREF _Toc473109335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Deputies of members</w:t>
      </w:r>
      <w:r>
        <w:tab/>
      </w:r>
      <w:r>
        <w:fldChar w:fldCharType="begin"/>
      </w:r>
      <w:r>
        <w:instrText xml:space="preserve"> PAGEREF _Toc473109336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Acceptance of office</w:t>
      </w:r>
      <w:r>
        <w:tab/>
      </w:r>
      <w:r>
        <w:fldChar w:fldCharType="begin"/>
      </w:r>
      <w:r>
        <w:instrText xml:space="preserve"> PAGEREF _Toc473109337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Remuneration of members</w:t>
      </w:r>
      <w:r>
        <w:tab/>
      </w:r>
      <w:r>
        <w:fldChar w:fldCharType="begin"/>
      </w:r>
      <w:r>
        <w:instrText xml:space="preserve"> PAGEREF _Toc473109338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Meetings of Advisory Committee</w:t>
      </w:r>
      <w:r>
        <w:tab/>
      </w:r>
      <w:r>
        <w:fldChar w:fldCharType="begin"/>
      </w:r>
      <w:r>
        <w:instrText xml:space="preserve"> PAGEREF _Toc473109339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Officers of Advisory Committee</w:t>
      </w:r>
      <w:r>
        <w:tab/>
      </w:r>
      <w:r>
        <w:fldChar w:fldCharType="begin"/>
      </w:r>
      <w:r>
        <w:instrText xml:space="preserve"> PAGEREF _Toc473109340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Functions of Advisory Committee</w:t>
      </w:r>
      <w:r>
        <w:tab/>
      </w:r>
      <w:r>
        <w:fldChar w:fldCharType="begin"/>
      </w:r>
      <w:r>
        <w:instrText xml:space="preserve"> PAGEREF _Toc473109341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III — Poisons and other substances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Classification</w:t>
      </w:r>
    </w:p>
    <w:p>
      <w:pPr>
        <w:pStyle w:val="TOC8"/>
        <w:rPr>
          <w:rFonts w:asciiTheme="minorHAnsi" w:eastAsiaTheme="minorEastAsia" w:hAnsiTheme="minorHAnsi" w:cstheme="minorBidi"/>
          <w:szCs w:val="22"/>
        </w:rPr>
      </w:pPr>
      <w:r>
        <w:t>20</w:t>
      </w:r>
      <w:r>
        <w:rPr>
          <w:snapToGrid w:val="0"/>
        </w:rPr>
        <w:t>.</w:t>
      </w:r>
      <w:r>
        <w:rPr>
          <w:snapToGrid w:val="0"/>
        </w:rPr>
        <w:tab/>
        <w:t>Declaration of poisons</w:t>
      </w:r>
      <w:r>
        <w:tab/>
      </w:r>
      <w:r>
        <w:fldChar w:fldCharType="begin"/>
      </w:r>
      <w:r>
        <w:instrText xml:space="preserve"> PAGEREF _Toc473109344 \h </w:instrText>
      </w:r>
      <w:r>
        <w:fldChar w:fldCharType="separate"/>
      </w:r>
      <w:r>
        <w:t>15</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How poisons may be identified in Schedules</w:t>
      </w:r>
      <w:r>
        <w:tab/>
      </w:r>
      <w:r>
        <w:fldChar w:fldCharType="begin"/>
      </w:r>
      <w:r>
        <w:instrText xml:space="preserve"> PAGEREF _Toc473109345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Amendment of Appendix A</w:t>
      </w:r>
      <w:r>
        <w:tab/>
      </w:r>
      <w:r>
        <w:fldChar w:fldCharType="begin"/>
      </w:r>
      <w:r>
        <w:instrText xml:space="preserve"> PAGEREF _Toc473109346 \h </w:instrText>
      </w:r>
      <w:r>
        <w:fldChar w:fldCharType="separate"/>
      </w:r>
      <w:r>
        <w:t>17</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Exemption of substances from Act</w:t>
      </w:r>
      <w:r>
        <w:tab/>
      </w:r>
      <w:r>
        <w:fldChar w:fldCharType="begin"/>
      </w:r>
      <w:r>
        <w:instrText xml:space="preserve"> PAGEREF _Toc473109347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Sale of any poison may be prohibited</w:t>
      </w:r>
      <w:r>
        <w:tab/>
      </w:r>
      <w:r>
        <w:fldChar w:fldCharType="begin"/>
      </w:r>
      <w:r>
        <w:instrText xml:space="preserve"> PAGEREF _Toc473109348 \h </w:instrText>
      </w:r>
      <w:r>
        <w:fldChar w:fldCharType="separate"/>
      </w:r>
      <w:r>
        <w:t>18</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Specified drugs</w:t>
      </w:r>
      <w:r>
        <w:tab/>
      </w:r>
      <w:r>
        <w:fldChar w:fldCharType="begin"/>
      </w:r>
      <w:r>
        <w:instrText xml:space="preserve"> PAGEREF _Toc473109349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Sale of poisons</w:t>
      </w:r>
    </w:p>
    <w:p>
      <w:pPr>
        <w:pStyle w:val="TOC8"/>
        <w:rPr>
          <w:rFonts w:asciiTheme="minorHAnsi" w:eastAsiaTheme="minorEastAsia" w:hAnsiTheme="minorHAnsi" w:cstheme="minorBidi"/>
          <w:szCs w:val="22"/>
        </w:rPr>
      </w:pPr>
      <w:r>
        <w:t>23</w:t>
      </w:r>
      <w:r>
        <w:rPr>
          <w:snapToGrid w:val="0"/>
        </w:rPr>
        <w:t>.</w:t>
      </w:r>
      <w:r>
        <w:rPr>
          <w:snapToGrid w:val="0"/>
        </w:rPr>
        <w:tab/>
        <w:t>Persons authorised to sell poisons</w:t>
      </w:r>
      <w:r>
        <w:tab/>
      </w:r>
      <w:r>
        <w:fldChar w:fldCharType="begin"/>
      </w:r>
      <w:r>
        <w:instrText xml:space="preserve"> PAGEREF _Toc473109351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Licences to manufacture or sell poisons</w:t>
      </w:r>
      <w:r>
        <w:tab/>
      </w:r>
      <w:r>
        <w:fldChar w:fldCharType="begin"/>
      </w:r>
      <w:r>
        <w:instrText xml:space="preserve"> PAGEREF _Toc473109352 \h </w:instrText>
      </w:r>
      <w:r>
        <w:fldChar w:fldCharType="separate"/>
      </w:r>
      <w:r>
        <w:t>21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Permits to purchase poisons for specified purposes</w:t>
      </w:r>
      <w:r>
        <w:tab/>
      </w:r>
      <w:r>
        <w:fldChar w:fldCharType="begin"/>
      </w:r>
      <w:r>
        <w:instrText xml:space="preserve"> PAGEREF _Toc473109353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Form of licences and permits</w:t>
      </w:r>
      <w:r>
        <w:tab/>
      </w:r>
      <w:r>
        <w:fldChar w:fldCharType="begin"/>
      </w:r>
      <w:r>
        <w:instrText xml:space="preserve"> PAGEREF _Toc473109354 \h </w:instrText>
      </w:r>
      <w:r>
        <w:fldChar w:fldCharType="separate"/>
      </w:r>
      <w:r>
        <w:t>23</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Conditions</w:t>
      </w:r>
      <w:r>
        <w:tab/>
      </w:r>
      <w:r>
        <w:fldChar w:fldCharType="begin"/>
      </w:r>
      <w:r>
        <w:instrText xml:space="preserve"> PAGEREF _Toc473109355 \h </w:instrText>
      </w:r>
      <w:r>
        <w:fldChar w:fldCharType="separate"/>
      </w:r>
      <w:r>
        <w:t>24</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Duration of licences and permits</w:t>
      </w:r>
      <w:r>
        <w:tab/>
      </w:r>
      <w:r>
        <w:fldChar w:fldCharType="begin"/>
      </w:r>
      <w:r>
        <w:instrText xml:space="preserve"> PAGEREF _Toc473109356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Fees for licences, permits and renewals</w:t>
      </w:r>
      <w:r>
        <w:tab/>
      </w:r>
      <w:r>
        <w:fldChar w:fldCharType="begin"/>
      </w:r>
      <w:r>
        <w:instrText xml:space="preserve"> PAGEREF _Toc473109357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r>
      <w:r>
        <w:t xml:space="preserve">CEO </w:t>
      </w:r>
      <w:r>
        <w:rPr>
          <w:snapToGrid w:val="0"/>
        </w:rPr>
        <w:t>may cancel, suspend or revoke licence or permit</w:t>
      </w:r>
      <w:r>
        <w:tab/>
      </w:r>
      <w:r>
        <w:fldChar w:fldCharType="begin"/>
      </w:r>
      <w:r>
        <w:instrText xml:space="preserve"> PAGEREF _Toc473109358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 xml:space="preserve">Application to SAT for review of order of </w:t>
      </w:r>
      <w:r>
        <w:t>CEO</w:t>
      </w:r>
      <w:r>
        <w:tab/>
      </w:r>
      <w:r>
        <w:fldChar w:fldCharType="begin"/>
      </w:r>
      <w:r>
        <w:instrText xml:space="preserve"> PAGEREF _Toc473109359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not to be granted to company or friendly society</w:t>
      </w:r>
      <w:r>
        <w:tab/>
      </w:r>
      <w:r>
        <w:fldChar w:fldCharType="begin"/>
      </w:r>
      <w:r>
        <w:instrText xml:space="preserve"> PAGEREF _Toc473109360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provisions</w:t>
      </w:r>
    </w:p>
    <w:p>
      <w:pPr>
        <w:pStyle w:val="TOC8"/>
        <w:rPr>
          <w:rFonts w:asciiTheme="minorHAnsi" w:eastAsiaTheme="minorEastAsia" w:hAnsiTheme="minorHAnsi" w:cstheme="minorBidi"/>
          <w:szCs w:val="22"/>
        </w:rPr>
      </w:pPr>
      <w:r>
        <w:t>31</w:t>
      </w:r>
      <w:r>
        <w:rPr>
          <w:snapToGrid w:val="0"/>
        </w:rPr>
        <w:t>.</w:t>
      </w:r>
      <w:r>
        <w:rPr>
          <w:snapToGrid w:val="0"/>
        </w:rPr>
        <w:tab/>
        <w:t>Sales of poison to be recorded in a book</w:t>
      </w:r>
      <w:r>
        <w:tab/>
      </w:r>
      <w:r>
        <w:fldChar w:fldCharType="begin"/>
      </w:r>
      <w:r>
        <w:instrText xml:space="preserve"> PAGEREF _Toc473109362 \h </w:instrText>
      </w:r>
      <w:r>
        <w:fldChar w:fldCharType="separate"/>
      </w:r>
      <w:r>
        <w:t>27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Unauthorised sales of poisons</w:t>
      </w:r>
      <w:r>
        <w:tab/>
      </w:r>
      <w:r>
        <w:fldChar w:fldCharType="begin"/>
      </w:r>
      <w:r>
        <w:instrText xml:space="preserve"> PAGEREF _Toc473109363 \h </w:instrText>
      </w:r>
      <w:r>
        <w:fldChar w:fldCharType="separate"/>
      </w:r>
      <w:r>
        <w:t>27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Wholesaler not to sell by retail</w:t>
      </w:r>
      <w:r>
        <w:tab/>
      </w:r>
      <w:r>
        <w:fldChar w:fldCharType="begin"/>
      </w:r>
      <w:r>
        <w:instrText xml:space="preserve"> PAGEREF _Toc473109364 \h </w:instrText>
      </w:r>
      <w:r>
        <w:fldChar w:fldCharType="separate"/>
      </w:r>
      <w:r>
        <w:t>28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Sales to certain persons prohibited</w:t>
      </w:r>
      <w:r>
        <w:tab/>
      </w:r>
      <w:r>
        <w:fldChar w:fldCharType="begin"/>
      </w:r>
      <w:r>
        <w:instrText xml:space="preserve"> PAGEREF _Toc473109365 \h </w:instrText>
      </w:r>
      <w:r>
        <w:fldChar w:fldCharType="separate"/>
      </w:r>
      <w:r>
        <w:t>28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Making false declarations</w:t>
      </w:r>
      <w:r>
        <w:tab/>
      </w:r>
      <w:r>
        <w:fldChar w:fldCharType="begin"/>
      </w:r>
      <w:r>
        <w:instrText xml:space="preserve"> PAGEREF _Toc473109366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Drugs not to be used for self administration</w:t>
      </w:r>
      <w:r>
        <w:tab/>
      </w:r>
      <w:r>
        <w:fldChar w:fldCharType="begin"/>
      </w:r>
      <w:r>
        <w:instrText xml:space="preserve"> PAGEREF _Toc473109367 \h </w:instrText>
      </w:r>
      <w:r>
        <w:fldChar w:fldCharType="separate"/>
      </w:r>
      <w:r>
        <w:t>29</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Defence for persons participating in conduct of needle and syringe programmes</w:t>
      </w:r>
      <w:r>
        <w:tab/>
      </w:r>
      <w:r>
        <w:fldChar w:fldCharType="begin"/>
      </w:r>
      <w:r>
        <w:instrText xml:space="preserve"> PAGEREF _Toc473109368 \h </w:instrText>
      </w:r>
      <w:r>
        <w:fldChar w:fldCharType="separate"/>
      </w:r>
      <w:r>
        <w:t>29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Offences against this Part</w:t>
      </w:r>
      <w:r>
        <w:tab/>
      </w:r>
      <w:r>
        <w:fldChar w:fldCharType="begin"/>
      </w:r>
      <w:r>
        <w:instrText xml:space="preserve"> PAGEREF _Toc473109369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IV — Drugs of addiction</w:t>
      </w:r>
    </w:p>
    <w:p>
      <w:pPr>
        <w:pStyle w:val="TOC8"/>
        <w:rPr>
          <w:rFonts w:asciiTheme="minorHAnsi" w:eastAsiaTheme="minorEastAsia" w:hAnsiTheme="minorHAnsi" w:cstheme="minorBidi"/>
          <w:szCs w:val="22"/>
        </w:rPr>
      </w:pPr>
      <w:r>
        <w:t>41</w:t>
      </w:r>
      <w:r>
        <w:rPr>
          <w:snapToGrid w:val="0"/>
        </w:rPr>
        <w:t>.</w:t>
      </w:r>
      <w:r>
        <w:rPr>
          <w:snapToGrid w:val="0"/>
        </w:rPr>
        <w:tab/>
        <w:t>Use of Schedule 9 poisons for research etc.</w:t>
      </w:r>
      <w:r>
        <w:tab/>
      </w:r>
      <w:r>
        <w:fldChar w:fldCharType="begin"/>
      </w:r>
      <w:r>
        <w:instrText xml:space="preserve"> PAGEREF _Toc473109371 \h </w:instrText>
      </w:r>
      <w:r>
        <w:fldChar w:fldCharType="separate"/>
      </w:r>
      <w:r>
        <w:t>31</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Licence to cultivate prohibited plants</w:t>
      </w:r>
      <w:r>
        <w:tab/>
      </w:r>
      <w:r>
        <w:fldChar w:fldCharType="begin"/>
      </w:r>
      <w:r>
        <w:instrText xml:space="preserve"> PAGEREF _Toc473109372 \h </w:instrText>
      </w:r>
      <w:r>
        <w:fldChar w:fldCharType="separate"/>
      </w:r>
      <w:r>
        <w:t>31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Offences generally against this Part</w:t>
      </w:r>
      <w:r>
        <w:tab/>
      </w:r>
      <w:r>
        <w:fldChar w:fldCharType="begin"/>
      </w:r>
      <w:r>
        <w:instrText xml:space="preserve"> PAGEREF _Toc473109373 \h </w:instrText>
      </w:r>
      <w:r>
        <w:fldChar w:fldCharType="separate"/>
      </w:r>
      <w:r>
        <w:t>32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Term used: corresponding law</w:t>
      </w:r>
      <w:r>
        <w:tab/>
      </w:r>
      <w:r>
        <w:fldChar w:fldCharType="begin"/>
      </w:r>
      <w:r>
        <w:instrText xml:space="preserve"> PAGEREF _Toc473109374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 provisions</w:t>
      </w:r>
    </w:p>
    <w:p>
      <w:pPr>
        <w:pStyle w:val="TOC8"/>
        <w:rPr>
          <w:rFonts w:asciiTheme="minorHAnsi" w:eastAsiaTheme="minorEastAsia" w:hAnsiTheme="minorHAnsi" w:cstheme="minorBidi"/>
          <w:szCs w:val="22"/>
        </w:rPr>
      </w:pPr>
      <w:r>
        <w:t>46</w:t>
      </w:r>
      <w:r>
        <w:rPr>
          <w:snapToGrid w:val="0"/>
        </w:rPr>
        <w:t>.</w:t>
      </w:r>
      <w:r>
        <w:rPr>
          <w:snapToGrid w:val="0"/>
        </w:rPr>
        <w:tab/>
        <w:t>Containers of poisons to be marked or labelled</w:t>
      </w:r>
      <w:r>
        <w:tab/>
      </w:r>
      <w:r>
        <w:fldChar w:fldCharType="begin"/>
      </w:r>
      <w:r>
        <w:instrText xml:space="preserve"> PAGEREF _Toc473109376 \h </w:instrText>
      </w:r>
      <w:r>
        <w:fldChar w:fldCharType="separate"/>
      </w:r>
      <w:r>
        <w:t>34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Medicines for internal use not to be sold in certain packages or containers</w:t>
      </w:r>
      <w:r>
        <w:tab/>
      </w:r>
      <w:r>
        <w:fldChar w:fldCharType="begin"/>
      </w:r>
      <w:r>
        <w:instrText xml:space="preserve"> PAGEREF _Toc473109377 \h </w:instrText>
      </w:r>
      <w:r>
        <w:fldChar w:fldCharType="separate"/>
      </w:r>
      <w:r>
        <w:t>34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Prohibition against hawking etc.</w:t>
      </w:r>
      <w:r>
        <w:tab/>
      </w:r>
      <w:r>
        <w:fldChar w:fldCharType="begin"/>
      </w:r>
      <w:r>
        <w:instrText xml:space="preserve"> PAGEREF _Toc473109378 \h </w:instrText>
      </w:r>
      <w:r>
        <w:fldChar w:fldCharType="separate"/>
      </w:r>
      <w:r>
        <w:t>34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Prohibition against selling by automatic machines</w:t>
      </w:r>
      <w:r>
        <w:tab/>
      </w:r>
      <w:r>
        <w:fldChar w:fldCharType="begin"/>
      </w:r>
      <w:r>
        <w:instrText xml:space="preserve"> PAGEREF _Toc473109379 \h </w:instrText>
      </w:r>
      <w:r>
        <w:fldChar w:fldCharType="separate"/>
      </w:r>
      <w:r>
        <w:t>35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Leaving poisons unlabelled an offence</w:t>
      </w:r>
      <w:r>
        <w:tab/>
      </w:r>
      <w:r>
        <w:fldChar w:fldCharType="begin"/>
      </w:r>
      <w:r>
        <w:instrText xml:space="preserve"> PAGEREF _Toc473109380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VI — Supplementary provisions</w:t>
      </w:r>
    </w:p>
    <w:p>
      <w:pPr>
        <w:pStyle w:val="TOC8"/>
        <w:rPr>
          <w:rFonts w:asciiTheme="minorHAnsi" w:eastAsiaTheme="minorEastAsia" w:hAnsiTheme="minorHAnsi" w:cstheme="minorBidi"/>
          <w:szCs w:val="22"/>
        </w:rPr>
      </w:pPr>
      <w:r>
        <w:t>52</w:t>
      </w:r>
      <w:r>
        <w:rPr>
          <w:snapToGrid w:val="0"/>
        </w:rPr>
        <w:t>.</w:t>
      </w:r>
      <w:r>
        <w:rPr>
          <w:snapToGrid w:val="0"/>
        </w:rPr>
        <w:tab/>
        <w:t>Orders in Council may be cancelled or amended</w:t>
      </w:r>
      <w:r>
        <w:tab/>
      </w:r>
      <w:r>
        <w:fldChar w:fldCharType="begin"/>
      </w:r>
      <w:r>
        <w:instrText xml:space="preserve"> PAGEREF _Toc473109382 \h </w:instrText>
      </w:r>
      <w:r>
        <w:fldChar w:fldCharType="separate"/>
      </w:r>
      <w:r>
        <w:t>37</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Minister may declare person to be authorised officer</w:t>
      </w:r>
      <w:r>
        <w:tab/>
      </w:r>
      <w:r>
        <w:fldChar w:fldCharType="begin"/>
      </w:r>
      <w:r>
        <w:instrText xml:space="preserve"> PAGEREF _Toc473109383 \h </w:instrText>
      </w:r>
      <w:r>
        <w:fldChar w:fldCharType="separate"/>
      </w:r>
      <w:r>
        <w:t>37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Apprehension of offenders</w:t>
      </w:r>
      <w:r>
        <w:tab/>
      </w:r>
      <w:r>
        <w:fldChar w:fldCharType="begin"/>
      </w:r>
      <w:r>
        <w:instrText xml:space="preserve"> PAGEREF _Toc473109384 \h </w:instrText>
      </w:r>
      <w:r>
        <w:fldChar w:fldCharType="separate"/>
      </w:r>
      <w:r>
        <w:t>37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Routine inspection</w:t>
      </w:r>
      <w:r>
        <w:tab/>
      </w:r>
      <w:r>
        <w:fldChar w:fldCharType="begin"/>
      </w:r>
      <w:r>
        <w:instrText xml:space="preserve"> PAGEREF _Toc473109385 \h </w:instrText>
      </w:r>
      <w:r>
        <w:fldChar w:fldCharType="separate"/>
      </w:r>
      <w:r>
        <w:t>38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Powers in respect of premises, vehicles or vessels if offence suspected of being committed</w:t>
      </w:r>
      <w:r>
        <w:tab/>
      </w:r>
      <w:r>
        <w:fldChar w:fldCharType="begin"/>
      </w:r>
      <w:r>
        <w:instrText xml:space="preserve"> PAGEREF _Toc473109386 \h </w:instrText>
      </w:r>
      <w:r>
        <w:fldChar w:fldCharType="separate"/>
      </w:r>
      <w:r>
        <w:t>39</w:t>
      </w:r>
      <w:r>
        <w:fldChar w:fldCharType="end"/>
      </w:r>
    </w:p>
    <w:p>
      <w:pPr>
        <w:pStyle w:val="TOC8"/>
        <w:rPr>
          <w:rFonts w:asciiTheme="minorHAnsi" w:eastAsiaTheme="minorEastAsia" w:hAnsiTheme="minorHAnsi" w:cstheme="minorBidi"/>
          <w:szCs w:val="22"/>
        </w:rPr>
      </w:pPr>
      <w:r>
        <w:t>55A</w:t>
      </w:r>
      <w:r>
        <w:rPr>
          <w:snapToGrid w:val="0"/>
        </w:rPr>
        <w:t>.</w:t>
      </w:r>
      <w:r>
        <w:rPr>
          <w:snapToGrid w:val="0"/>
        </w:rPr>
        <w:tab/>
        <w:t>Warrants</w:t>
      </w:r>
      <w:r>
        <w:tab/>
      </w:r>
      <w:r>
        <w:fldChar w:fldCharType="begin"/>
      </w:r>
      <w:r>
        <w:instrText xml:space="preserve"> PAGEREF _Toc473109387 \h </w:instrText>
      </w:r>
      <w:r>
        <w:fldChar w:fldCharType="separate"/>
      </w:r>
      <w:r>
        <w:t>40</w:t>
      </w:r>
      <w:r>
        <w:fldChar w:fldCharType="end"/>
      </w:r>
    </w:p>
    <w:p>
      <w:pPr>
        <w:pStyle w:val="TOC8"/>
        <w:rPr>
          <w:rFonts w:asciiTheme="minorHAnsi" w:eastAsiaTheme="minorEastAsia" w:hAnsiTheme="minorHAnsi" w:cstheme="minorBidi"/>
          <w:szCs w:val="22"/>
        </w:rPr>
      </w:pPr>
      <w:r>
        <w:t>55B</w:t>
      </w:r>
      <w:r>
        <w:rPr>
          <w:snapToGrid w:val="0"/>
        </w:rPr>
        <w:t>.</w:t>
      </w:r>
      <w:r>
        <w:rPr>
          <w:snapToGrid w:val="0"/>
        </w:rPr>
        <w:tab/>
        <w:t>Person not to hinder or obstruct authorised officer</w:t>
      </w:r>
      <w:r>
        <w:tab/>
      </w:r>
      <w:r>
        <w:fldChar w:fldCharType="begin"/>
      </w:r>
      <w:r>
        <w:instrText xml:space="preserve"> PAGEREF _Toc473109388 \h </w:instrText>
      </w:r>
      <w:r>
        <w:fldChar w:fldCharType="separate"/>
      </w:r>
      <w:r>
        <w:t>40</w:t>
      </w:r>
      <w:r>
        <w:fldChar w:fldCharType="end"/>
      </w:r>
    </w:p>
    <w:p>
      <w:pPr>
        <w:pStyle w:val="TOC8"/>
        <w:rPr>
          <w:rFonts w:asciiTheme="minorHAnsi" w:eastAsiaTheme="minorEastAsia" w:hAnsiTheme="minorHAnsi" w:cstheme="minorBidi"/>
          <w:szCs w:val="22"/>
        </w:rPr>
      </w:pPr>
      <w:r>
        <w:t>55C</w:t>
      </w:r>
      <w:r>
        <w:rPr>
          <w:snapToGrid w:val="0"/>
        </w:rPr>
        <w:t>.</w:t>
      </w:r>
      <w:r>
        <w:rPr>
          <w:snapToGrid w:val="0"/>
        </w:rPr>
        <w:tab/>
      </w:r>
      <w:r>
        <w:rPr>
          <w:iCs/>
          <w:snapToGrid w:val="0"/>
        </w:rPr>
        <w:t xml:space="preserve">Sections 54 to 55A do not derogate from </w:t>
      </w:r>
      <w:r>
        <w:rPr>
          <w:i/>
          <w:snapToGrid w:val="0"/>
        </w:rPr>
        <w:t>Health Practitioner Regulation National Law (Western Australia)</w:t>
      </w:r>
      <w:r>
        <w:rPr>
          <w:iCs/>
          <w:snapToGrid w:val="0"/>
        </w:rPr>
        <w:t xml:space="preserve"> or </w:t>
      </w:r>
      <w:r>
        <w:rPr>
          <w:i/>
          <w:snapToGrid w:val="0"/>
        </w:rPr>
        <w:t>Misuse of Drugs Act 1981</w:t>
      </w:r>
      <w:r>
        <w:tab/>
      </w:r>
      <w:r>
        <w:fldChar w:fldCharType="begin"/>
      </w:r>
      <w:r>
        <w:instrText xml:space="preserve"> PAGEREF _Toc473109389 \h </w:instrText>
      </w:r>
      <w:r>
        <w:fldChar w:fldCharType="separate"/>
      </w:r>
      <w:r>
        <w:t>41</w:t>
      </w:r>
      <w:r>
        <w:fldChar w:fldCharType="end"/>
      </w:r>
    </w:p>
    <w:p>
      <w:pPr>
        <w:pStyle w:val="TOC8"/>
        <w:rPr>
          <w:rFonts w:asciiTheme="minorHAnsi" w:eastAsiaTheme="minorEastAsia" w:hAnsiTheme="minorHAnsi" w:cstheme="minorBidi"/>
          <w:szCs w:val="22"/>
        </w:rPr>
      </w:pPr>
      <w:r>
        <w:t>55D</w:t>
      </w:r>
      <w:r>
        <w:rPr>
          <w:snapToGrid w:val="0"/>
        </w:rPr>
        <w:t>.</w:t>
      </w:r>
      <w:r>
        <w:rPr>
          <w:snapToGrid w:val="0"/>
        </w:rPr>
        <w:tab/>
        <w:t>Order for forfeiture</w:t>
      </w:r>
      <w:r>
        <w:tab/>
      </w:r>
      <w:r>
        <w:fldChar w:fldCharType="begin"/>
      </w:r>
      <w:r>
        <w:instrText xml:space="preserve"> PAGEREF _Toc473109390 \h </w:instrText>
      </w:r>
      <w:r>
        <w:fldChar w:fldCharType="separate"/>
      </w:r>
      <w:r>
        <w:t>41</w:t>
      </w:r>
      <w:r>
        <w:fldChar w:fldCharType="end"/>
      </w:r>
    </w:p>
    <w:p>
      <w:pPr>
        <w:pStyle w:val="TOC8"/>
        <w:rPr>
          <w:rFonts w:asciiTheme="minorHAnsi" w:eastAsiaTheme="minorEastAsia" w:hAnsiTheme="minorHAnsi" w:cstheme="minorBidi"/>
          <w:szCs w:val="22"/>
        </w:rPr>
      </w:pPr>
      <w:r>
        <w:t>55E</w:t>
      </w:r>
      <w:r>
        <w:rPr>
          <w:snapToGrid w:val="0"/>
        </w:rPr>
        <w:t>.</w:t>
      </w:r>
      <w:r>
        <w:rPr>
          <w:snapToGrid w:val="0"/>
        </w:rPr>
        <w:tab/>
        <w:t>Powers to quarantine or destroy poisons in certain circumstances</w:t>
      </w:r>
      <w:r>
        <w:tab/>
      </w:r>
      <w:r>
        <w:fldChar w:fldCharType="begin"/>
      </w:r>
      <w:r>
        <w:instrText xml:space="preserve"> PAGEREF _Toc473109391 \h </w:instrText>
      </w:r>
      <w:r>
        <w:fldChar w:fldCharType="separate"/>
      </w:r>
      <w:r>
        <w:t>41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Sales by employees etc.</w:t>
      </w:r>
      <w:r>
        <w:tab/>
      </w:r>
      <w:r>
        <w:fldChar w:fldCharType="begin"/>
      </w:r>
      <w:r>
        <w:instrText xml:space="preserve"> PAGEREF _Toc473109392 \h </w:instrText>
      </w:r>
      <w:r>
        <w:fldChar w:fldCharType="separate"/>
      </w:r>
      <w:r>
        <w:t>42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Persons deemed to have sold poisons</w:t>
      </w:r>
      <w:r>
        <w:tab/>
      </w:r>
      <w:r>
        <w:fldChar w:fldCharType="begin"/>
      </w:r>
      <w:r>
        <w:instrText xml:space="preserve"> PAGEREF _Toc473109393 \h </w:instrText>
      </w:r>
      <w:r>
        <w:fldChar w:fldCharType="separate"/>
      </w:r>
      <w:r>
        <w:t>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Evidence on prosecutions</w:t>
      </w:r>
      <w:r>
        <w:tab/>
      </w:r>
      <w:r>
        <w:fldChar w:fldCharType="begin"/>
      </w:r>
      <w:r>
        <w:instrText xml:space="preserve"> PAGEREF _Toc473109394 \h </w:instrText>
      </w:r>
      <w:r>
        <w:fldChar w:fldCharType="separate"/>
      </w:r>
      <w:r>
        <w:t>44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Publication of list of licensed persons</w:t>
      </w:r>
      <w:r>
        <w:tab/>
      </w:r>
      <w:r>
        <w:fldChar w:fldCharType="begin"/>
      </w:r>
      <w:r>
        <w:instrText xml:space="preserve"> PAGEREF _Toc473109395 \h </w:instrText>
      </w:r>
      <w:r>
        <w:fldChar w:fldCharType="separate"/>
      </w:r>
      <w:r>
        <w:t>45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Proof of certificate of analysts</w:t>
      </w:r>
      <w:r>
        <w:tab/>
      </w:r>
      <w:r>
        <w:fldChar w:fldCharType="begin"/>
      </w:r>
      <w:r>
        <w:instrText xml:space="preserve"> PAGEREF _Toc473109396 \h </w:instrText>
      </w:r>
      <w:r>
        <w:fldChar w:fldCharType="separate"/>
      </w:r>
      <w:r>
        <w:t>45</w:t>
      </w:r>
      <w:r>
        <w:fldChar w:fldCharType="end"/>
      </w:r>
    </w:p>
    <w:p>
      <w:pPr>
        <w:pStyle w:val="TOC8"/>
        <w:rPr>
          <w:rFonts w:asciiTheme="minorHAnsi" w:eastAsiaTheme="minorEastAsia" w:hAnsiTheme="minorHAnsi" w:cstheme="minorBidi"/>
          <w:szCs w:val="22"/>
        </w:rPr>
      </w:pPr>
      <w:r>
        <w:t>61.</w:t>
      </w:r>
      <w:r>
        <w:tab/>
        <w:t>Evidence of qualifications</w:t>
      </w:r>
      <w:r>
        <w:tab/>
      </w:r>
      <w:r>
        <w:fldChar w:fldCharType="begin"/>
      </w:r>
      <w:r>
        <w:instrText xml:space="preserve"> PAGEREF _Toc473109397 \h </w:instrText>
      </w:r>
      <w:r>
        <w:fldChar w:fldCharType="separate"/>
      </w:r>
      <w:r>
        <w:t>46</w:t>
      </w:r>
      <w:r>
        <w:fldChar w:fldCharType="end"/>
      </w:r>
    </w:p>
    <w:p>
      <w:pPr>
        <w:pStyle w:val="TOC8"/>
        <w:rPr>
          <w:rFonts w:asciiTheme="minorHAnsi" w:eastAsiaTheme="minorEastAsia" w:hAnsiTheme="minorHAnsi" w:cstheme="minorBidi"/>
          <w:szCs w:val="22"/>
        </w:rPr>
      </w:pPr>
      <w:r>
        <w:t>61A</w:t>
      </w:r>
      <w:r>
        <w:rPr>
          <w:snapToGrid w:val="0"/>
        </w:rPr>
        <w:t>.</w:t>
      </w:r>
      <w:r>
        <w:rPr>
          <w:snapToGrid w:val="0"/>
        </w:rPr>
        <w:tab/>
        <w:t>Evidence of approval</w:t>
      </w:r>
      <w:r>
        <w:tab/>
      </w:r>
      <w:r>
        <w:fldChar w:fldCharType="begin"/>
      </w:r>
      <w:r>
        <w:instrText xml:space="preserve"> PAGEREF _Toc473109398 \h </w:instrText>
      </w:r>
      <w:r>
        <w:fldChar w:fldCharType="separate"/>
      </w:r>
      <w:r>
        <w:t>46</w:t>
      </w:r>
      <w:r>
        <w:fldChar w:fldCharType="end"/>
      </w:r>
    </w:p>
    <w:p>
      <w:pPr>
        <w:pStyle w:val="TOC8"/>
        <w:rPr>
          <w:rFonts w:asciiTheme="minorHAnsi" w:eastAsiaTheme="minorEastAsia" w:hAnsiTheme="minorHAnsi" w:cstheme="minorBidi"/>
          <w:szCs w:val="22"/>
        </w:rPr>
      </w:pPr>
      <w:r>
        <w:t>61B</w:t>
      </w:r>
      <w:r>
        <w:rPr>
          <w:snapToGrid w:val="0"/>
        </w:rPr>
        <w:t>.</w:t>
      </w:r>
      <w:r>
        <w:rPr>
          <w:snapToGrid w:val="0"/>
        </w:rPr>
        <w:tab/>
        <w:t>Evidence of contents of standard</w:t>
      </w:r>
      <w:r>
        <w:tab/>
      </w:r>
      <w:r>
        <w:fldChar w:fldCharType="begin"/>
      </w:r>
      <w:r>
        <w:instrText xml:space="preserve"> PAGEREF _Toc473109399 \h </w:instrText>
      </w:r>
      <w:r>
        <w:fldChar w:fldCharType="separate"/>
      </w:r>
      <w:r>
        <w:t>47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General penalty</w:t>
      </w:r>
      <w:r>
        <w:tab/>
      </w:r>
      <w:r>
        <w:fldChar w:fldCharType="begin"/>
      </w:r>
      <w:r>
        <w:instrText xml:space="preserve"> PAGEREF _Toc473109400 \h </w:instrText>
      </w:r>
      <w:r>
        <w:fldChar w:fldCharType="separate"/>
      </w:r>
      <w:r>
        <w:t>47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Protection from liability</w:t>
      </w:r>
      <w:r>
        <w:tab/>
      </w:r>
      <w:r>
        <w:fldChar w:fldCharType="begin"/>
      </w:r>
      <w:r>
        <w:instrText xml:space="preserve"> PAGEREF _Toc473109401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Regulations</w:t>
      </w:r>
      <w:r>
        <w:tab/>
      </w:r>
      <w:r>
        <w:fldChar w:fldCharType="begin"/>
      </w:r>
      <w:r>
        <w:instrText xml:space="preserve"> PAGEREF _Toc473109402 \h </w:instrText>
      </w:r>
      <w:r>
        <w:fldChar w:fldCharType="separate"/>
      </w:r>
      <w:r>
        <w:t>48</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Regulations may adopt standards</w:t>
      </w:r>
      <w:r>
        <w:tab/>
      </w:r>
      <w:r>
        <w:fldChar w:fldCharType="begin"/>
      </w:r>
      <w:r>
        <w:instrText xml:space="preserve"> PAGEREF _Toc473109403 \h </w:instrText>
      </w:r>
      <w:r>
        <w:fldChar w:fldCharType="separate"/>
      </w:r>
      <w:r>
        <w:t>53</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Copies of standards to be kept and made available to public</w:t>
      </w:r>
      <w:r>
        <w:tab/>
      </w:r>
      <w:r>
        <w:fldChar w:fldCharType="begin"/>
      </w:r>
      <w:r>
        <w:instrText xml:space="preserve"> PAGEREF _Toc473109404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Appendix A</w:t>
      </w:r>
    </w:p>
    <w:p>
      <w:pPr>
        <w:pStyle w:val="TOC8"/>
        <w:rPr>
          <w:rFonts w:asciiTheme="minorHAnsi" w:eastAsiaTheme="minorEastAsia" w:hAnsiTheme="minorHAnsi" w:cstheme="minorBidi"/>
          <w:szCs w:val="22"/>
        </w:rPr>
      </w:pPr>
      <w:r>
        <w:t>1</w:t>
      </w:r>
      <w:r>
        <w:rPr>
          <w:snapToGrid w:val="0"/>
        </w:rPr>
        <w:t>.</w:t>
      </w:r>
      <w:r>
        <w:rPr>
          <w:snapToGrid w:val="0"/>
        </w:rPr>
        <w:tab/>
        <w:t>Term used: SUSMP</w:t>
      </w:r>
      <w:r>
        <w:tab/>
      </w:r>
      <w:r>
        <w:fldChar w:fldCharType="begin"/>
      </w:r>
      <w:r>
        <w:instrText xml:space="preserve"> PAGEREF _Toc473109406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Schedule 6</w:t>
      </w:r>
    </w:p>
    <w:p>
      <w:pPr>
        <w:pStyle w:val="TOC2"/>
        <w:tabs>
          <w:tab w:val="right" w:leader="dot" w:pos="7077"/>
        </w:tabs>
        <w:rPr>
          <w:rFonts w:asciiTheme="minorHAnsi" w:eastAsiaTheme="minorEastAsia" w:hAnsiTheme="minorHAnsi" w:cstheme="minorBidi"/>
          <w:b w:val="0"/>
          <w:sz w:val="22"/>
          <w:szCs w:val="22"/>
        </w:rPr>
      </w:pPr>
      <w:r>
        <w:t>Schedule 7</w:t>
      </w:r>
    </w:p>
    <w:p>
      <w:pPr>
        <w:pStyle w:val="TOC2"/>
        <w:tabs>
          <w:tab w:val="right" w:leader="dot" w:pos="7077"/>
        </w:tabs>
        <w:rPr>
          <w:rFonts w:asciiTheme="minorHAnsi" w:eastAsiaTheme="minorEastAsia" w:hAnsiTheme="minorHAnsi" w:cstheme="minorBidi"/>
          <w:b w:val="0"/>
          <w:sz w:val="22"/>
          <w:szCs w:val="22"/>
        </w:rPr>
      </w:pPr>
      <w:r>
        <w:t>Schedule 8</w:t>
      </w:r>
    </w:p>
    <w:p>
      <w:pPr>
        <w:pStyle w:val="TOC2"/>
        <w:tabs>
          <w:tab w:val="right" w:leader="dot" w:pos="7077"/>
        </w:tabs>
        <w:rPr>
          <w:rFonts w:asciiTheme="minorHAnsi" w:eastAsiaTheme="minorEastAsia" w:hAnsiTheme="minorHAnsi" w:cstheme="minorBidi"/>
          <w:b w:val="0"/>
          <w:sz w:val="22"/>
          <w:szCs w:val="22"/>
        </w:rPr>
      </w:pPr>
      <w:r>
        <w:t>Schedule 9</w:t>
      </w:r>
    </w:p>
    <w:p>
      <w:pPr>
        <w:pStyle w:val="TOC2"/>
        <w:tabs>
          <w:tab w:val="right" w:leader="dot" w:pos="7077"/>
        </w:tabs>
        <w:rPr>
          <w:rFonts w:asciiTheme="minorHAnsi" w:eastAsiaTheme="minorEastAsia" w:hAnsiTheme="minorHAnsi" w:cstheme="minorBidi"/>
          <w:b w:val="0"/>
          <w:sz w:val="22"/>
          <w:szCs w:val="22"/>
        </w:rPr>
      </w:pPr>
      <w:r>
        <w:t>Appendix B</w:t>
      </w:r>
    </w:p>
    <w:p>
      <w:pPr>
        <w:pStyle w:val="TOC2"/>
        <w:tabs>
          <w:tab w:val="right" w:leader="dot" w:pos="7077"/>
        </w:tabs>
        <w:rPr>
          <w:rFonts w:asciiTheme="minorHAnsi" w:eastAsiaTheme="minorEastAsia" w:hAnsiTheme="minorHAnsi" w:cstheme="minorBidi"/>
          <w:b w:val="0"/>
          <w:sz w:val="22"/>
          <w:szCs w:val="22"/>
        </w:rPr>
      </w:pPr>
      <w:r>
        <w:t>Conventions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_Toc473109419 \h </w:instrText>
      </w:r>
      <w:r>
        <w:fldChar w:fldCharType="separate"/>
      </w:r>
      <w:r>
        <w:t>63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_Toc473109420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rPr>
          <w:b/>
          <w:sz w:val="22"/>
        </w:rPr>
      </w:pPr>
      <w:r>
        <w:t>Western Australia</w:t>
      </w:r>
    </w:p>
    <w:p>
      <w:pPr>
        <w:pStyle w:val="NameofActReg"/>
        <w:spacing w:before="960" w:after="1080"/>
      </w:pPr>
      <w:r>
        <w:t>Poisons Act 1964</w:t>
      </w:r>
    </w:p>
    <w:p>
      <w:pPr>
        <w:pStyle w:val="LongTitle"/>
        <w:spacing w:before="240"/>
        <w:rPr>
          <w:snapToGrid w:val="0"/>
        </w:rPr>
      </w:pPr>
      <w:r>
        <w:rPr>
          <w:snapToGrid w:val="0"/>
        </w:rPr>
        <w:t>An Act to regulate and control the possession, sale and use of poisons and other substances; to constitute a Poisons Advisory Committee; and for incidental and other purposes.</w:t>
      </w:r>
    </w:p>
    <w:p>
      <w:pPr>
        <w:pStyle w:val="Heading2"/>
      </w:pPr>
      <w:bookmarkStart w:id="3" w:name="_Toc473109321"/>
      <w:r>
        <w:rPr>
          <w:rStyle w:val="CharPartNo"/>
        </w:rPr>
        <w:t>Part I</w:t>
      </w:r>
      <w:r>
        <w:rPr>
          <w:rStyle w:val="CharDivNo"/>
        </w:rPr>
        <w:t> </w:t>
      </w:r>
      <w:r>
        <w:t>—</w:t>
      </w:r>
      <w:r>
        <w:rPr>
          <w:rStyle w:val="CharDivText"/>
        </w:rPr>
        <w:t> </w:t>
      </w:r>
      <w:r>
        <w:rPr>
          <w:rStyle w:val="CharPartText"/>
        </w:rPr>
        <w:t>Introductory provisions</w:t>
      </w:r>
      <w:bookmarkEnd w:id="3"/>
    </w:p>
    <w:p>
      <w:pPr>
        <w:pStyle w:val="Heading5"/>
        <w:rPr>
          <w:snapToGrid w:val="0"/>
        </w:rPr>
      </w:pPr>
      <w:bookmarkStart w:id="4" w:name="_Toc473109322"/>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5" w:name="_Toc473109323"/>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r>
        <w:t>[</w:t>
      </w:r>
      <w:r>
        <w:rPr>
          <w:b/>
        </w:rPr>
        <w:t>4.</w:t>
      </w:r>
      <w:r>
        <w:tab/>
        <w:t>Deleted by No. 48 of 1995 s. 4.]</w:t>
      </w:r>
    </w:p>
    <w:p>
      <w:pPr>
        <w:pStyle w:val="Heading5"/>
        <w:rPr>
          <w:snapToGrid w:val="0"/>
        </w:rPr>
      </w:pPr>
      <w:bookmarkStart w:id="6" w:name="_Toc473109324"/>
      <w:r>
        <w:rPr>
          <w:rStyle w:val="CharSectno"/>
        </w:rPr>
        <w:t>5</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w:t>
      </w:r>
    </w:p>
    <w:p>
      <w:pPr>
        <w:pStyle w:val="Ednotepara"/>
      </w:pPr>
      <w:r>
        <w:tab/>
        <w:t>[(a)</w:t>
      </w:r>
      <w:r>
        <w:tab/>
        <w:t>deleted]</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90"/>
      </w:pPr>
      <w:r>
        <w:rPr>
          <w:b/>
        </w:rPr>
        <w:tab/>
      </w:r>
      <w:r>
        <w:rPr>
          <w:rStyle w:val="CharDefText"/>
        </w:rPr>
        <w:t>container</w:t>
      </w:r>
      <w:r>
        <w:t>, in relation to a thing, means any bottle, vessel, tube, sachet, ampoule, syringe, vial, or other receptacle in which the thing is contained;</w:t>
      </w:r>
    </w:p>
    <w:p>
      <w:pPr>
        <w:pStyle w:val="Defstart"/>
        <w:spacing w:before="90"/>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spacing w:before="90"/>
      </w:pPr>
      <w:r>
        <w:rPr>
          <w:b/>
        </w:rPr>
        <w:tab/>
      </w:r>
      <w:r>
        <w:rPr>
          <w:rStyle w:val="CharDefText"/>
        </w:rPr>
        <w:t>department</w:t>
      </w:r>
      <w:r>
        <w:t xml:space="preserve"> means the department of the Public Service of the State principally assisting the Minister in the administration of this Act;</w:t>
      </w:r>
    </w:p>
    <w:p>
      <w:pPr>
        <w:pStyle w:val="Defstart"/>
        <w:spacing w:before="90"/>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spacing w:before="90"/>
      </w:pPr>
      <w:r>
        <w:rPr>
          <w:b/>
        </w:rPr>
        <w:tab/>
      </w:r>
      <w:r>
        <w:rPr>
          <w:rStyle w:val="CharDefText"/>
        </w:rPr>
        <w:t>drug of addiction</w:t>
      </w:r>
      <w:r>
        <w:t xml:space="preserve"> means any substance included in Schedule 8 or 9;</w:t>
      </w:r>
    </w:p>
    <w:p>
      <w:pPr>
        <w:pStyle w:val="Defstart"/>
        <w:spacing w:before="90"/>
      </w:pPr>
      <w:r>
        <w:tab/>
      </w:r>
      <w:r>
        <w:rPr>
          <w:rStyle w:val="CharDefText"/>
        </w:rPr>
        <w:t>endorsed health practitioner</w:t>
      </w:r>
      <w:r>
        <w:t xml:space="preserve">, in relation to a scheduled medicine or class of scheduled medicine, means a health practitioner who is registered under the </w:t>
      </w:r>
      <w:r>
        <w:rPr>
          <w:i/>
        </w:rPr>
        <w:t>Health Practitioner Regulation National Law (Western Australia)</w:t>
      </w:r>
      <w:r>
        <w:rPr>
          <w:iCs/>
        </w:rPr>
        <w:t xml:space="preserve"> to practise a health profession and whose registration is endorsed to </w:t>
      </w:r>
      <w:r>
        <w:t>administer, obtain, possess, prescribe, sell, supply or use</w:t>
      </w:r>
      <w:r>
        <w:rPr>
          <w:iCs/>
        </w:rPr>
        <w:t xml:space="preserve"> the </w:t>
      </w:r>
      <w:r>
        <w:t>scheduled medicine or class of scheduled medicine;</w:t>
      </w:r>
    </w:p>
    <w:p>
      <w:pPr>
        <w:pStyle w:val="Defstart"/>
        <w:spacing w:before="90"/>
      </w:pPr>
      <w:r>
        <w:rPr>
          <w:b/>
        </w:rPr>
        <w:tab/>
      </w:r>
      <w:r>
        <w:rPr>
          <w:rStyle w:val="CharDefText"/>
        </w:rPr>
        <w:t>internal use</w:t>
      </w:r>
      <w:r>
        <w:t xml:space="preserve"> means administration —</w:t>
      </w:r>
    </w:p>
    <w:p>
      <w:pPr>
        <w:pStyle w:val="Defpara"/>
        <w:spacing w:before="90"/>
      </w:pPr>
      <w:r>
        <w:tab/>
        <w:t>(a)</w:t>
      </w:r>
      <w:r>
        <w:tab/>
        <w:t>orally, except for topical effect in the mouth; or</w:t>
      </w:r>
    </w:p>
    <w:p>
      <w:pPr>
        <w:pStyle w:val="Defpara"/>
        <w:spacing w:before="90"/>
      </w:pPr>
      <w:r>
        <w:tab/>
        <w:t>(b)</w:t>
      </w:r>
      <w:r>
        <w:tab/>
        <w:t>for absorption and the production of a systemic effect —</w:t>
      </w:r>
    </w:p>
    <w:p>
      <w:pPr>
        <w:pStyle w:val="Defsubpara"/>
        <w:spacing w:before="90"/>
      </w:pPr>
      <w:r>
        <w:tab/>
        <w:t>(i)</w:t>
      </w:r>
      <w:r>
        <w:tab/>
        <w:t>by way of a body orifice other than the mouth; or</w:t>
      </w:r>
    </w:p>
    <w:p>
      <w:pPr>
        <w:pStyle w:val="Defsubpara"/>
        <w:spacing w:before="90"/>
      </w:pPr>
      <w:r>
        <w:tab/>
        <w:t>(ii)</w:t>
      </w:r>
      <w:r>
        <w:tab/>
        <w:t>parenterally, other than by application to unbroken skin;</w:t>
      </w:r>
    </w:p>
    <w:p>
      <w:pPr>
        <w:pStyle w:val="Defstart"/>
        <w:spacing w:before="90"/>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spacing w:before="90"/>
      </w:pPr>
      <w:r>
        <w:rPr>
          <w:b/>
        </w:rPr>
        <w:tab/>
      </w:r>
      <w:r>
        <w:rPr>
          <w:rStyle w:val="CharDefText"/>
        </w:rPr>
        <w:t>licence</w:t>
      </w:r>
      <w:r>
        <w:t xml:space="preserve"> means a licence granted under this Act that is valid and unexpired;</w:t>
      </w:r>
    </w:p>
    <w:p>
      <w:pPr>
        <w:pStyle w:val="Defstart"/>
        <w:spacing w:before="90"/>
      </w:pPr>
      <w:r>
        <w:rPr>
          <w:b/>
        </w:rPr>
        <w:tab/>
      </w:r>
      <w:r>
        <w:rPr>
          <w:rStyle w:val="CharDefText"/>
        </w:rPr>
        <w:t>licensee</w:t>
      </w:r>
      <w:r>
        <w:t xml:space="preserve"> means a person who holds or is entitled to exercise a licence under this Act;</w:t>
      </w:r>
    </w:p>
    <w:p>
      <w:pPr>
        <w:pStyle w:val="Defstart"/>
        <w:spacing w:before="90"/>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spacing w:before="90"/>
      </w:pPr>
      <w:r>
        <w:tab/>
      </w:r>
      <w:r>
        <w:rPr>
          <w:rStyle w:val="CharDefText"/>
        </w:rPr>
        <w:t>medicine</w:t>
      </w:r>
      <w:r>
        <w:t xml:space="preserve"> means a substance included in Schedule 2, 3, 4 or 8;</w:t>
      </w:r>
    </w:p>
    <w:p>
      <w:pPr>
        <w:pStyle w:val="Defstart"/>
        <w:spacing w:before="90"/>
      </w:pPr>
      <w:r>
        <w:rPr>
          <w:b/>
        </w:rPr>
        <w:tab/>
      </w:r>
      <w:r>
        <w:rPr>
          <w:rStyle w:val="CharDefText"/>
        </w:rPr>
        <w:t>member</w:t>
      </w:r>
      <w:r>
        <w:t xml:space="preserve"> means a person occupying any of the offices of the Advisory Committee, including that of chairman;</w:t>
      </w:r>
    </w:p>
    <w:p>
      <w:pPr>
        <w:pStyle w:val="Defstart"/>
        <w:spacing w:before="90"/>
      </w:pPr>
      <w:r>
        <w:rPr>
          <w:b/>
        </w:rPr>
        <w:tab/>
      </w:r>
      <w:r>
        <w:rPr>
          <w:rStyle w:val="CharDefText"/>
        </w:rPr>
        <w:t>needle and syringe programme</w:t>
      </w:r>
      <w:r>
        <w:t xml:space="preserve"> means a programme to do one or more of the following —</w:t>
      </w:r>
    </w:p>
    <w:p>
      <w:pPr>
        <w:pStyle w:val="Defpara"/>
        <w:spacing w:before="90"/>
      </w:pPr>
      <w:r>
        <w:tab/>
        <w:t>(a)</w:t>
      </w:r>
      <w:r>
        <w:tab/>
        <w:t>to supply persons with sterile hypodermic syringes or sterile hypodermic needles; or</w:t>
      </w:r>
    </w:p>
    <w:p>
      <w:pPr>
        <w:pStyle w:val="Defpara"/>
        <w:spacing w:before="90"/>
      </w:pPr>
      <w:r>
        <w:tab/>
        <w:t>(b)</w:t>
      </w:r>
      <w:r>
        <w:tab/>
        <w:t>to facilitate the safe disposal of used hypodermic syringes or used hypodermic needles; or</w:t>
      </w:r>
    </w:p>
    <w:p>
      <w:pPr>
        <w:pStyle w:val="Defpara"/>
        <w:spacing w:before="90"/>
      </w:pPr>
      <w:r>
        <w:tab/>
        <w:t>(c)</w:t>
      </w:r>
      <w:r>
        <w:tab/>
        <w:t>to advise, counsel or disseminate information to persons,</w:t>
      </w:r>
    </w:p>
    <w:p>
      <w:pPr>
        <w:pStyle w:val="Defstart"/>
        <w:spacing w:before="90"/>
      </w:pPr>
      <w:r>
        <w:tab/>
        <w:t>principally for the purpose of preventing the spread of bloodborne infectious diseases;</w:t>
      </w:r>
    </w:p>
    <w:p>
      <w:pPr>
        <w:pStyle w:val="Defstart"/>
        <w:spacing w:before="90"/>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spacing w:before="90"/>
      </w:pPr>
      <w:r>
        <w:rPr>
          <w:b/>
        </w:rPr>
        <w:tab/>
      </w:r>
      <w:r>
        <w:rPr>
          <w:rStyle w:val="CharDefText"/>
        </w:rPr>
        <w:t>package</w:t>
      </w:r>
      <w:r>
        <w:t>, in relation to a thing, means any box, wrapper, strip pack, blister pack or other thing in which the thing is wrapped or packaged;</w:t>
      </w:r>
    </w:p>
    <w:p>
      <w:pPr>
        <w:pStyle w:val="Defstart"/>
        <w:spacing w:before="90"/>
      </w:pPr>
      <w:r>
        <w:tab/>
      </w:r>
      <w:r>
        <w:rPr>
          <w:rStyle w:val="CharDefText"/>
        </w:rPr>
        <w:t>pharmacist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spacing w:before="90"/>
      </w:pPr>
      <w:r>
        <w:rPr>
          <w:b/>
        </w:rPr>
        <w:tab/>
      </w:r>
      <w:r>
        <w:rPr>
          <w:rStyle w:val="CharDefText"/>
        </w:rPr>
        <w:t>poison</w:t>
      </w:r>
      <w:r>
        <w:t xml:space="preserve"> means any substance included in a Schedule;</w:t>
      </w:r>
    </w:p>
    <w:p>
      <w:pPr>
        <w:pStyle w:val="Defstart"/>
        <w:spacing w:before="90"/>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spacing w:before="90"/>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spacing w:before="90"/>
      </w:pPr>
      <w:r>
        <w:rPr>
          <w:b/>
        </w:rPr>
        <w:tab/>
      </w:r>
      <w:r>
        <w:rPr>
          <w:rStyle w:val="CharDefText"/>
        </w:rPr>
        <w:t>Schedule</w:t>
      </w:r>
      <w:r>
        <w:t xml:space="preserve"> means a Schedule in Appendix A;</w:t>
      </w:r>
    </w:p>
    <w:p>
      <w:pPr>
        <w:pStyle w:val="Defstart"/>
        <w:spacing w:before="90"/>
      </w:pPr>
      <w:r>
        <w:rPr>
          <w:b/>
        </w:rPr>
        <w:tab/>
      </w:r>
      <w:r>
        <w:rPr>
          <w:rStyle w:val="CharDefText"/>
        </w:rPr>
        <w:t>specified</w:t>
      </w:r>
      <w:r>
        <w:t>, in relation to a regulation, order, notice or other instrument, means specified in the regulation, order, notice or other instrument (as the case may be);</w:t>
      </w:r>
    </w:p>
    <w:p>
      <w:pPr>
        <w:pStyle w:val="Defstart"/>
        <w:spacing w:before="90"/>
      </w:pPr>
      <w:r>
        <w:rPr>
          <w:b/>
        </w:rPr>
        <w:tab/>
      </w:r>
      <w:r>
        <w:rPr>
          <w:rStyle w:val="CharDefText"/>
        </w:rPr>
        <w:t>specified drug</w:t>
      </w:r>
      <w:r>
        <w:t xml:space="preserve"> means any substance that is declared to be a specified drug for the purposes of this Act;</w:t>
      </w:r>
    </w:p>
    <w:p>
      <w:pPr>
        <w:pStyle w:val="Defstart"/>
        <w:spacing w:before="90"/>
      </w:pPr>
      <w:r>
        <w:rPr>
          <w:b/>
        </w:rPr>
        <w:tab/>
      </w:r>
      <w:r>
        <w:rPr>
          <w:rStyle w:val="CharDefText"/>
        </w:rPr>
        <w:t>standard</w:t>
      </w:r>
      <w:r>
        <w:t xml:space="preserve"> includes a code or other document;</w:t>
      </w:r>
    </w:p>
    <w:p>
      <w:pPr>
        <w:pStyle w:val="Defstart"/>
        <w:spacing w:before="90"/>
      </w:pPr>
      <w:r>
        <w:rPr>
          <w:b/>
        </w:rPr>
        <w:tab/>
      </w:r>
      <w:r>
        <w:rPr>
          <w:rStyle w:val="CharDefText"/>
        </w:rPr>
        <w:t>substance</w:t>
      </w:r>
      <w:r>
        <w:t xml:space="preserve"> includes substance, material, compound, preparation, and admixture;</w:t>
      </w:r>
    </w:p>
    <w:p>
      <w:pPr>
        <w:pStyle w:val="Defstart"/>
        <w:spacing w:before="90"/>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spacing w:before="90"/>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spacing w:before="90"/>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[Section 5 amended by No. 23 of 1966 s. 2; No. 6 of 1969 s. 3; No. 28 of 1984 s. 90; No. 12 of 1994 s. 4; No. 48 of 1995 s. 5; No. 9 of 2003 s. 35; No. 28 of 2006 s. 280; No. 50 of 2006 Sch. 3 cl. 17(2); No. 22 of 2008 Sch. 3 cl. 46(2); No. 35 of 2010 s. 124; No. 19 of 2016 s. 176.]</w:t>
      </w:r>
    </w:p>
    <w:p>
      <w:pPr>
        <w:pStyle w:val="Heading5"/>
        <w:spacing w:before="180"/>
        <w:rPr>
          <w:snapToGrid w:val="0"/>
        </w:rPr>
      </w:pPr>
      <w:bookmarkStart w:id="7" w:name="_Toc473109325"/>
      <w:r>
        <w:rPr>
          <w:rStyle w:val="CharSectno"/>
        </w:rPr>
        <w:t>6</w:t>
      </w:r>
      <w:r>
        <w:rPr>
          <w:snapToGrid w:val="0"/>
        </w:rPr>
        <w:t>.</w:t>
      </w:r>
      <w:r>
        <w:rPr>
          <w:snapToGrid w:val="0"/>
        </w:rPr>
        <w:tab/>
        <w:t>Construction</w:t>
      </w:r>
      <w:bookmarkEnd w:id="7"/>
    </w:p>
    <w:p>
      <w:pPr>
        <w:pStyle w:val="Subsection"/>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iCs/>
        </w:rPr>
        <w:t>Health (Miscellaneous Provisions) Act 1911</w:t>
      </w:r>
      <w:r>
        <w:t xml:space="preserve">, </w:t>
      </w:r>
      <w:r>
        <w:rPr>
          <w:snapToGrid w:val="0"/>
        </w:rPr>
        <w:t xml:space="preserve">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[Section 6 amended by No. 57 of 1981 s. 14; No. 14 of 1996 s. 4; No. 19 of 2016 s. 177.]</w:t>
      </w:r>
    </w:p>
    <w:p>
      <w:pPr>
        <w:pStyle w:val="Heading5"/>
        <w:rPr>
          <w:snapToGrid w:val="0"/>
        </w:rPr>
      </w:pPr>
      <w:bookmarkStart w:id="8" w:name="_Toc473109326"/>
      <w:r>
        <w:rPr>
          <w:rStyle w:val="CharSectno"/>
        </w:rPr>
        <w:t>6A</w:t>
      </w:r>
      <w:r>
        <w:rPr>
          <w:snapToGrid w:val="0"/>
        </w:rPr>
        <w:t>.</w:t>
      </w:r>
      <w:r>
        <w:rPr>
          <w:snapToGrid w:val="0"/>
        </w:rPr>
        <w:tab/>
        <w:t>Crown bound</w:t>
      </w:r>
      <w:bookmarkEnd w:id="8"/>
    </w:p>
    <w:p>
      <w:pPr>
        <w:pStyle w:val="Subsection"/>
        <w:rPr>
          <w:snapToGrid w:val="0"/>
        </w:rPr>
      </w:pPr>
      <w:r>
        <w:rPr>
          <w:snapToGrid w:val="0"/>
        </w:rPr>
        <w:tab/>
      </w:r>
      <w:r>
        <w:rPr>
          <w:snapToGrid w:val="0"/>
        </w:rPr>
        <w:tab/>
        <w:t>This Act binds the Crown.</w:t>
      </w:r>
    </w:p>
    <w:p>
      <w:pPr>
        <w:pStyle w:val="Footnotesection"/>
      </w:pPr>
      <w:r>
        <w:tab/>
        <w:t>[Section 6A inserted by No. 48 of 1995 s. 6.]</w:t>
      </w:r>
    </w:p>
    <w:p>
      <w:pPr>
        <w:pStyle w:val="Heading5"/>
        <w:rPr>
          <w:snapToGrid w:val="0"/>
        </w:rPr>
      </w:pPr>
      <w:bookmarkStart w:id="9" w:name="_Toc473109327"/>
      <w:r>
        <w:rPr>
          <w:rStyle w:val="CharSectno"/>
        </w:rPr>
        <w:t>7</w:t>
      </w:r>
      <w:r>
        <w:rPr>
          <w:snapToGrid w:val="0"/>
        </w:rPr>
        <w:t>.</w:t>
      </w:r>
      <w:r>
        <w:rPr>
          <w:snapToGrid w:val="0"/>
        </w:rPr>
        <w:tab/>
        <w:t>Administration</w:t>
      </w:r>
      <w:bookmarkEnd w:id="9"/>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[Section 7 amended by No. 28 of 1984 s. 92; No. 12 of 1994 s. 10; No. 28 of 2006 s. 282.]</w:t>
      </w:r>
    </w:p>
    <w:p>
      <w:pPr>
        <w:pStyle w:val="Heading5"/>
      </w:pPr>
      <w:bookmarkStart w:id="10" w:name="_Toc473109328"/>
      <w:r>
        <w:rPr>
          <w:rStyle w:val="CharSectno"/>
        </w:rPr>
        <w:t>7A</w:t>
      </w:r>
      <w:r>
        <w:t>.</w:t>
      </w:r>
      <w:r>
        <w:tab/>
        <w:t>Application: industrial hemp, industrial hemp seed and processed industrial hemp</w:t>
      </w:r>
      <w:bookmarkEnd w:id="10"/>
    </w:p>
    <w:p>
      <w:pPr>
        <w:pStyle w:val="Subsection"/>
        <w:keepNext/>
      </w:pPr>
      <w:r>
        <w:tab/>
      </w:r>
      <w:r>
        <w:tab/>
        <w:t>This Act does not apply to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11" w:name="_Toc473109329"/>
      <w:r>
        <w:rPr>
          <w:rStyle w:val="CharPartNo"/>
        </w:rPr>
        <w:t>Part II</w:t>
      </w:r>
      <w:r>
        <w:rPr>
          <w:rStyle w:val="CharDivNo"/>
        </w:rPr>
        <w:t> </w:t>
      </w:r>
      <w:r>
        <w:t>—</w:t>
      </w:r>
      <w:r>
        <w:rPr>
          <w:rStyle w:val="CharDivText"/>
        </w:rPr>
        <w:t> </w:t>
      </w:r>
      <w:r>
        <w:rPr>
          <w:rStyle w:val="CharPartText"/>
        </w:rPr>
        <w:t>Poisons Advisory Committee</w:t>
      </w:r>
      <w:bookmarkEnd w:id="11"/>
    </w:p>
    <w:p>
      <w:pPr>
        <w:pStyle w:val="Heading5"/>
        <w:rPr>
          <w:snapToGrid w:val="0"/>
        </w:rPr>
      </w:pPr>
      <w:bookmarkStart w:id="12" w:name="_Toc473109330"/>
      <w:r>
        <w:rPr>
          <w:rStyle w:val="CharSectno"/>
        </w:rPr>
        <w:t>8</w:t>
      </w:r>
      <w:r>
        <w:rPr>
          <w:snapToGrid w:val="0"/>
        </w:rPr>
        <w:t>.</w:t>
      </w:r>
      <w:r>
        <w:rPr>
          <w:snapToGrid w:val="0"/>
        </w:rPr>
        <w:tab/>
        <w:t>Constitution of Poisons Advisory Committee</w:t>
      </w:r>
      <w:bookmarkEnd w:id="12"/>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 and</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w:t>
      </w:r>
    </w:p>
    <w:p>
      <w:pPr>
        <w:pStyle w:val="Indenta"/>
        <w:rPr>
          <w:snapToGrid w:val="0"/>
        </w:rPr>
      </w:pPr>
      <w:r>
        <w:rPr>
          <w:snapToGrid w:val="0"/>
        </w:rPr>
        <w:tab/>
        <w:t>(a)</w:t>
      </w:r>
      <w:r>
        <w:rPr>
          <w:snapToGrid w:val="0"/>
        </w:rPr>
        <w:tab/>
        <w:t>one shall be a pharmacologist nominated by the Senate of The University of Western Australia; and</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 and</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 and</w:t>
      </w:r>
    </w:p>
    <w:p>
      <w:pPr>
        <w:pStyle w:val="Indenta"/>
        <w:rPr>
          <w:snapToGrid w:val="0"/>
        </w:rPr>
      </w:pPr>
      <w:r>
        <w:rPr>
          <w:snapToGrid w:val="0"/>
        </w:rPr>
        <w:tab/>
        <w:t>(d)</w:t>
      </w:r>
      <w:r>
        <w:rPr>
          <w:snapToGrid w:val="0"/>
        </w:rPr>
        <w:tab/>
        <w:t>one shall be an officer of the Department of Agriculture</w:t>
      </w:r>
      <w:r>
        <w:rPr>
          <w:snapToGrid w:val="0"/>
          <w:vertAlign w:val="superscript"/>
        </w:rPr>
        <w:t> 2</w:t>
      </w:r>
      <w:r>
        <w:rPr>
          <w:snapToGrid w:val="0"/>
        </w:rPr>
        <w:t>, nominated by the Minister for Agriculture</w:t>
      </w:r>
      <w:r>
        <w:rPr>
          <w:snapToGrid w:val="0"/>
          <w:vertAlign w:val="superscript"/>
        </w:rPr>
        <w:t> 3</w:t>
      </w:r>
      <w:r>
        <w:rPr>
          <w:snapToGrid w:val="0"/>
        </w:rPr>
        <w:t>; and</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 and</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 and</w:t>
      </w:r>
    </w:p>
    <w:p>
      <w:pPr>
        <w:pStyle w:val="Indenta"/>
      </w:pPr>
      <w:r>
        <w:tab/>
        <w:t>(g)</w:t>
      </w:r>
      <w:r>
        <w:tab/>
        <w:t xml:space="preserve">one is to be a person nominated by the Pharmacy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rPr>
          <w:iCs/>
        </w:rPr>
        <w:t xml:space="preserve"> </w:t>
      </w:r>
      <w:r>
        <w:t>section 31(1);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[Section 8 amended by No. 63 of 1981 s. 4; No. 28 of 1984 s. 91; No. 12 of 1994 s. 5; No. 48 of 1995 s. 7; No. 28 of 2006 s. 282; No. 10 of 2007 s. 43; No. 8 of 2009 s. 101; No. 35 of 2010 s. 125.]</w:t>
      </w:r>
    </w:p>
    <w:p>
      <w:pPr>
        <w:pStyle w:val="Heading5"/>
        <w:rPr>
          <w:snapToGrid w:val="0"/>
        </w:rPr>
      </w:pPr>
      <w:bookmarkStart w:id="13" w:name="_Toc473109331"/>
      <w:r>
        <w:rPr>
          <w:rStyle w:val="CharSectno"/>
        </w:rPr>
        <w:t>9</w:t>
      </w:r>
      <w:r>
        <w:rPr>
          <w:snapToGrid w:val="0"/>
        </w:rPr>
        <w:t>.</w:t>
      </w:r>
      <w:r>
        <w:rPr>
          <w:snapToGrid w:val="0"/>
        </w:rPr>
        <w:tab/>
        <w:t>Procedure on default of nomination</w:t>
      </w:r>
      <w:bookmarkEnd w:id="13"/>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4" w:name="_Toc473109332"/>
      <w:r>
        <w:rPr>
          <w:rStyle w:val="CharSectno"/>
        </w:rPr>
        <w:t>10</w:t>
      </w:r>
      <w:r>
        <w:rPr>
          <w:snapToGrid w:val="0"/>
        </w:rPr>
        <w:t>.</w:t>
      </w:r>
      <w:r>
        <w:rPr>
          <w:snapToGrid w:val="0"/>
        </w:rPr>
        <w:tab/>
        <w:t>Term of office of nominee member</w:t>
      </w:r>
      <w:bookmarkEnd w:id="14"/>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 and</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5" w:name="_Toc473109333"/>
      <w:r>
        <w:rPr>
          <w:rStyle w:val="CharSectno"/>
        </w:rPr>
        <w:t>11</w:t>
      </w:r>
      <w:r>
        <w:rPr>
          <w:snapToGrid w:val="0"/>
        </w:rPr>
        <w:t>.</w:t>
      </w:r>
      <w:r>
        <w:rPr>
          <w:snapToGrid w:val="0"/>
        </w:rPr>
        <w:tab/>
        <w:t>Vacation of office</w:t>
      </w:r>
      <w:bookmarkEnd w:id="15"/>
    </w:p>
    <w:p>
      <w:pPr>
        <w:pStyle w:val="Subsection"/>
        <w:rPr>
          <w:snapToGrid w:val="0"/>
        </w:rPr>
      </w:pPr>
      <w:r>
        <w:rPr>
          <w:snapToGrid w:val="0"/>
        </w:rPr>
        <w:tab/>
        <w:t>(1)</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he is absent, except on leave granted by the Minister, from 3 consecutive meetings of the Advisory Committee; or</w:t>
      </w:r>
    </w:p>
    <w:p>
      <w:pPr>
        <w:pStyle w:val="Indenta"/>
        <w:rPr>
          <w:snapToGrid w:val="0"/>
        </w:rPr>
      </w:pPr>
      <w:r>
        <w:rPr>
          <w:snapToGrid w:val="0"/>
        </w:rPr>
        <w:tab/>
        <w:t>(c)</w:t>
      </w:r>
      <w:r>
        <w:rPr>
          <w:snapToGrid w:val="0"/>
        </w:rPr>
        <w:tab/>
        <w:t>he becomes permanently incapable of performing his duties; or</w:t>
      </w:r>
    </w:p>
    <w:p>
      <w:pPr>
        <w:pStyle w:val="Indenta"/>
        <w:rPr>
          <w:snapToGrid w:val="0"/>
        </w:rPr>
      </w:pPr>
      <w:r>
        <w:rPr>
          <w:snapToGrid w:val="0"/>
        </w:rPr>
        <w:tab/>
        <w:t>(d)</w:t>
      </w:r>
      <w:r>
        <w:rPr>
          <w:snapToGrid w:val="0"/>
        </w:rPr>
        <w:tab/>
        <w:t>he resigns his office in accordance with the provisions of this Act; or</w:t>
      </w:r>
    </w:p>
    <w:p>
      <w:pPr>
        <w:pStyle w:val="Indenta"/>
        <w:rPr>
          <w:snapToGrid w:val="0"/>
        </w:rPr>
      </w:pPr>
      <w:r>
        <w:rPr>
          <w:snapToGrid w:val="0"/>
        </w:rPr>
        <w:tab/>
        <w:t>(e)</w:t>
      </w:r>
      <w:r>
        <w:rPr>
          <w:snapToGrid w:val="0"/>
        </w:rPr>
        <w:tab/>
        <w:t>he dies; or</w:t>
      </w:r>
    </w:p>
    <w:p>
      <w:pPr>
        <w:pStyle w:val="Indenta"/>
        <w:rPr>
          <w:snapToGrid w:val="0"/>
        </w:rPr>
      </w:pPr>
      <w:r>
        <w:rPr>
          <w:snapToGrid w:val="0"/>
        </w:rPr>
        <w:tab/>
        <w:t>(f)</w:t>
      </w:r>
      <w:r>
        <w:rPr>
          <w:snapToGrid w:val="0"/>
        </w:rPr>
        <w:tab/>
        <w:t>the term of his tenure of office expires by effluxion of time; or</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Footnotesection"/>
      </w:pPr>
      <w:r>
        <w:tab/>
        <w:t>[Section 11 amended by No. 18 of 2009 s. 67.]</w:t>
      </w:r>
    </w:p>
    <w:p>
      <w:pPr>
        <w:pStyle w:val="Heading5"/>
        <w:rPr>
          <w:snapToGrid w:val="0"/>
        </w:rPr>
      </w:pPr>
      <w:bookmarkStart w:id="16" w:name="_Toc473109334"/>
      <w:r>
        <w:rPr>
          <w:rStyle w:val="CharSectno"/>
        </w:rPr>
        <w:t>12</w:t>
      </w:r>
      <w:r>
        <w:rPr>
          <w:snapToGrid w:val="0"/>
        </w:rPr>
        <w:t>.</w:t>
      </w:r>
      <w:r>
        <w:rPr>
          <w:snapToGrid w:val="0"/>
        </w:rPr>
        <w:tab/>
        <w:t>Dismissal of members</w:t>
      </w:r>
      <w:bookmarkEnd w:id="16"/>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7" w:name="_Toc473109335"/>
      <w:r>
        <w:rPr>
          <w:rStyle w:val="CharSectno"/>
        </w:rPr>
        <w:t>13</w:t>
      </w:r>
      <w:r>
        <w:rPr>
          <w:snapToGrid w:val="0"/>
        </w:rPr>
        <w:t>.</w:t>
      </w:r>
      <w:r>
        <w:rPr>
          <w:snapToGrid w:val="0"/>
        </w:rPr>
        <w:tab/>
        <w:t>Leave of absence</w:t>
      </w:r>
      <w:bookmarkEnd w:id="17"/>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8" w:name="_Toc473109336"/>
      <w:r>
        <w:rPr>
          <w:rStyle w:val="CharSectno"/>
        </w:rPr>
        <w:t>14</w:t>
      </w:r>
      <w:r>
        <w:rPr>
          <w:snapToGrid w:val="0"/>
        </w:rPr>
        <w:t>.</w:t>
      </w:r>
      <w:r>
        <w:rPr>
          <w:snapToGrid w:val="0"/>
        </w:rPr>
        <w:tab/>
        <w:t>Deputies of members</w:t>
      </w:r>
      <w:bookmarkEnd w:id="18"/>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9" w:name="_Toc473109337"/>
      <w:r>
        <w:rPr>
          <w:rStyle w:val="CharSectno"/>
        </w:rPr>
        <w:t>15</w:t>
      </w:r>
      <w:r>
        <w:rPr>
          <w:snapToGrid w:val="0"/>
        </w:rPr>
        <w:t>.</w:t>
      </w:r>
      <w:r>
        <w:rPr>
          <w:snapToGrid w:val="0"/>
        </w:rPr>
        <w:tab/>
        <w:t>Acceptance of office</w:t>
      </w:r>
      <w:bookmarkEnd w:id="19"/>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[Section 15 amended by No. 32 of 1994 s. 3(2).]</w:t>
      </w:r>
    </w:p>
    <w:p>
      <w:pPr>
        <w:pStyle w:val="Heading5"/>
        <w:rPr>
          <w:snapToGrid w:val="0"/>
        </w:rPr>
      </w:pPr>
      <w:bookmarkStart w:id="20" w:name="_Toc473109338"/>
      <w:r>
        <w:rPr>
          <w:rStyle w:val="CharSectno"/>
        </w:rPr>
        <w:t>16</w:t>
      </w:r>
      <w:r>
        <w:rPr>
          <w:snapToGrid w:val="0"/>
        </w:rPr>
        <w:t>.</w:t>
      </w:r>
      <w:r>
        <w:rPr>
          <w:snapToGrid w:val="0"/>
        </w:rPr>
        <w:tab/>
        <w:t>Remuneration of members</w:t>
      </w:r>
      <w:bookmarkEnd w:id="20"/>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21" w:name="_Toc473109339"/>
      <w:r>
        <w:rPr>
          <w:rStyle w:val="CharSectno"/>
        </w:rPr>
        <w:t>17</w:t>
      </w:r>
      <w:r>
        <w:rPr>
          <w:snapToGrid w:val="0"/>
        </w:rPr>
        <w:t>.</w:t>
      </w:r>
      <w:r>
        <w:rPr>
          <w:snapToGrid w:val="0"/>
        </w:rPr>
        <w:tab/>
        <w:t>Meetings of Advisory Committee</w:t>
      </w:r>
      <w:bookmarkEnd w:id="21"/>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22" w:name="_Toc473109340"/>
      <w:r>
        <w:rPr>
          <w:rStyle w:val="CharSectno"/>
        </w:rPr>
        <w:t>18</w:t>
      </w:r>
      <w:r>
        <w:rPr>
          <w:snapToGrid w:val="0"/>
        </w:rPr>
        <w:t>.</w:t>
      </w:r>
      <w:r>
        <w:rPr>
          <w:snapToGrid w:val="0"/>
        </w:rPr>
        <w:tab/>
        <w:t>Officers of Advisory Committee</w:t>
      </w:r>
      <w:bookmarkEnd w:id="22"/>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[Section 18 amended by No. 32 of 1994 s. 3(2).]</w:t>
      </w:r>
    </w:p>
    <w:p>
      <w:pPr>
        <w:pStyle w:val="Heading5"/>
        <w:rPr>
          <w:snapToGrid w:val="0"/>
        </w:rPr>
      </w:pPr>
      <w:bookmarkStart w:id="23" w:name="_Toc473109341"/>
      <w:r>
        <w:rPr>
          <w:rStyle w:val="CharSectno"/>
        </w:rPr>
        <w:t>19</w:t>
      </w:r>
      <w:r>
        <w:rPr>
          <w:snapToGrid w:val="0"/>
        </w:rPr>
        <w:t>.</w:t>
      </w:r>
      <w:r>
        <w:rPr>
          <w:snapToGrid w:val="0"/>
        </w:rPr>
        <w:tab/>
        <w:t>Functions of Advisory Committee</w:t>
      </w:r>
      <w:bookmarkEnd w:id="23"/>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w:t>
      </w:r>
    </w:p>
    <w:p>
      <w:pPr>
        <w:pStyle w:val="Indenta"/>
        <w:rPr>
          <w:snapToGrid w:val="0"/>
        </w:rPr>
      </w:pPr>
      <w:r>
        <w:rPr>
          <w:snapToGrid w:val="0"/>
        </w:rPr>
        <w:tab/>
        <w:t>(a)</w:t>
      </w:r>
      <w:r>
        <w:rPr>
          <w:snapToGrid w:val="0"/>
        </w:rPr>
        <w:tab/>
        <w:t>the necessity to amend any of the Schedules; and</w:t>
      </w:r>
    </w:p>
    <w:p>
      <w:pPr>
        <w:pStyle w:val="Indenta"/>
        <w:rPr>
          <w:snapToGrid w:val="0"/>
        </w:rPr>
      </w:pPr>
      <w:r>
        <w:rPr>
          <w:snapToGrid w:val="0"/>
        </w:rPr>
        <w:tab/>
        <w:t>(b)</w:t>
      </w:r>
      <w:r>
        <w:rPr>
          <w:snapToGrid w:val="0"/>
        </w:rPr>
        <w:tab/>
        <w:t>the necessity to make, amend or revoke any regulation under this Act; and</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[Section 19 amended by No. 28 of 1984 s. 92; No. 12 of 1994 s. 10; No. 48 of 1995 s. 39; No. 28 of 2006 s. 282.]</w:t>
      </w:r>
    </w:p>
    <w:p>
      <w:pPr>
        <w:pStyle w:val="Heading2"/>
      </w:pPr>
      <w:bookmarkStart w:id="24" w:name="_Toc473109342"/>
      <w:r>
        <w:rPr>
          <w:rStyle w:val="CharPartNo"/>
        </w:rPr>
        <w:t>Part III</w:t>
      </w:r>
      <w:r>
        <w:t> — </w:t>
      </w:r>
      <w:r>
        <w:rPr>
          <w:rStyle w:val="CharPartText"/>
        </w:rPr>
        <w:t>Poisons and other substances</w:t>
      </w:r>
      <w:bookmarkEnd w:id="24"/>
    </w:p>
    <w:p>
      <w:pPr>
        <w:pStyle w:val="Heading3"/>
      </w:pPr>
      <w:bookmarkStart w:id="25" w:name="_Toc473109343"/>
      <w:r>
        <w:rPr>
          <w:rStyle w:val="CharDivNo"/>
        </w:rPr>
        <w:t>Division 1</w:t>
      </w:r>
      <w:r>
        <w:rPr>
          <w:snapToGrid w:val="0"/>
        </w:rPr>
        <w:t> — </w:t>
      </w:r>
      <w:r>
        <w:rPr>
          <w:rStyle w:val="CharDivText"/>
        </w:rPr>
        <w:t>Classification</w:t>
      </w:r>
      <w:bookmarkEnd w:id="25"/>
    </w:p>
    <w:p>
      <w:pPr>
        <w:pStyle w:val="Heading5"/>
        <w:rPr>
          <w:snapToGrid w:val="0"/>
        </w:rPr>
      </w:pPr>
      <w:bookmarkStart w:id="26" w:name="_Toc473109344"/>
      <w:r>
        <w:rPr>
          <w:rStyle w:val="CharSectno"/>
        </w:rPr>
        <w:t>20</w:t>
      </w:r>
      <w:r>
        <w:rPr>
          <w:snapToGrid w:val="0"/>
        </w:rPr>
        <w:t>.</w:t>
      </w:r>
      <w:r>
        <w:rPr>
          <w:snapToGrid w:val="0"/>
        </w:rPr>
        <w:tab/>
        <w:t>Declaration of poisons</w:t>
      </w:r>
      <w:bookmarkEnd w:id="26"/>
    </w:p>
    <w:p>
      <w:pPr>
        <w:pStyle w:val="Subsection"/>
        <w:rPr>
          <w:snapToGrid w:val="0"/>
        </w:rPr>
      </w:pPr>
      <w:r>
        <w:rPr>
          <w:snapToGrid w:val="0"/>
        </w:rPr>
        <w:tab/>
        <w:t>(1)</w:t>
      </w:r>
      <w:r>
        <w:rPr>
          <w:snapToGrid w:val="0"/>
        </w:rPr>
        <w:tab/>
        <w:t>For the purposes of this Act the substances included in the Schedules are poisons.</w:t>
      </w:r>
    </w:p>
    <w:p>
      <w:pPr>
        <w:pStyle w:val="Subsection"/>
      </w:pPr>
      <w:r>
        <w:tab/>
        <w:t>(2)</w:t>
      </w:r>
      <w:r>
        <w:tab/>
        <w:t>A Schedule includes substances of the kind described in the Table for the Schedule.</w:t>
      </w:r>
    </w:p>
    <w:p>
      <w:pPr>
        <w:pStyle w:val="zTHeadingNAm"/>
      </w:pPr>
      <w:r>
        <w:t>Table</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06"/>
      </w:tblGrid>
      <w:tr>
        <w:trPr>
          <w:cantSplit/>
        </w:trPr>
        <w:tc>
          <w:tcPr>
            <w:tcW w:w="5806" w:type="dxa"/>
          </w:tcPr>
          <w:p>
            <w:pPr>
              <w:pStyle w:val="TableNAm"/>
            </w:pPr>
            <w:r>
              <w:rPr>
                <w:b/>
                <w:bCs/>
              </w:rPr>
              <w:t>Schedule 1</w:t>
            </w:r>
            <w:r>
              <w:t xml:space="preserve"> — [Blank]</w:t>
            </w:r>
          </w:p>
        </w:tc>
      </w:tr>
      <w:tr>
        <w:trPr>
          <w:cantSplit/>
        </w:trPr>
        <w:tc>
          <w:tcPr>
            <w:tcW w:w="5806" w:type="dxa"/>
          </w:tcPr>
          <w:p>
            <w:pPr>
              <w:pStyle w:val="TableNAm"/>
              <w:rPr>
                <w:b/>
                <w:bCs/>
              </w:rPr>
            </w:pPr>
            <w:r>
              <w:rPr>
                <w:b/>
                <w:bCs/>
              </w:rPr>
              <w:t>Schedule 2 — Pharmacy medicines</w:t>
            </w:r>
          </w:p>
          <w:p>
            <w:pPr>
              <w:pStyle w:val="TableNAm"/>
            </w:pPr>
            <w:r>
              <w:t>Substances, the safe use of which may require advice from a pharmacist and which should be available from a pharmacy or, where a pharmacy service is not available, from a licensed person.</w:t>
            </w:r>
          </w:p>
        </w:tc>
      </w:tr>
      <w:tr>
        <w:trPr>
          <w:cantSplit/>
        </w:trPr>
        <w:tc>
          <w:tcPr>
            <w:tcW w:w="5806" w:type="dxa"/>
          </w:tcPr>
          <w:p>
            <w:pPr>
              <w:pStyle w:val="TableNAm"/>
              <w:rPr>
                <w:b/>
                <w:bCs/>
              </w:rPr>
            </w:pPr>
            <w:r>
              <w:rPr>
                <w:b/>
                <w:bCs/>
              </w:rPr>
              <w:t>Schedule 3 — Pharmacist only medicines</w:t>
            </w:r>
          </w:p>
          <w:p>
            <w:pPr>
              <w:pStyle w:val="TableNAm"/>
            </w:pPr>
            <w:r>
              <w:t>Substances, the safe use of which requires professional advice but which should be available to the public from a pharmacist without a prescription.</w:t>
            </w:r>
          </w:p>
        </w:tc>
      </w:tr>
      <w:tr>
        <w:trPr>
          <w:cantSplit/>
        </w:trPr>
        <w:tc>
          <w:tcPr>
            <w:tcW w:w="5806" w:type="dxa"/>
          </w:tcPr>
          <w:p>
            <w:pPr>
              <w:pStyle w:val="TableNAm"/>
              <w:rPr>
                <w:b/>
                <w:bCs/>
              </w:rPr>
            </w:pPr>
            <w:r>
              <w:rPr>
                <w:b/>
                <w:bCs/>
              </w:rPr>
              <w:t xml:space="preserve">Schedule 4 — Prescription only medicines, </w:t>
            </w:r>
            <w:r>
              <w:t>or</w:t>
            </w:r>
            <w:r>
              <w:rPr>
                <w:b/>
                <w:bCs/>
              </w:rPr>
              <w:t xml:space="preserve"> Prescription Animal Remedy</w:t>
            </w:r>
          </w:p>
          <w:p>
            <w:pPr>
              <w:pStyle w:val="TableNAm"/>
            </w:pPr>
            <w:r>
              <w:t>Substances, the use or supply of which should be by or on the order of persons permitted under the Act to prescribe and should be available from a pharmacist on prescription.</w:t>
            </w:r>
          </w:p>
        </w:tc>
      </w:tr>
      <w:tr>
        <w:trPr>
          <w:cantSplit/>
        </w:trPr>
        <w:tc>
          <w:tcPr>
            <w:tcW w:w="5806" w:type="dxa"/>
          </w:tcPr>
          <w:p>
            <w:pPr>
              <w:pStyle w:val="TableNAm"/>
              <w:rPr>
                <w:b/>
                <w:bCs/>
              </w:rPr>
            </w:pPr>
            <w:r>
              <w:rPr>
                <w:b/>
                <w:bCs/>
              </w:rPr>
              <w:t>Schedule 5 — Caution</w:t>
            </w:r>
          </w:p>
          <w:p>
            <w:pPr>
              <w:pStyle w:val="TableNAm"/>
              <w:spacing w:before="80"/>
            </w:pPr>
            <w:r>
              <w:t>Substances with a low potential for causing harm, the extent of which can be reduced through the use of appropriate packaging with simple warnings and safety directions on the label.</w:t>
            </w:r>
          </w:p>
        </w:tc>
      </w:tr>
      <w:tr>
        <w:trPr>
          <w:cantSplit/>
        </w:trPr>
        <w:tc>
          <w:tcPr>
            <w:tcW w:w="5806" w:type="dxa"/>
          </w:tcPr>
          <w:p>
            <w:pPr>
              <w:pStyle w:val="TableNAm"/>
              <w:rPr>
                <w:b/>
                <w:bCs/>
              </w:rPr>
            </w:pPr>
            <w:r>
              <w:rPr>
                <w:b/>
                <w:bCs/>
              </w:rPr>
              <w:t>Schedule 6 — Poison</w:t>
            </w:r>
          </w:p>
          <w:p>
            <w:pPr>
              <w:pStyle w:val="TableNAm"/>
              <w:spacing w:before="80"/>
            </w:pPr>
            <w:r>
              <w:t>Substances with a moderate potential for causing harm, the extent of which can be reduced through the use of distinctive packaging with strong warnings and safety directions on the label.</w:t>
            </w:r>
          </w:p>
        </w:tc>
      </w:tr>
      <w:tr>
        <w:trPr>
          <w:cantSplit/>
        </w:trPr>
        <w:tc>
          <w:tcPr>
            <w:tcW w:w="5806" w:type="dxa"/>
          </w:tcPr>
          <w:p>
            <w:pPr>
              <w:pStyle w:val="TableNAm"/>
              <w:rPr>
                <w:b/>
                <w:bCs/>
              </w:rPr>
            </w:pPr>
            <w:r>
              <w:rPr>
                <w:b/>
                <w:bCs/>
              </w:rPr>
              <w:t>Schedule 7 — Dangerous Poison</w:t>
            </w:r>
          </w:p>
          <w:p>
            <w:pPr>
              <w:pStyle w:val="TableNAm"/>
              <w:spacing w:before="80"/>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806" w:type="dxa"/>
          </w:tcPr>
          <w:p>
            <w:pPr>
              <w:pStyle w:val="TableNAm"/>
              <w:rPr>
                <w:b/>
                <w:bCs/>
              </w:rPr>
            </w:pPr>
            <w:r>
              <w:rPr>
                <w:b/>
                <w:bCs/>
              </w:rPr>
              <w:t>Schedule 8 — Controlled Drug</w:t>
            </w:r>
          </w:p>
          <w:p>
            <w:pPr>
              <w:pStyle w:val="TableNAm"/>
              <w:spacing w:before="80"/>
            </w:pPr>
            <w:r>
              <w:t>Substances which should be available for use but require restriction of manufacture, supply, distribution, possession and use to reduce abuse, misuse and physical or psychological dependence.</w:t>
            </w:r>
          </w:p>
        </w:tc>
      </w:tr>
      <w:tr>
        <w:trPr>
          <w:cantSplit/>
        </w:trPr>
        <w:tc>
          <w:tcPr>
            <w:tcW w:w="5806" w:type="dxa"/>
          </w:tcPr>
          <w:p>
            <w:pPr>
              <w:pStyle w:val="TableNAm"/>
              <w:rPr>
                <w:b/>
                <w:bCs/>
              </w:rPr>
            </w:pPr>
            <w:r>
              <w:rPr>
                <w:b/>
                <w:bCs/>
              </w:rPr>
              <w:t>Schedule 9 — Prohibited Substance</w:t>
            </w:r>
          </w:p>
          <w:p>
            <w:pPr>
              <w:pStyle w:val="TableNAm"/>
              <w:spacing w:before="80"/>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Footnotesection"/>
      </w:pPr>
      <w:r>
        <w:tab/>
        <w:t>[Section 20 inserted by No. 48 of 1995 s. 8; amended by No. 9 of 2003 s. 36; No. 35 of 2010 s. 126.]</w:t>
      </w:r>
    </w:p>
    <w:p>
      <w:pPr>
        <w:pStyle w:val="Heading5"/>
        <w:spacing w:before="240"/>
        <w:rPr>
          <w:snapToGrid w:val="0"/>
        </w:rPr>
      </w:pPr>
      <w:bookmarkStart w:id="27" w:name="_Toc473109345"/>
      <w:r>
        <w:rPr>
          <w:rStyle w:val="CharSectno"/>
        </w:rPr>
        <w:t>20A</w:t>
      </w:r>
      <w:r>
        <w:rPr>
          <w:snapToGrid w:val="0"/>
        </w:rPr>
        <w:t>.</w:t>
      </w:r>
      <w:r>
        <w:rPr>
          <w:snapToGrid w:val="0"/>
        </w:rPr>
        <w:tab/>
        <w:t>How poisons may be identified in Schedules</w:t>
      </w:r>
      <w:bookmarkEnd w:id="27"/>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w:t>
      </w:r>
    </w:p>
    <w:p>
      <w:pPr>
        <w:pStyle w:val="Indenta"/>
        <w:rPr>
          <w:snapToGrid w:val="0"/>
        </w:rPr>
      </w:pPr>
      <w:r>
        <w:rPr>
          <w:snapToGrid w:val="0"/>
        </w:rPr>
        <w:tab/>
        <w:t>(a)</w:t>
      </w:r>
      <w:r>
        <w:rPr>
          <w:snapToGrid w:val="0"/>
        </w:rPr>
        <w:tab/>
        <w:t>any list of substances contained in the standard or part of the standard; or</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w:t>
      </w:r>
    </w:p>
    <w:p>
      <w:pPr>
        <w:pStyle w:val="Indenta"/>
        <w:rPr>
          <w:snapToGrid w:val="0"/>
        </w:rPr>
      </w:pPr>
      <w:r>
        <w:rPr>
          <w:snapToGrid w:val="0"/>
        </w:rPr>
        <w:tab/>
        <w:t>(a)</w:t>
      </w:r>
      <w:r>
        <w:rPr>
          <w:snapToGrid w:val="0"/>
        </w:rPr>
        <w:tab/>
        <w:t>the way in which or the purpose for which, it is used or intended for use; or</w:t>
      </w:r>
    </w:p>
    <w:p>
      <w:pPr>
        <w:pStyle w:val="Indenta"/>
        <w:rPr>
          <w:snapToGrid w:val="0"/>
        </w:rPr>
      </w:pPr>
      <w:r>
        <w:rPr>
          <w:snapToGrid w:val="0"/>
        </w:rPr>
        <w:tab/>
        <w:t>(b)</w:t>
      </w:r>
      <w:r>
        <w:rPr>
          <w:snapToGrid w:val="0"/>
        </w:rPr>
        <w:tab/>
        <w:t>the quantity in which it is supplied; or</w:t>
      </w:r>
    </w:p>
    <w:p>
      <w:pPr>
        <w:pStyle w:val="Indenta"/>
        <w:rPr>
          <w:snapToGrid w:val="0"/>
        </w:rPr>
      </w:pPr>
      <w:r>
        <w:rPr>
          <w:snapToGrid w:val="0"/>
        </w:rPr>
        <w:tab/>
        <w:t>(c)</w:t>
      </w:r>
      <w:r>
        <w:rPr>
          <w:snapToGrid w:val="0"/>
        </w:rPr>
        <w:tab/>
        <w:t>the nature of the package or container, including the labelling thereof, in which it is supplied; or</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[Section 20A inserted by No. 48 of 1995 s. 8.]</w:t>
      </w:r>
    </w:p>
    <w:p>
      <w:pPr>
        <w:pStyle w:val="Heading5"/>
        <w:rPr>
          <w:snapToGrid w:val="0"/>
        </w:rPr>
      </w:pPr>
      <w:bookmarkStart w:id="28" w:name="_Toc473109346"/>
      <w:r>
        <w:rPr>
          <w:rStyle w:val="CharSectno"/>
        </w:rPr>
        <w:t>21</w:t>
      </w:r>
      <w:r>
        <w:rPr>
          <w:snapToGrid w:val="0"/>
        </w:rPr>
        <w:t>.</w:t>
      </w:r>
      <w:r>
        <w:rPr>
          <w:snapToGrid w:val="0"/>
        </w:rPr>
        <w:tab/>
        <w:t>Amendment of Appendix A</w:t>
      </w:r>
      <w:bookmarkEnd w:id="28"/>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[Section 21 inserted by No. 48 of 1995 s. 8.]</w:t>
      </w:r>
    </w:p>
    <w:p>
      <w:pPr>
        <w:pStyle w:val="Heading5"/>
        <w:rPr>
          <w:snapToGrid w:val="0"/>
        </w:rPr>
      </w:pPr>
      <w:bookmarkStart w:id="29" w:name="_Toc473109347"/>
      <w:r>
        <w:rPr>
          <w:rStyle w:val="CharSectno"/>
        </w:rPr>
        <w:t>21A</w:t>
      </w:r>
      <w:r>
        <w:rPr>
          <w:snapToGrid w:val="0"/>
        </w:rPr>
        <w:t>.</w:t>
      </w:r>
      <w:r>
        <w:rPr>
          <w:snapToGrid w:val="0"/>
        </w:rPr>
        <w:tab/>
        <w:t>Exemption of substances from Act</w:t>
      </w:r>
      <w:bookmarkEnd w:id="29"/>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[Section 21A inserted by No. 48 of 1995 s. 8.]</w:t>
      </w:r>
    </w:p>
    <w:p>
      <w:pPr>
        <w:pStyle w:val="Heading5"/>
        <w:rPr>
          <w:snapToGrid w:val="0"/>
        </w:rPr>
      </w:pPr>
      <w:bookmarkStart w:id="30" w:name="_Toc473109348"/>
      <w:r>
        <w:rPr>
          <w:rStyle w:val="CharSectno"/>
        </w:rPr>
        <w:t>22</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any poison may be prohibited</w:t>
      </w:r>
      <w:bookmarkEnd w:id="30"/>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[Section 22 amended by No. 48 of 1995 s. 9.]</w:t>
      </w:r>
    </w:p>
    <w:p>
      <w:pPr>
        <w:pStyle w:val="Heading5"/>
        <w:rPr>
          <w:snapToGrid w:val="0"/>
        </w:rPr>
      </w:pPr>
      <w:bookmarkStart w:id="31" w:name="_Toc473109349"/>
      <w:r>
        <w:rPr>
          <w:rStyle w:val="CharSectno"/>
        </w:rPr>
        <w:t>22A</w:t>
      </w:r>
      <w:r>
        <w:rPr>
          <w:snapToGrid w:val="0"/>
        </w:rPr>
        <w:t>.</w:t>
      </w:r>
      <w:r>
        <w:rPr>
          <w:snapToGrid w:val="0"/>
        </w:rPr>
        <w:tab/>
        <w:t>Specified drugs</w:t>
      </w:r>
      <w:bookmarkEnd w:id="31"/>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[Section 22A inserted by No. 6 of 1969 s. 4; amended by No. 57 of 1981 s. 15; No. 48 of 1995 s. 10.]</w:t>
      </w:r>
    </w:p>
    <w:p>
      <w:pPr>
        <w:pStyle w:val="Heading3"/>
        <w:spacing w:before="260"/>
      </w:pPr>
      <w:bookmarkStart w:id="32" w:name="_Toc473109350"/>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poisons</w:t>
      </w:r>
      <w:bookmarkEnd w:id="32"/>
    </w:p>
    <w:p>
      <w:pPr>
        <w:pStyle w:val="Heading5"/>
        <w:rPr>
          <w:snapToGrid w:val="0"/>
        </w:rPr>
      </w:pPr>
      <w:bookmarkStart w:id="33" w:name="_Toc473109351"/>
      <w:r>
        <w:rPr>
          <w:rStyle w:val="CharSectno"/>
        </w:rPr>
        <w:t>23</w:t>
      </w:r>
      <w:r>
        <w:rPr>
          <w:snapToGrid w:val="0"/>
        </w:rPr>
        <w:t>.</w:t>
      </w:r>
      <w:r>
        <w:rPr>
          <w:snapToGrid w:val="0"/>
        </w:rPr>
        <w:tab/>
        <w:t>Persons authorised to sell poisons</w:t>
      </w:r>
      <w:bookmarkEnd w:id="33"/>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w:t>
      </w:r>
    </w:p>
    <w:p>
      <w:pPr>
        <w:pStyle w:val="Indenta"/>
        <w:rPr>
          <w:snapToGrid w:val="0"/>
        </w:rPr>
      </w:pPr>
      <w:r>
        <w:rPr>
          <w:snapToGrid w:val="0"/>
        </w:rPr>
        <w:tab/>
        <w:t>(a)</w:t>
      </w:r>
      <w:r>
        <w:rPr>
          <w:snapToGrid w:val="0"/>
        </w:rPr>
        <w:tab/>
      </w:r>
      <w:r>
        <w:t>a pharmacist</w:t>
      </w:r>
      <w:r>
        <w:rPr>
          <w:snapToGrid w:val="0"/>
        </w:rPr>
        <w:t xml:space="preserve"> is authorised to manufacture, have in his possession, and to use, supply or sell at his pharmacy in the ordinary course of his retail business any preparation, admixture or extract containing any poison; and</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 and</w:t>
      </w:r>
    </w:p>
    <w:p>
      <w:pPr>
        <w:pStyle w:val="Indenta"/>
        <w:rPr>
          <w:snapToGrid w:val="0"/>
        </w:rPr>
      </w:pPr>
      <w:r>
        <w:rPr>
          <w:snapToGrid w:val="0"/>
        </w:rPr>
        <w:tab/>
        <w:t>(c)</w:t>
      </w:r>
      <w:r>
        <w:rPr>
          <w:snapToGrid w:val="0"/>
        </w:rPr>
        <w:tab/>
        <w:t>any dentist is authorised to have in his possession and to use in the lawful practice of his profession any poison; and</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pPr>
      <w:r>
        <w:tab/>
        <w:t>(4A)</w:t>
      </w:r>
      <w:r>
        <w:tab/>
        <w:t xml:space="preserve">If the CEO gives a dentist, medical practitioner, nurse practitioner or pharmacist a notice pursuant to any regulations made under section 64(2)(ha), the CEO may give a copy of the notice to the National Board as defined in the </w:t>
      </w:r>
      <w:r>
        <w:rPr>
          <w:i/>
        </w:rPr>
        <w:t>Health Practitioner Regulation National Law (Western Australia)</w:t>
      </w:r>
      <w:r>
        <w:t xml:space="preserve"> section 5 for the person’s health profession.</w:t>
      </w:r>
    </w:p>
    <w:p>
      <w:pPr>
        <w:pStyle w:val="Subsection"/>
      </w:pPr>
      <w:r>
        <w:tab/>
        <w:t>(4B)</w:t>
      </w:r>
      <w:r>
        <w:tab/>
        <w:t xml:space="preserve">Subject to this Act, a person who is a member of a prescribed class of endorsed health practitioner is authorised in the lawful practice of his or her profession to do any one or more of the following things in relation to a medicine as is prescribed in relation to the prescribed class — </w:t>
      </w:r>
    </w:p>
    <w:p>
      <w:pPr>
        <w:pStyle w:val="Indenta"/>
      </w:pPr>
      <w:r>
        <w:tab/>
        <w:t>(a)</w:t>
      </w:r>
      <w:r>
        <w:tab/>
        <w:t>possess;</w:t>
      </w:r>
    </w:p>
    <w:p>
      <w:pPr>
        <w:pStyle w:val="Indenta"/>
      </w:pPr>
      <w:r>
        <w:tab/>
        <w:t>(b)</w:t>
      </w:r>
      <w:r>
        <w:tab/>
        <w:t>use;</w:t>
      </w:r>
    </w:p>
    <w:p>
      <w:pPr>
        <w:pStyle w:val="Indenta"/>
      </w:pPr>
      <w:r>
        <w:tab/>
        <w:t>(c)</w:t>
      </w:r>
      <w:r>
        <w:tab/>
        <w:t>supply;</w:t>
      </w:r>
    </w:p>
    <w:p>
      <w:pPr>
        <w:pStyle w:val="Indenta"/>
      </w:pPr>
      <w:r>
        <w:tab/>
        <w:t>(d)</w:t>
      </w:r>
      <w:r>
        <w:tab/>
        <w:t>sell;</w:t>
      </w:r>
    </w:p>
    <w:p>
      <w:pPr>
        <w:pStyle w:val="Indenta"/>
      </w:pPr>
      <w:r>
        <w:tab/>
        <w:t>(e)</w:t>
      </w:r>
      <w:r>
        <w:tab/>
        <w:t>prescribe.</w:t>
      </w:r>
    </w:p>
    <w:p>
      <w:pPr>
        <w:pStyle w:val="Subsection"/>
      </w:pPr>
      <w:r>
        <w:tab/>
        <w:t>(4C)</w:t>
      </w:r>
      <w:r>
        <w:tab/>
        <w:t xml:space="preserve">The authorisation given by subsection (4B) is subject to — </w:t>
      </w:r>
    </w:p>
    <w:p>
      <w:pPr>
        <w:pStyle w:val="Indenta"/>
      </w:pPr>
      <w:r>
        <w:tab/>
        <w:t>(a)</w:t>
      </w:r>
      <w:r>
        <w:tab/>
        <w:t>such conditions and restrictions as may be prescribed; and</w:t>
      </w:r>
    </w:p>
    <w:p>
      <w:pPr>
        <w:pStyle w:val="Indenta"/>
      </w:pPr>
      <w:r>
        <w:tab/>
        <w:t>(b)</w:t>
      </w:r>
      <w:r>
        <w:tab/>
        <w:t>any notice given by the CEO pursuant to any regulations made under section 64(2)(ha).</w:t>
      </w:r>
    </w:p>
    <w:p>
      <w:pPr>
        <w:pStyle w:val="Subsection"/>
      </w:pPr>
      <w:r>
        <w:tab/>
        <w:t>(4D)</w:t>
      </w:r>
      <w:r>
        <w:tab/>
        <w:t xml:space="preserve">If the CEO gives an endorsed health practitioner a notice pursuant to any regulations made under section 64(2)(ha), the CEO may give a copy of the notice to the National Board as defined in the </w:t>
      </w:r>
      <w:r>
        <w:rPr>
          <w:i/>
        </w:rPr>
        <w:t>Health Practitioner Regulation National Law (Western Australia)</w:t>
      </w:r>
      <w:r>
        <w:t xml:space="preserve"> section 5 that endorsed the registration of the health practitioner.</w:t>
      </w:r>
    </w:p>
    <w:p>
      <w:pPr>
        <w:pStyle w:val="Subsection"/>
      </w:pPr>
      <w:r>
        <w:tab/>
        <w:t>(4E)</w:t>
      </w:r>
      <w:r>
        <w:tab/>
        <w:t>Subsection (4B) does not authorise a person to sell any poison in an open shop unless the person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[Section 23 amended by No. 6 of 1969 s. 5; No. 43 of 1978 s. 3; No. 28 of 1984 s. 92; No. 12 of 1994 s. 10; No. 48 of 1995 s. 11; No. 9 of 2003 s. 37; No. 28 of 2006 s. 282; No. 35 of 2010 s. 127.]</w:t>
      </w:r>
    </w:p>
    <w:p>
      <w:pPr>
        <w:pStyle w:val="Heading5"/>
        <w:rPr>
          <w:snapToGrid w:val="0"/>
        </w:rPr>
      </w:pPr>
      <w:bookmarkStart w:id="34" w:name="_Toc473109352"/>
      <w:r>
        <w:rPr>
          <w:rStyle w:val="CharSectno"/>
        </w:rPr>
        <w:t>24</w:t>
      </w:r>
      <w:r>
        <w:rPr>
          <w:snapToGrid w:val="0"/>
        </w:rPr>
        <w:t>.</w:t>
      </w:r>
      <w:r>
        <w:rPr>
          <w:snapToGrid w:val="0"/>
        </w:rPr>
        <w:tab/>
        <w:t>Licences to manufacture or sell poisons</w:t>
      </w:r>
      <w:bookmarkEnd w:id="34"/>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w:t>
      </w:r>
    </w:p>
    <w:p>
      <w:pPr>
        <w:pStyle w:val="Indenta"/>
        <w:rPr>
          <w:snapToGrid w:val="0"/>
        </w:rPr>
      </w:pPr>
      <w:r>
        <w:rPr>
          <w:snapToGrid w:val="0"/>
        </w:rPr>
        <w:tab/>
        <w:t>(a)</w:t>
      </w:r>
      <w:r>
        <w:rPr>
          <w:snapToGrid w:val="0"/>
        </w:rPr>
        <w:tab/>
        <w:t>to manufacture any poison; or</w:t>
      </w:r>
    </w:p>
    <w:p>
      <w:pPr>
        <w:pStyle w:val="Indenta"/>
        <w:rPr>
          <w:snapToGrid w:val="0"/>
        </w:rPr>
      </w:pPr>
      <w:r>
        <w:rPr>
          <w:snapToGrid w:val="0"/>
        </w:rPr>
        <w:tab/>
        <w:t>(b)</w:t>
      </w:r>
      <w:r>
        <w:rPr>
          <w:snapToGrid w:val="0"/>
        </w:rPr>
        <w:tab/>
        <w:t>to manufacture and distribute or sell by wholesale any poison; or</w:t>
      </w:r>
    </w:p>
    <w:p>
      <w:pPr>
        <w:pStyle w:val="Indenta"/>
        <w:rPr>
          <w:snapToGrid w:val="0"/>
        </w:rPr>
      </w:pPr>
      <w:r>
        <w:rPr>
          <w:snapToGrid w:val="0"/>
        </w:rPr>
        <w:tab/>
        <w:t>(c)</w:t>
      </w:r>
      <w:r>
        <w:rPr>
          <w:snapToGrid w:val="0"/>
        </w:rPr>
        <w:tab/>
        <w:t>to sell by wholesale any poison; or</w:t>
      </w:r>
    </w:p>
    <w:p>
      <w:pPr>
        <w:pStyle w:val="Indenta"/>
        <w:keepNext/>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w:t>
      </w:r>
      <w:r>
        <w:t>premises or at a</w:t>
      </w:r>
      <w:r>
        <w:rPr>
          <w:snapToGrid w:val="0"/>
        </w:rPr>
        <w:t xml:space="preserve">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Ednotesubsection"/>
      </w:pPr>
      <w:r>
        <w:tab/>
        <w:t>[(4)</w:t>
      </w:r>
      <w:r>
        <w:tab/>
        <w:t>deleted]</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 and</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 and</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[Section 24 amended by No. 6 of 1969 s. 6; No. 28 of 1984 s. 92; No. 12 of 1994 s. 10; No. 48 of 1995 s. 12; No. 28 of 2006 s. 282; No. 35 of 2010 s. 128.]</w:t>
      </w:r>
    </w:p>
    <w:p>
      <w:pPr>
        <w:pStyle w:val="Heading5"/>
        <w:spacing w:before="240"/>
        <w:rPr>
          <w:snapToGrid w:val="0"/>
        </w:rPr>
      </w:pPr>
      <w:bookmarkStart w:id="35" w:name="_Toc473109353"/>
      <w:r>
        <w:rPr>
          <w:rStyle w:val="CharSectno"/>
        </w:rPr>
        <w:t>25</w:t>
      </w:r>
      <w:r>
        <w:rPr>
          <w:snapToGrid w:val="0"/>
        </w:rPr>
        <w:t>.</w:t>
      </w:r>
      <w:r>
        <w:rPr>
          <w:snapToGrid w:val="0"/>
        </w:rPr>
        <w:tab/>
        <w:t>Permits to purchase poisons for specified purposes</w:t>
      </w:r>
      <w:bookmarkEnd w:id="35"/>
    </w:p>
    <w:p>
      <w:pPr>
        <w:pStyle w:val="Subsection"/>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[Section 25 amended by No. 23 of 1966 s. 3; No. 28 of 1984 s. 92; No. 12 of 1994 s. 10; No. 48 of 1995 s. 13; No. 28 of 2006 s. 282.]</w:t>
      </w:r>
    </w:p>
    <w:p>
      <w:pPr>
        <w:pStyle w:val="Heading5"/>
        <w:spacing w:before="240"/>
        <w:rPr>
          <w:snapToGrid w:val="0"/>
        </w:rPr>
      </w:pPr>
      <w:bookmarkStart w:id="36" w:name="_Toc473109354"/>
      <w:r>
        <w:rPr>
          <w:rStyle w:val="CharSectno"/>
        </w:rPr>
        <w:t>26</w:t>
      </w:r>
      <w:r>
        <w:rPr>
          <w:snapToGrid w:val="0"/>
        </w:rPr>
        <w:t>.</w:t>
      </w:r>
      <w:r>
        <w:rPr>
          <w:snapToGrid w:val="0"/>
        </w:rPr>
        <w:tab/>
        <w:t>Form of licences and permits</w:t>
      </w:r>
      <w:bookmarkEnd w:id="36"/>
    </w:p>
    <w:p>
      <w:pPr>
        <w:pStyle w:val="Subsection"/>
        <w:rPr>
          <w:snapToGrid w:val="0"/>
        </w:rPr>
      </w:pPr>
      <w:r>
        <w:rPr>
          <w:snapToGrid w:val="0"/>
        </w:rPr>
        <w:tab/>
        <w:t>(1)</w:t>
      </w:r>
      <w:r>
        <w:rPr>
          <w:snapToGrid w:val="0"/>
        </w:rPr>
        <w:tab/>
        <w:t>A licence or permit under this Act must be in the prescribed form.</w:t>
      </w:r>
    </w:p>
    <w:p>
      <w:pPr>
        <w:pStyle w:val="Subsection"/>
        <w:rPr>
          <w:snapToGrid w:val="0"/>
        </w:rPr>
      </w:pPr>
      <w:r>
        <w:rPr>
          <w:snapToGrid w:val="0"/>
        </w:rPr>
        <w:tab/>
        <w:t>(2)</w:t>
      </w:r>
      <w:r>
        <w:rPr>
          <w:snapToGrid w:val="0"/>
        </w:rPr>
        <w:tab/>
        <w:t>A licence must specify the premises or place of business in or at which the licence may be exercised.</w:t>
      </w:r>
    </w:p>
    <w:p>
      <w:pPr>
        <w:pStyle w:val="Subsection"/>
        <w:rPr>
          <w:snapToGrid w:val="0"/>
        </w:rPr>
      </w:pPr>
      <w:r>
        <w:rPr>
          <w:snapToGrid w:val="0"/>
        </w:rPr>
        <w:tab/>
        <w:t>(3)</w:t>
      </w:r>
      <w:r>
        <w:rPr>
          <w:snapToGrid w:val="0"/>
        </w:rPr>
        <w:tab/>
        <w:t>No more than one place may be specified under subsection (2).</w:t>
      </w:r>
    </w:p>
    <w:p>
      <w:pPr>
        <w:pStyle w:val="Footnotesection"/>
      </w:pPr>
      <w:r>
        <w:tab/>
        <w:t>[Section 26 inserted by No. 48 of 1995 s. 14; amended by No. 35 of 2010 s. 129.]</w:t>
      </w:r>
    </w:p>
    <w:p>
      <w:pPr>
        <w:pStyle w:val="Heading5"/>
        <w:spacing w:before="180"/>
        <w:rPr>
          <w:snapToGrid w:val="0"/>
        </w:rPr>
      </w:pPr>
      <w:bookmarkStart w:id="37" w:name="_Toc473109355"/>
      <w:r>
        <w:rPr>
          <w:rStyle w:val="CharSectno"/>
        </w:rPr>
        <w:t>26A</w:t>
      </w:r>
      <w:r>
        <w:rPr>
          <w:snapToGrid w:val="0"/>
        </w:rPr>
        <w:t>.</w:t>
      </w:r>
      <w:r>
        <w:rPr>
          <w:snapToGrid w:val="0"/>
        </w:rPr>
        <w:tab/>
        <w:t>Conditions</w:t>
      </w:r>
      <w:bookmarkEnd w:id="37"/>
    </w:p>
    <w:p>
      <w:pPr>
        <w:pStyle w:val="Subsection"/>
        <w:keepNext/>
        <w:keepLines/>
        <w:rPr>
          <w:snapToGrid w:val="0"/>
        </w:rPr>
      </w:pPr>
      <w:r>
        <w:rPr>
          <w:snapToGrid w:val="0"/>
        </w:rPr>
        <w:tab/>
        <w:t>(1)</w:t>
      </w:r>
      <w:r>
        <w:rPr>
          <w:snapToGrid w:val="0"/>
        </w:rPr>
        <w:tab/>
        <w:t>A licence or permit under this Act is subject to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[Section 26A inserted by No. 48 of 1995 s. 14; amended by No. 28 of 2006 s. 282.]</w:t>
      </w:r>
    </w:p>
    <w:p>
      <w:pPr>
        <w:pStyle w:val="Heading5"/>
        <w:rPr>
          <w:snapToGrid w:val="0"/>
        </w:rPr>
      </w:pPr>
      <w:bookmarkStart w:id="38" w:name="_Toc473109356"/>
      <w:r>
        <w:rPr>
          <w:rStyle w:val="CharSectno"/>
        </w:rPr>
        <w:t>26B</w:t>
      </w:r>
      <w:r>
        <w:rPr>
          <w:snapToGrid w:val="0"/>
        </w:rPr>
        <w:t>.</w:t>
      </w:r>
      <w:r>
        <w:rPr>
          <w:snapToGrid w:val="0"/>
        </w:rPr>
        <w:tab/>
        <w:t>Duration of licences and permits</w:t>
      </w:r>
      <w:bookmarkEnd w:id="38"/>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[Section 26B inserted by No. 48 of 1995 s. 14; amended by No. 28 of 2006 s. 282.]</w:t>
      </w:r>
    </w:p>
    <w:p>
      <w:pPr>
        <w:pStyle w:val="Heading5"/>
        <w:rPr>
          <w:snapToGrid w:val="0"/>
        </w:rPr>
      </w:pPr>
      <w:bookmarkStart w:id="39" w:name="_Toc473109357"/>
      <w:r>
        <w:rPr>
          <w:rStyle w:val="CharSectno"/>
        </w:rPr>
        <w:t>27</w:t>
      </w:r>
      <w:r>
        <w:rPr>
          <w:snapToGrid w:val="0"/>
        </w:rPr>
        <w:t>.</w:t>
      </w:r>
      <w:r>
        <w:rPr>
          <w:snapToGrid w:val="0"/>
        </w:rPr>
        <w:tab/>
        <w:t>Fees for licences, permits and renewals</w:t>
      </w:r>
      <w:bookmarkEnd w:id="39"/>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[Section 27 amended by No. 28 of 1984 s. 92; No. 12 of 1994 s. 10; No. 28 of 2006 s. 282.]</w:t>
      </w:r>
    </w:p>
    <w:p>
      <w:pPr>
        <w:pStyle w:val="Heading5"/>
        <w:rPr>
          <w:snapToGrid w:val="0"/>
        </w:rPr>
      </w:pPr>
      <w:bookmarkStart w:id="40" w:name="_Toc473109358"/>
      <w:r>
        <w:rPr>
          <w:rStyle w:val="CharSectno"/>
        </w:rPr>
        <w:t>28</w:t>
      </w:r>
      <w:r>
        <w:rPr>
          <w:snapToGrid w:val="0"/>
        </w:rPr>
        <w:t>.</w:t>
      </w:r>
      <w:r>
        <w:rPr>
          <w:snapToGrid w:val="0"/>
        </w:rPr>
        <w:tab/>
      </w:r>
      <w:r>
        <w:t xml:space="preserve">CEO </w:t>
      </w:r>
      <w:r>
        <w:rPr>
          <w:snapToGrid w:val="0"/>
        </w:rPr>
        <w:t>may cancel, suspend or revoke licence or permit</w:t>
      </w:r>
      <w:bookmarkEnd w:id="40"/>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[Section 28 amended by No. 29 of 1984 s. 92; No. 12 of 1994 s. 10; No. 28 of 2006 s. 282.]</w:t>
      </w:r>
    </w:p>
    <w:p>
      <w:pPr>
        <w:pStyle w:val="Heading5"/>
        <w:rPr>
          <w:snapToGrid w:val="0"/>
        </w:rPr>
      </w:pPr>
      <w:bookmarkStart w:id="41" w:name="_Toc473109359"/>
      <w:r>
        <w:rPr>
          <w:rStyle w:val="CharSectno"/>
        </w:rPr>
        <w:t>29</w:t>
      </w:r>
      <w:r>
        <w:rPr>
          <w:snapToGrid w:val="0"/>
        </w:rPr>
        <w:t>.</w:t>
      </w:r>
      <w:r>
        <w:rPr>
          <w:snapToGrid w:val="0"/>
        </w:rPr>
        <w:tab/>
        <w:t xml:space="preserve">Application to SAT for review of order of </w:t>
      </w:r>
      <w:r>
        <w:t>CEO</w:t>
      </w:r>
      <w:bookmarkEnd w:id="41"/>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pPr>
      <w:r>
        <w:tab/>
        <w:t>[(2)</w:t>
      </w:r>
      <w:r>
        <w:tab/>
        <w:t>deleted]</w:t>
      </w:r>
    </w:p>
    <w:p>
      <w:pPr>
        <w:pStyle w:val="Footnotesection"/>
      </w:pPr>
      <w:r>
        <w:tab/>
        <w:t>[Section 29 amended by No. 28 of 1984 s. 92; No. 12 of 1994 s. 10; No. 55 of 2004 s. 965; No. 28 of 2006 s. 282.]</w:t>
      </w:r>
    </w:p>
    <w:p>
      <w:pPr>
        <w:pStyle w:val="Heading5"/>
        <w:rPr>
          <w:snapToGrid w:val="0"/>
        </w:rPr>
      </w:pPr>
      <w:bookmarkStart w:id="42" w:name="_Toc473109360"/>
      <w:r>
        <w:rPr>
          <w:rStyle w:val="CharSectno"/>
        </w:rPr>
        <w:t>30</w:t>
      </w:r>
      <w:r>
        <w:rPr>
          <w:snapToGrid w:val="0"/>
        </w:rPr>
        <w:t>.</w:t>
      </w:r>
      <w:r>
        <w:rPr>
          <w:snapToGrid w:val="0"/>
        </w:rPr>
        <w:tab/>
        <w:t>Licence not to be granted to company or friendly society</w:t>
      </w:r>
      <w:bookmarkEnd w:id="42"/>
    </w:p>
    <w:p>
      <w:pPr>
        <w:pStyle w:val="Subsection"/>
        <w:spacing w:before="180"/>
        <w:rPr>
          <w:snapToGrid w:val="0"/>
        </w:rPr>
      </w:pPr>
      <w:r>
        <w:rPr>
          <w:snapToGrid w:val="0"/>
        </w:rPr>
        <w:tab/>
        <w:t>(1)</w:t>
      </w:r>
      <w:r>
        <w:rPr>
          <w:snapToGrid w:val="0"/>
        </w:rPr>
        <w:tab/>
        <w:t>A licence under this Part shall not be granted to a company or friendly society although the company or friendly society is lawfully carrying on business as a</w:t>
      </w:r>
      <w:r>
        <w:t xml:space="preserve"> pharmacist;</w:t>
      </w:r>
      <w:r>
        <w:rPr>
          <w:snapToGrid w:val="0"/>
        </w:rPr>
        <w:t xml:space="preserve"> but such a licence may be granted to any </w:t>
      </w:r>
      <w:r>
        <w:t>pharmacist</w:t>
      </w:r>
      <w:r>
        <w:rPr>
          <w:snapToGrid w:val="0"/>
        </w:rPr>
        <w:t xml:space="preserve"> entitled thereto for his own use, who is </w:t>
      </w:r>
      <w:r>
        <w:rPr>
          <w:i/>
          <w:snapToGrid w:val="0"/>
        </w:rPr>
        <w:t>bona fide</w:t>
      </w:r>
      <w:r>
        <w:rPr>
          <w:snapToGrid w:val="0"/>
        </w:rPr>
        <w:t xml:space="preserve"> employed by or engaged with that company or friendly society in the business of a </w:t>
      </w:r>
      <w:r>
        <w:t>pharmacist</w:t>
      </w:r>
      <w:r>
        <w:rPr>
          <w:snapToGrid w:val="0"/>
        </w:rPr>
        <w:t xml:space="preserve"> and may be used by him for the benefit of that company or friendly society.</w:t>
      </w:r>
    </w:p>
    <w:p>
      <w:pPr>
        <w:pStyle w:val="Subsection"/>
        <w:spacing w:before="180"/>
        <w:rPr>
          <w:snapToGrid w:val="0"/>
        </w:rPr>
      </w:pPr>
      <w:r>
        <w:rPr>
          <w:snapToGrid w:val="0"/>
        </w:rPr>
        <w:tab/>
        <w:t>(2)</w:t>
      </w:r>
      <w:r>
        <w:rPr>
          <w:snapToGrid w:val="0"/>
        </w:rPr>
        <w:tab/>
        <w:t xml:space="preserve">Where in accordance with the provisions of subsection (1) a licence is used by a </w:t>
      </w:r>
      <w:r>
        <w:t>pharmacist</w:t>
      </w:r>
      <w:r>
        <w:rPr>
          <w:snapToGrid w:val="0"/>
        </w:rPr>
        <w:t xml:space="preserve"> for the benefit of a company or friendly society, that company or friendly society, and the manager or other officers thereof respectively and such </w:t>
      </w:r>
      <w:r>
        <w:t>pharmacist,</w:t>
      </w:r>
      <w:r>
        <w:rPr>
          <w:snapToGrid w:val="0"/>
        </w:rPr>
        <w:t xml:space="preserve">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rStyle w:val="CharDefText"/>
        </w:rPr>
        <w:t>friendly society</w:t>
      </w:r>
      <w:r>
        <w:t xml:space="preserve"> means a company that is a friendly society under the Corporations Act and that —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Footnotesection"/>
      </w:pPr>
      <w:r>
        <w:tab/>
        <w:t>[Section 30 amended by No. 26 of 1999 s. 96; No. 35 of 2010 s. 130.]</w:t>
      </w:r>
    </w:p>
    <w:p>
      <w:pPr>
        <w:pStyle w:val="Heading3"/>
      </w:pPr>
      <w:bookmarkStart w:id="43" w:name="_Toc473109361"/>
      <w:r>
        <w:rPr>
          <w:rStyle w:val="CharDivNo"/>
        </w:rPr>
        <w:t>Division 3</w:t>
      </w:r>
      <w:r>
        <w:rPr>
          <w:snapToGrid w:val="0"/>
        </w:rPr>
        <w:t> — </w:t>
      </w:r>
      <w:r>
        <w:rPr>
          <w:rStyle w:val="CharDivText"/>
        </w:rPr>
        <w:t>General provisions</w:t>
      </w:r>
      <w:bookmarkEnd w:id="43"/>
    </w:p>
    <w:p>
      <w:pPr>
        <w:pStyle w:val="Heading5"/>
        <w:rPr>
          <w:snapToGrid w:val="0"/>
        </w:rPr>
      </w:pPr>
      <w:bookmarkStart w:id="44" w:name="_Toc473109362"/>
      <w:r>
        <w:rPr>
          <w:rStyle w:val="CharSectno"/>
        </w:rPr>
        <w:t>31</w:t>
      </w:r>
      <w:r>
        <w:rPr>
          <w:snapToGrid w:val="0"/>
        </w:rPr>
        <w:t>.</w:t>
      </w:r>
      <w:r>
        <w:rPr>
          <w:snapToGrid w:val="0"/>
        </w:rPr>
        <w:tab/>
        <w:t>Sales of poison to be recorded in a book</w:t>
      </w:r>
      <w:bookmarkEnd w:id="44"/>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8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[Section 31 amended by No. 48 of 1995 s. 15.]</w:t>
      </w:r>
    </w:p>
    <w:p>
      <w:pPr>
        <w:pStyle w:val="Heading5"/>
        <w:spacing w:before="260"/>
        <w:rPr>
          <w:snapToGrid w:val="0"/>
        </w:rPr>
      </w:pPr>
      <w:bookmarkStart w:id="45" w:name="_Toc473109363"/>
      <w:r>
        <w:rPr>
          <w:rStyle w:val="CharSectno"/>
        </w:rPr>
        <w:t>32</w:t>
      </w:r>
      <w:r>
        <w:rPr>
          <w:snapToGrid w:val="0"/>
        </w:rPr>
        <w:t>.</w:t>
      </w:r>
      <w:r>
        <w:rPr>
          <w:snapToGrid w:val="0"/>
        </w:rPr>
        <w:tab/>
        <w:t>Unauthorised sales of poisons</w:t>
      </w:r>
      <w:bookmarkEnd w:id="45"/>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any poison (other than a poison included in Schedule 5) by wholesale unless he is licensed under this Act to do so; or</w:t>
      </w:r>
    </w:p>
    <w:p>
      <w:pPr>
        <w:pStyle w:val="Indenta"/>
        <w:spacing w:before="100"/>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 or</w:t>
      </w:r>
    </w:p>
    <w:p>
      <w:pPr>
        <w:pStyle w:val="Indenta"/>
        <w:spacing w:before="100"/>
        <w:rPr>
          <w:snapToGrid w:val="0"/>
        </w:rPr>
      </w:pPr>
      <w:r>
        <w:rPr>
          <w:snapToGrid w:val="0"/>
        </w:rPr>
        <w:tab/>
        <w:t>(c)</w:t>
      </w:r>
      <w:r>
        <w:rPr>
          <w:snapToGrid w:val="0"/>
        </w:rPr>
        <w:tab/>
        <w:t xml:space="preserve">except as </w:t>
      </w:r>
      <w:r>
        <w:t xml:space="preserve">for the purposes of the </w:t>
      </w:r>
      <w:r>
        <w:rPr>
          <w:i/>
          <w:iCs/>
        </w:rPr>
        <w:t>Biosecurity and Agriculture Management Act 2007</w:t>
      </w:r>
      <w:r>
        <w:t xml:space="preserve"> section 42</w:t>
      </w:r>
      <w:r>
        <w:rPr>
          <w:iCs/>
        </w:rPr>
        <w:t xml:space="preserve">, </w:t>
      </w:r>
      <w:r>
        <w:rPr>
          <w:snapToGrid w:val="0"/>
        </w:rPr>
        <w:t>sell or supply any poison (other than a poison included in Schedule 5) unless he is authorised by or licensed under this Act to do so; or</w:t>
      </w:r>
    </w:p>
    <w:p>
      <w:pPr>
        <w:pStyle w:val="Indenta"/>
        <w:spacing w:before="100"/>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00"/>
        <w:ind w:left="890" w:hanging="890"/>
      </w:pPr>
      <w:r>
        <w:tab/>
        <w:t xml:space="preserve">[Section 32 amended by No. 48 of 1995 s. 16; No. 24 of 2007 s. 93 (as </w:t>
      </w:r>
      <w:r>
        <w:rPr>
          <w:iCs/>
        </w:rPr>
        <w:t xml:space="preserve">amended by No. 46 of 2010 s. 66); </w:t>
      </w:r>
      <w:r>
        <w:t>No. 46 of 2010 s. 71.]</w:t>
      </w:r>
    </w:p>
    <w:p>
      <w:pPr>
        <w:pStyle w:val="Heading5"/>
        <w:keepLines w:val="0"/>
        <w:spacing w:before="200"/>
        <w:rPr>
          <w:snapToGrid w:val="0"/>
        </w:rPr>
      </w:pPr>
      <w:bookmarkStart w:id="46" w:name="_Toc473109364"/>
      <w:r>
        <w:rPr>
          <w:rStyle w:val="CharSectno"/>
        </w:rPr>
        <w:t>33</w:t>
      </w:r>
      <w:r>
        <w:rPr>
          <w:snapToGrid w:val="0"/>
        </w:rPr>
        <w:t>.</w:t>
      </w:r>
      <w:r>
        <w:rPr>
          <w:snapToGrid w:val="0"/>
        </w:rPr>
        <w:tab/>
        <w:t>Wholesaler not to sell by retail</w:t>
      </w:r>
      <w:bookmarkEnd w:id="46"/>
    </w:p>
    <w:p>
      <w:pPr>
        <w:pStyle w:val="Subsection"/>
        <w:spacing w:before="14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100"/>
        <w:ind w:left="890" w:hanging="890"/>
      </w:pPr>
      <w:r>
        <w:tab/>
        <w:t>[Section 33 amended by No. 48 of 1995 s. 17.]</w:t>
      </w:r>
    </w:p>
    <w:p>
      <w:pPr>
        <w:pStyle w:val="Heading5"/>
        <w:spacing w:before="200"/>
        <w:rPr>
          <w:snapToGrid w:val="0"/>
        </w:rPr>
      </w:pPr>
      <w:bookmarkStart w:id="47" w:name="_Toc473109365"/>
      <w:r>
        <w:rPr>
          <w:rStyle w:val="CharSectno"/>
        </w:rPr>
        <w:t>34</w:t>
      </w:r>
      <w:r>
        <w:rPr>
          <w:snapToGrid w:val="0"/>
        </w:rPr>
        <w:t>.</w:t>
      </w:r>
      <w:r>
        <w:rPr>
          <w:snapToGrid w:val="0"/>
        </w:rPr>
        <w:tab/>
        <w:t>Sales to certain persons prohibited</w:t>
      </w:r>
      <w:bookmarkEnd w:id="47"/>
    </w:p>
    <w:p>
      <w:pPr>
        <w:pStyle w:val="Subsection"/>
        <w:spacing w:before="140"/>
        <w:rPr>
          <w:snapToGrid w:val="0"/>
        </w:rPr>
      </w:pPr>
      <w:r>
        <w:rPr>
          <w:snapToGrid w:val="0"/>
        </w:rPr>
        <w:tab/>
        <w:t>(1)</w:t>
      </w:r>
      <w:r>
        <w:rPr>
          <w:snapToGrid w:val="0"/>
        </w:rPr>
        <w:tab/>
        <w:t>A person shall not sell any poison or class of poison prescribed by regulation for the purposes of this section to any person —</w:t>
      </w:r>
    </w:p>
    <w:p>
      <w:pPr>
        <w:pStyle w:val="Indenta"/>
        <w:spacing w:before="60"/>
        <w:rPr>
          <w:snapToGrid w:val="0"/>
        </w:rPr>
      </w:pPr>
      <w:r>
        <w:rPr>
          <w:snapToGrid w:val="0"/>
        </w:rPr>
        <w:tab/>
        <w:t>(a)</w:t>
      </w:r>
      <w:r>
        <w:rPr>
          <w:snapToGrid w:val="0"/>
        </w:rPr>
        <w:tab/>
        <w:t>who is apparently under the age of 18 years; or</w:t>
      </w:r>
    </w:p>
    <w:p>
      <w:pPr>
        <w:pStyle w:val="Indenta"/>
        <w:spacing w:before="60"/>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spacing w:before="140"/>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00"/>
        <w:ind w:left="890" w:hanging="890"/>
      </w:pPr>
      <w:r>
        <w:tab/>
        <w:t>[Section 34 amended by No. 23 of 1966 s. 4.]</w:t>
      </w:r>
    </w:p>
    <w:p>
      <w:pPr>
        <w:pStyle w:val="Heading5"/>
        <w:spacing w:before="200"/>
        <w:rPr>
          <w:snapToGrid w:val="0"/>
        </w:rPr>
      </w:pPr>
      <w:bookmarkStart w:id="48" w:name="_Toc473109366"/>
      <w:r>
        <w:rPr>
          <w:rStyle w:val="CharSectno"/>
        </w:rPr>
        <w:t>35</w:t>
      </w:r>
      <w:r>
        <w:rPr>
          <w:snapToGrid w:val="0"/>
        </w:rPr>
        <w:t>.</w:t>
      </w:r>
      <w:r>
        <w:rPr>
          <w:snapToGrid w:val="0"/>
        </w:rPr>
        <w:tab/>
        <w:t>Making false declarations</w:t>
      </w:r>
      <w:bookmarkEnd w:id="48"/>
    </w:p>
    <w:p>
      <w:pPr>
        <w:pStyle w:val="Subsection"/>
        <w:spacing w:before="140"/>
        <w:rPr>
          <w:snapToGrid w:val="0"/>
        </w:rPr>
      </w:pPr>
      <w:r>
        <w:rPr>
          <w:snapToGrid w:val="0"/>
        </w:rPr>
        <w:tab/>
      </w:r>
      <w:r>
        <w:rPr>
          <w:snapToGrid w:val="0"/>
        </w:rPr>
        <w:tab/>
        <w:t>A person who for the purpose of obtaining for himself or for any other person the grant, issue or renewal of a licence or permit under this Act —</w:t>
      </w:r>
    </w:p>
    <w:p>
      <w:pPr>
        <w:pStyle w:val="Indenta"/>
        <w:spacing w:before="60"/>
        <w:rPr>
          <w:snapToGrid w:val="0"/>
        </w:rPr>
      </w:pPr>
      <w:r>
        <w:rPr>
          <w:snapToGrid w:val="0"/>
        </w:rPr>
        <w:tab/>
        <w:t>(a)</w:t>
      </w:r>
      <w:r>
        <w:rPr>
          <w:snapToGrid w:val="0"/>
        </w:rPr>
        <w:tab/>
        <w:t>makes any declaration or statement that is false in any material particular; or</w:t>
      </w:r>
    </w:p>
    <w:p>
      <w:pPr>
        <w:pStyle w:val="Indenta"/>
        <w:spacing w:before="60"/>
        <w:rPr>
          <w:snapToGrid w:val="0"/>
        </w:rPr>
      </w:pPr>
      <w:r>
        <w:rPr>
          <w:snapToGrid w:val="0"/>
        </w:rPr>
        <w:tab/>
        <w:t>(b)</w:t>
      </w:r>
      <w:r>
        <w:rPr>
          <w:snapToGrid w:val="0"/>
        </w:rPr>
        <w:tab/>
        <w:t>knowingly produces or makes use of any such declaration or statement,</w:t>
      </w:r>
    </w:p>
    <w:p>
      <w:pPr>
        <w:pStyle w:val="Subsection"/>
        <w:spacing w:before="120"/>
        <w:rPr>
          <w:snapToGrid w:val="0"/>
        </w:rPr>
      </w:pPr>
      <w:r>
        <w:rPr>
          <w:snapToGrid w:val="0"/>
        </w:rPr>
        <w:tab/>
      </w:r>
      <w:r>
        <w:rPr>
          <w:snapToGrid w:val="0"/>
        </w:rPr>
        <w:tab/>
        <w:t>commits an offence against this Part.</w:t>
      </w:r>
    </w:p>
    <w:p>
      <w:pPr>
        <w:pStyle w:val="Heading5"/>
        <w:rPr>
          <w:snapToGrid w:val="0"/>
        </w:rPr>
      </w:pPr>
      <w:bookmarkStart w:id="49" w:name="_Toc473109367"/>
      <w:r>
        <w:rPr>
          <w:rStyle w:val="CharSectno"/>
        </w:rPr>
        <w:t>36</w:t>
      </w:r>
      <w:r>
        <w:rPr>
          <w:snapToGrid w:val="0"/>
        </w:rPr>
        <w:t>.</w:t>
      </w:r>
      <w:r>
        <w:rPr>
          <w:snapToGrid w:val="0"/>
        </w:rPr>
        <w:tab/>
        <w:t>Drugs not to be used for self administration</w:t>
      </w:r>
      <w:bookmarkEnd w:id="49"/>
    </w:p>
    <w:p>
      <w:pPr>
        <w:pStyle w:val="Subsection"/>
        <w:spacing w:before="120"/>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spacing w:before="100"/>
        <w:ind w:left="890" w:hanging="890"/>
      </w:pPr>
      <w:r>
        <w:tab/>
        <w:t>[Section 36 amended by No. 12 of 1994 s. 6.]</w:t>
      </w:r>
    </w:p>
    <w:p>
      <w:pPr>
        <w:pStyle w:val="Heading5"/>
        <w:spacing w:before="200"/>
        <w:rPr>
          <w:snapToGrid w:val="0"/>
        </w:rPr>
      </w:pPr>
      <w:bookmarkStart w:id="50" w:name="_Toc473109368"/>
      <w:r>
        <w:rPr>
          <w:rStyle w:val="CharSectno"/>
        </w:rPr>
        <w:t>36A</w:t>
      </w:r>
      <w:r>
        <w:rPr>
          <w:snapToGrid w:val="0"/>
        </w:rPr>
        <w:t>.</w:t>
      </w:r>
      <w:r>
        <w:rPr>
          <w:snapToGrid w:val="0"/>
        </w:rPr>
        <w:tab/>
        <w:t>Defence for persons participating in conduct of needle and syringe programmes</w:t>
      </w:r>
      <w:bookmarkEnd w:id="50"/>
    </w:p>
    <w:p>
      <w:pPr>
        <w:pStyle w:val="Subsection"/>
        <w:spacing w:before="120"/>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w:t>
      </w:r>
    </w:p>
    <w:p>
      <w:pPr>
        <w:pStyle w:val="Indenta"/>
        <w:spacing w:before="60"/>
        <w:rPr>
          <w:snapToGrid w:val="0"/>
        </w:rPr>
      </w:pPr>
      <w:r>
        <w:rPr>
          <w:snapToGrid w:val="0"/>
        </w:rPr>
        <w:tab/>
        <w:t>(a)</w:t>
      </w:r>
      <w:r>
        <w:rPr>
          <w:snapToGrid w:val="0"/>
        </w:rPr>
        <w:tab/>
        <w:t>supplying any other person with a sterile hypodermic syringe or a sterile hypodermic needle; or</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spacing w:before="120"/>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spacing w:before="100"/>
        <w:ind w:left="890" w:hanging="890"/>
      </w:pPr>
      <w:r>
        <w:tab/>
        <w:t>[Section 36A inserted by No. 12 of 1994 s. 7; amended by No. 28 of 2006 s. 282.]</w:t>
      </w:r>
    </w:p>
    <w:p>
      <w:pPr>
        <w:pStyle w:val="Ednotesection"/>
        <w:spacing w:before="200"/>
      </w:pPr>
      <w:r>
        <w:t>[</w:t>
      </w:r>
      <w:r>
        <w:rPr>
          <w:b/>
        </w:rPr>
        <w:t>37</w:t>
      </w:r>
      <w:r>
        <w:rPr>
          <w:b/>
        </w:rPr>
        <w:noBreakHyphen/>
        <w:t>39.</w:t>
      </w:r>
      <w:r>
        <w:tab/>
        <w:t>Deleted by No. 48 of 1995 s. 18.]</w:t>
      </w:r>
    </w:p>
    <w:p>
      <w:pPr>
        <w:pStyle w:val="Heading5"/>
        <w:spacing w:before="200"/>
        <w:rPr>
          <w:snapToGrid w:val="0"/>
        </w:rPr>
      </w:pPr>
      <w:bookmarkStart w:id="51" w:name="_Toc473109369"/>
      <w:r>
        <w:rPr>
          <w:rStyle w:val="CharSectno"/>
        </w:rPr>
        <w:t>40</w:t>
      </w:r>
      <w:r>
        <w:rPr>
          <w:snapToGrid w:val="0"/>
        </w:rPr>
        <w:t>.</w:t>
      </w:r>
      <w:r>
        <w:rPr>
          <w:snapToGrid w:val="0"/>
        </w:rPr>
        <w:tab/>
        <w:t>Offences against this Part</w:t>
      </w:r>
      <w:bookmarkEnd w:id="51"/>
    </w:p>
    <w:p>
      <w:pPr>
        <w:pStyle w:val="Subsection"/>
        <w:spacing w:before="120"/>
        <w:rPr>
          <w:snapToGrid w:val="0"/>
        </w:rPr>
      </w:pPr>
      <w:r>
        <w:rPr>
          <w:snapToGrid w:val="0"/>
        </w:rPr>
        <w:tab/>
      </w:r>
      <w:r>
        <w:rPr>
          <w:snapToGrid w:val="0"/>
        </w:rPr>
        <w:tab/>
        <w:t>Except where by this Act it is expressly enacted otherwise, every person who —</w:t>
      </w:r>
    </w:p>
    <w:p>
      <w:pPr>
        <w:pStyle w:val="Indenta"/>
        <w:spacing w:before="60"/>
        <w:rPr>
          <w:snapToGrid w:val="0"/>
        </w:rPr>
      </w:pPr>
      <w:r>
        <w:rPr>
          <w:snapToGrid w:val="0"/>
        </w:rPr>
        <w:tab/>
        <w:t>(a)</w:t>
      </w:r>
      <w:r>
        <w:rPr>
          <w:snapToGrid w:val="0"/>
        </w:rPr>
        <w:tab/>
        <w:t>contravenes or fails to comply with any of the provisions of this Part; or</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 or</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 or</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[Section 40 amended by No. 23 of 1966 s. 6; No. 43 of 1978 s. 4; No. 28 of 1984 s. 92; No. 12 of 1994 s. 10; No. 48 of 1995 s. 19; No. 28 of 2006 s. 282.]</w:t>
      </w:r>
    </w:p>
    <w:p>
      <w:pPr>
        <w:pStyle w:val="Heading2"/>
      </w:pPr>
      <w:bookmarkStart w:id="52" w:name="_Toc473109370"/>
      <w:r>
        <w:rPr>
          <w:rStyle w:val="CharPartNo"/>
        </w:rPr>
        <w:t>Part IV</w:t>
      </w:r>
      <w:r>
        <w:rPr>
          <w:rStyle w:val="CharDivNo"/>
        </w:rPr>
        <w:t> </w:t>
      </w:r>
      <w:r>
        <w:t>—</w:t>
      </w:r>
      <w:r>
        <w:rPr>
          <w:rStyle w:val="CharDivText"/>
        </w:rPr>
        <w:t> </w:t>
      </w:r>
      <w:r>
        <w:rPr>
          <w:rStyle w:val="CharPartText"/>
        </w:rPr>
        <w:t>Drugs of addiction</w:t>
      </w:r>
      <w:bookmarkEnd w:id="52"/>
    </w:p>
    <w:p>
      <w:pPr>
        <w:pStyle w:val="Heading5"/>
        <w:spacing w:before="240"/>
        <w:rPr>
          <w:snapToGrid w:val="0"/>
        </w:rPr>
      </w:pPr>
      <w:bookmarkStart w:id="53" w:name="_Toc473109371"/>
      <w:r>
        <w:rPr>
          <w:rStyle w:val="CharSectno"/>
        </w:rPr>
        <w:t>41</w:t>
      </w:r>
      <w:r>
        <w:rPr>
          <w:snapToGrid w:val="0"/>
        </w:rPr>
        <w:t>.</w:t>
      </w:r>
      <w:r>
        <w:rPr>
          <w:snapToGrid w:val="0"/>
        </w:rPr>
        <w:tab/>
        <w:t>Use of Schedule 9 poisons for research etc.</w:t>
      </w:r>
      <w:bookmarkEnd w:id="53"/>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[Section 41 inserted by No. 48 of 1995 s. 20.]</w:t>
      </w:r>
    </w:p>
    <w:p>
      <w:pPr>
        <w:pStyle w:val="Heading5"/>
        <w:spacing w:before="240"/>
        <w:rPr>
          <w:snapToGrid w:val="0"/>
        </w:rPr>
      </w:pPr>
      <w:bookmarkStart w:id="54" w:name="_Toc473109372"/>
      <w:r>
        <w:rPr>
          <w:rStyle w:val="CharSectno"/>
        </w:rPr>
        <w:t>41A</w:t>
      </w:r>
      <w:r>
        <w:rPr>
          <w:snapToGrid w:val="0"/>
        </w:rPr>
        <w:t>.</w:t>
      </w:r>
      <w:r>
        <w:rPr>
          <w:snapToGrid w:val="0"/>
        </w:rPr>
        <w:tab/>
        <w:t>Licence to cultivate prohibited plants</w:t>
      </w:r>
      <w:bookmarkEnd w:id="54"/>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[Section 41A inserted by No. 23 of 1966 s. 8; amended by No. 57 of 1981 s. 17; No. 28 of 1984 s. 92; No. 12 of 1994 s. 10; No. 28 of 2006 s. 282.]</w:t>
      </w:r>
    </w:p>
    <w:p>
      <w:pPr>
        <w:pStyle w:val="Ednotesection"/>
        <w:spacing w:before="240"/>
        <w:ind w:left="890" w:hanging="890"/>
      </w:pPr>
      <w:r>
        <w:t>[</w:t>
      </w:r>
      <w:r>
        <w:rPr>
          <w:b/>
        </w:rPr>
        <w:t>42.</w:t>
      </w:r>
      <w:r>
        <w:tab/>
        <w:t>Deleted by No. 57 of 1981 s. 18.]</w:t>
      </w:r>
    </w:p>
    <w:p>
      <w:pPr>
        <w:pStyle w:val="Ednotesection"/>
        <w:keepNext/>
      </w:pPr>
      <w:r>
        <w:t>[</w:t>
      </w:r>
      <w:r>
        <w:rPr>
          <w:b/>
        </w:rPr>
        <w:t>43.</w:t>
      </w:r>
      <w:r>
        <w:tab/>
        <w:t>Deleted by No. 57 of 1981 s. 19.]</w:t>
      </w:r>
    </w:p>
    <w:p>
      <w:pPr>
        <w:pStyle w:val="Ednotesection"/>
      </w:pPr>
      <w:r>
        <w:t>[</w:t>
      </w:r>
      <w:r>
        <w:rPr>
          <w:b/>
        </w:rPr>
        <w:t>43A.</w:t>
      </w:r>
      <w:r>
        <w:tab/>
        <w:t>Deleted by No. 43 of 1978 s. 5.]</w:t>
      </w:r>
    </w:p>
    <w:p>
      <w:pPr>
        <w:pStyle w:val="Heading5"/>
        <w:rPr>
          <w:snapToGrid w:val="0"/>
        </w:rPr>
      </w:pPr>
      <w:bookmarkStart w:id="55" w:name="_Toc473109373"/>
      <w:r>
        <w:rPr>
          <w:rStyle w:val="CharSectno"/>
        </w:rPr>
        <w:t>44</w:t>
      </w:r>
      <w:r>
        <w:rPr>
          <w:snapToGrid w:val="0"/>
        </w:rPr>
        <w:t>.</w:t>
      </w:r>
      <w:r>
        <w:rPr>
          <w:snapToGrid w:val="0"/>
        </w:rPr>
        <w:tab/>
        <w:t>Offences generally against this Part</w:t>
      </w:r>
      <w:bookmarkEnd w:id="55"/>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[Section 44 amended by No. 23 of 1966 s. 9; No. 51 of 1967 s. 2; No. 87 of 1970 s. 4; No. 43 of 1978 s. 6; No. 48 of 1995 s. 21.]</w:t>
      </w:r>
    </w:p>
    <w:p>
      <w:pPr>
        <w:pStyle w:val="Heading5"/>
        <w:rPr>
          <w:snapToGrid w:val="0"/>
        </w:rPr>
      </w:pPr>
      <w:bookmarkStart w:id="56" w:name="_Toc473109374"/>
      <w:r>
        <w:rPr>
          <w:rStyle w:val="CharSectno"/>
        </w:rPr>
        <w:t>45</w:t>
      </w:r>
      <w:r>
        <w:rPr>
          <w:snapToGrid w:val="0"/>
        </w:rPr>
        <w:t>.</w:t>
      </w:r>
      <w:r>
        <w:rPr>
          <w:snapToGrid w:val="0"/>
        </w:rPr>
        <w:tab/>
        <w:t>Term used: corresponding law</w:t>
      </w:r>
      <w:bookmarkEnd w:id="56"/>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[Section 45 amended by No. 48 of 1995 s. 22.]</w:t>
      </w:r>
    </w:p>
    <w:p>
      <w:pPr>
        <w:pStyle w:val="Heading2"/>
      </w:pPr>
      <w:bookmarkStart w:id="57" w:name="_Toc473109375"/>
      <w:r>
        <w:rPr>
          <w:rStyle w:val="CharPartNo"/>
        </w:rPr>
        <w:t>Part V</w:t>
      </w:r>
      <w:r>
        <w:rPr>
          <w:rStyle w:val="CharDivNo"/>
        </w:rPr>
        <w:t> </w:t>
      </w:r>
      <w:r>
        <w:t>—</w:t>
      </w:r>
      <w:r>
        <w:rPr>
          <w:rStyle w:val="CharDivText"/>
        </w:rPr>
        <w:t> </w:t>
      </w:r>
      <w:r>
        <w:rPr>
          <w:rStyle w:val="CharPartText"/>
        </w:rPr>
        <w:t>Miscellaneous provisions</w:t>
      </w:r>
      <w:bookmarkEnd w:id="57"/>
    </w:p>
    <w:p>
      <w:pPr>
        <w:pStyle w:val="Heading5"/>
        <w:spacing w:before="240"/>
        <w:rPr>
          <w:snapToGrid w:val="0"/>
        </w:rPr>
      </w:pPr>
      <w:bookmarkStart w:id="58" w:name="_Toc473109376"/>
      <w:r>
        <w:rPr>
          <w:rStyle w:val="CharSectno"/>
        </w:rPr>
        <w:t>46</w:t>
      </w:r>
      <w:r>
        <w:rPr>
          <w:snapToGrid w:val="0"/>
        </w:rPr>
        <w:t>.</w:t>
      </w:r>
      <w:r>
        <w:rPr>
          <w:snapToGrid w:val="0"/>
        </w:rPr>
        <w:tab/>
        <w:t>Containers of poisons to be marked or labelled</w:t>
      </w:r>
      <w:bookmarkEnd w:id="58"/>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[Section 46 amended by No. 48 of 1995 s. 23 and 39.]</w:t>
      </w:r>
    </w:p>
    <w:p>
      <w:pPr>
        <w:pStyle w:val="Heading5"/>
        <w:spacing w:before="240"/>
        <w:rPr>
          <w:snapToGrid w:val="0"/>
        </w:rPr>
      </w:pPr>
      <w:bookmarkStart w:id="59" w:name="_Toc473109377"/>
      <w:r>
        <w:rPr>
          <w:rStyle w:val="CharSectno"/>
        </w:rPr>
        <w:t>47</w:t>
      </w:r>
      <w:r>
        <w:rPr>
          <w:snapToGrid w:val="0"/>
        </w:rPr>
        <w:t>.</w:t>
      </w:r>
      <w:r>
        <w:rPr>
          <w:snapToGrid w:val="0"/>
        </w:rPr>
        <w:tab/>
        <w:t>Medicines for internal use not to be sold in certain packages or containers</w:t>
      </w:r>
      <w:bookmarkEnd w:id="59"/>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[Section 47 amended by No. 48 of 1995 s. 24.]</w:t>
      </w:r>
    </w:p>
    <w:p>
      <w:pPr>
        <w:pStyle w:val="Heading5"/>
        <w:spacing w:before="240"/>
        <w:rPr>
          <w:snapToGrid w:val="0"/>
        </w:rPr>
      </w:pPr>
      <w:bookmarkStart w:id="60" w:name="_Toc473109378"/>
      <w:r>
        <w:rPr>
          <w:rStyle w:val="CharSectno"/>
        </w:rPr>
        <w:t>48</w:t>
      </w:r>
      <w:r>
        <w:rPr>
          <w:snapToGrid w:val="0"/>
        </w:rPr>
        <w:t>.</w:t>
      </w:r>
      <w:r>
        <w:rPr>
          <w:snapToGrid w:val="0"/>
        </w:rPr>
        <w:tab/>
        <w:t>Prohibition against hawking etc.</w:t>
      </w:r>
      <w:bookmarkEnd w:id="60"/>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[Section 48 amended by No. 23 of 1966 s. 10; No. 28 of 1984 s. 92; No. 12 of 1994 s. 10; No. 48 of 1995 s. 25.]</w:t>
      </w:r>
    </w:p>
    <w:p>
      <w:pPr>
        <w:pStyle w:val="Heading5"/>
        <w:rPr>
          <w:snapToGrid w:val="0"/>
        </w:rPr>
      </w:pPr>
      <w:bookmarkStart w:id="61" w:name="_Toc473109379"/>
      <w:r>
        <w:rPr>
          <w:rStyle w:val="CharSectno"/>
        </w:rPr>
        <w:t>49</w:t>
      </w:r>
      <w:r>
        <w:rPr>
          <w:snapToGrid w:val="0"/>
        </w:rPr>
        <w:t>.</w:t>
      </w:r>
      <w:r>
        <w:rPr>
          <w:snapToGrid w:val="0"/>
        </w:rPr>
        <w:tab/>
        <w:t>Prohibition against selling by automatic machines</w:t>
      </w:r>
      <w:bookmarkEnd w:id="61"/>
    </w:p>
    <w:p>
      <w:pPr>
        <w:pStyle w:val="Subsection"/>
        <w:keepNext/>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 or</w:t>
      </w:r>
    </w:p>
    <w:p>
      <w:pPr>
        <w:pStyle w:val="Indenta"/>
        <w:rPr>
          <w:snapToGrid w:val="0"/>
        </w:rPr>
      </w:pPr>
      <w:r>
        <w:rPr>
          <w:snapToGrid w:val="0"/>
        </w:rPr>
        <w:tab/>
        <w:t>(b)</w:t>
      </w:r>
      <w:r>
        <w:rPr>
          <w:snapToGrid w:val="0"/>
        </w:rPr>
        <w:tab/>
        <w:t>sell or supply any poison by means of any automatic machine; or</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[Section 49 amended by No. 23 of 1966 s. 11; No. 48 of 1995 s. 26; No. 50 of 2003 s. 84(2).]</w:t>
      </w:r>
    </w:p>
    <w:p>
      <w:pPr>
        <w:pStyle w:val="Heading5"/>
        <w:rPr>
          <w:snapToGrid w:val="0"/>
        </w:rPr>
      </w:pPr>
      <w:bookmarkStart w:id="62" w:name="_Toc473109380"/>
      <w:r>
        <w:rPr>
          <w:rStyle w:val="CharSectno"/>
        </w:rPr>
        <w:t>50</w:t>
      </w:r>
      <w:r>
        <w:rPr>
          <w:snapToGrid w:val="0"/>
        </w:rPr>
        <w:t>.</w:t>
      </w:r>
      <w:r>
        <w:rPr>
          <w:snapToGrid w:val="0"/>
        </w:rPr>
        <w:tab/>
        <w:t>Leaving poisons unlabelled an offence</w:t>
      </w:r>
      <w:bookmarkEnd w:id="62"/>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 xml:space="preserve">This section does not apply to </w:t>
      </w:r>
      <w:r>
        <w:t>pharmacists</w:t>
      </w:r>
      <w:r>
        <w:rPr>
          <w:snapToGrid w:val="0"/>
        </w:rPr>
        <w:t xml:space="preserve">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[Section 50 amended by No. 23 of 1966 s. 12; No. 28 of 1984 s. 92; No. 12 of 1994 s. 10; No. 48 of 1995 s. 27; No. 28 of 2006 s. 282; No. 35 of 2010 s. 131.]</w:t>
      </w:r>
    </w:p>
    <w:p>
      <w:pPr>
        <w:pStyle w:val="Ednotesection"/>
      </w:pPr>
      <w:r>
        <w:t>[</w:t>
      </w:r>
      <w:r>
        <w:rPr>
          <w:b/>
        </w:rPr>
        <w:t>51.</w:t>
      </w:r>
      <w:r>
        <w:tab/>
        <w:t>Deleted by No. 48 of 1995 s. 28.]</w:t>
      </w:r>
    </w:p>
    <w:p>
      <w:pPr>
        <w:pStyle w:val="Heading2"/>
      </w:pPr>
      <w:bookmarkStart w:id="63" w:name="_Toc473109381"/>
      <w:r>
        <w:rPr>
          <w:rStyle w:val="CharPartNo"/>
        </w:rPr>
        <w:t>Part VI</w:t>
      </w:r>
      <w:r>
        <w:rPr>
          <w:rStyle w:val="CharDivNo"/>
        </w:rPr>
        <w:t> </w:t>
      </w:r>
      <w:r>
        <w:t>—</w:t>
      </w:r>
      <w:r>
        <w:rPr>
          <w:rStyle w:val="CharDivText"/>
        </w:rPr>
        <w:t> </w:t>
      </w:r>
      <w:r>
        <w:rPr>
          <w:rStyle w:val="CharPartText"/>
        </w:rPr>
        <w:t>Supplementary provisions</w:t>
      </w:r>
      <w:bookmarkEnd w:id="63"/>
    </w:p>
    <w:p>
      <w:pPr>
        <w:pStyle w:val="Heading5"/>
        <w:spacing w:before="180"/>
        <w:rPr>
          <w:snapToGrid w:val="0"/>
        </w:rPr>
      </w:pPr>
      <w:bookmarkStart w:id="64" w:name="_Toc473109382"/>
      <w:r>
        <w:rPr>
          <w:rStyle w:val="CharSectno"/>
        </w:rPr>
        <w:t>52</w:t>
      </w:r>
      <w:r>
        <w:rPr>
          <w:snapToGrid w:val="0"/>
        </w:rPr>
        <w:t>.</w:t>
      </w:r>
      <w:r>
        <w:rPr>
          <w:snapToGrid w:val="0"/>
        </w:rPr>
        <w:tab/>
        <w:t>Orders in Council may be cancelled or amended</w:t>
      </w:r>
      <w:bookmarkEnd w:id="64"/>
    </w:p>
    <w:p>
      <w:pPr>
        <w:pStyle w:val="Subsection"/>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rPr>
          <w:snapToGrid w:val="0"/>
        </w:rPr>
      </w:pPr>
      <w:bookmarkStart w:id="65" w:name="_Toc473109383"/>
      <w:r>
        <w:rPr>
          <w:rStyle w:val="CharSectno"/>
        </w:rPr>
        <w:t>52A</w:t>
      </w:r>
      <w:r>
        <w:rPr>
          <w:snapToGrid w:val="0"/>
        </w:rPr>
        <w:t>.</w:t>
      </w:r>
      <w:r>
        <w:rPr>
          <w:snapToGrid w:val="0"/>
        </w:rPr>
        <w:tab/>
        <w:t>Minister may declare person to be authorised officer</w:t>
      </w:r>
      <w:bookmarkEnd w:id="65"/>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[Section 52A inserted by No. 48 of 1995 s. 29.]</w:t>
      </w:r>
    </w:p>
    <w:p>
      <w:pPr>
        <w:pStyle w:val="Heading5"/>
        <w:rPr>
          <w:snapToGrid w:val="0"/>
        </w:rPr>
      </w:pPr>
      <w:bookmarkStart w:id="66" w:name="_Toc473109384"/>
      <w:r>
        <w:rPr>
          <w:rStyle w:val="CharSectno"/>
        </w:rPr>
        <w:t>53</w:t>
      </w:r>
      <w:r>
        <w:rPr>
          <w:snapToGrid w:val="0"/>
        </w:rPr>
        <w:t>.</w:t>
      </w:r>
      <w:r>
        <w:rPr>
          <w:snapToGrid w:val="0"/>
        </w:rPr>
        <w:tab/>
        <w:t>Apprehension of offenders</w:t>
      </w:r>
      <w:bookmarkEnd w:id="66"/>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[Section 53 amended by No. 23 of 1966 s. 13; No. 48 of 1995 s. 30; No. 59 of 2006 s. 73.]</w:t>
      </w:r>
    </w:p>
    <w:p>
      <w:pPr>
        <w:pStyle w:val="Heading5"/>
        <w:rPr>
          <w:snapToGrid w:val="0"/>
        </w:rPr>
      </w:pPr>
      <w:bookmarkStart w:id="67" w:name="_Toc473109385"/>
      <w:r>
        <w:rPr>
          <w:rStyle w:val="CharSectno"/>
        </w:rPr>
        <w:t>54</w:t>
      </w:r>
      <w:r>
        <w:rPr>
          <w:snapToGrid w:val="0"/>
        </w:rPr>
        <w:t>.</w:t>
      </w:r>
      <w:r>
        <w:rPr>
          <w:snapToGrid w:val="0"/>
        </w:rPr>
        <w:tab/>
        <w:t>Routine inspection</w:t>
      </w:r>
      <w:bookmarkEnd w:id="67"/>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w:t>
      </w:r>
    </w:p>
    <w:p>
      <w:pPr>
        <w:pStyle w:val="Indenta"/>
        <w:keepNext/>
        <w:spacing w:before="90"/>
        <w:rPr>
          <w:snapToGrid w:val="0"/>
        </w:rPr>
      </w:pPr>
      <w:r>
        <w:rPr>
          <w:snapToGrid w:val="0"/>
        </w:rPr>
        <w:tab/>
        <w:t>(a)</w:t>
      </w:r>
      <w:r>
        <w:rPr>
          <w:snapToGrid w:val="0"/>
        </w:rPr>
        <w:tab/>
        <w:t>enter upon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 or</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[Section 54 inserted by No. 48 of 1995 s. 31.]</w:t>
      </w:r>
    </w:p>
    <w:p>
      <w:pPr>
        <w:pStyle w:val="Heading5"/>
        <w:rPr>
          <w:snapToGrid w:val="0"/>
        </w:rPr>
      </w:pPr>
      <w:bookmarkStart w:id="68" w:name="_Toc473109386"/>
      <w:r>
        <w:rPr>
          <w:rStyle w:val="CharSectno"/>
        </w:rPr>
        <w:t>55</w:t>
      </w:r>
      <w:r>
        <w:rPr>
          <w:snapToGrid w:val="0"/>
        </w:rPr>
        <w:t>.</w:t>
      </w:r>
      <w:r>
        <w:rPr>
          <w:snapToGrid w:val="0"/>
        </w:rPr>
        <w:tab/>
        <w:t>Powers in respect of premises, vehicles or vessels if offence suspected of being committed</w:t>
      </w:r>
      <w:bookmarkEnd w:id="68"/>
    </w:p>
    <w:p>
      <w:pPr>
        <w:pStyle w:val="Subsection"/>
        <w:keepNext/>
        <w:keepLines/>
        <w:rPr>
          <w:snapToGrid w:val="0"/>
        </w:rPr>
      </w:pPr>
      <w:r>
        <w:rPr>
          <w:snapToGrid w:val="0"/>
        </w:rPr>
        <w:tab/>
        <w:t>(1)</w:t>
      </w:r>
      <w:r>
        <w:rPr>
          <w:snapToGrid w:val="0"/>
        </w:rPr>
        <w:tab/>
        <w:t>If an authorised officer has reasonable grounds to suspect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w:t>
      </w:r>
    </w:p>
    <w:p>
      <w:pPr>
        <w:pStyle w:val="Indenta"/>
        <w:keepNext/>
        <w:rPr>
          <w:snapToGrid w:val="0"/>
        </w:rPr>
      </w:pPr>
      <w:r>
        <w:rPr>
          <w:snapToGrid w:val="0"/>
        </w:rPr>
        <w:tab/>
        <w:t>(a)</w:t>
      </w:r>
      <w:r>
        <w:rPr>
          <w:snapToGrid w:val="0"/>
        </w:rPr>
        <w:tab/>
        <w:t>signal or direct the person in control of the vehicle or vessel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[Section 55 inserted by No. 48 of 1995 s. 31.]</w:t>
      </w:r>
    </w:p>
    <w:p>
      <w:pPr>
        <w:pStyle w:val="Heading5"/>
        <w:rPr>
          <w:snapToGrid w:val="0"/>
        </w:rPr>
      </w:pPr>
      <w:bookmarkStart w:id="69" w:name="_Toc473109387"/>
      <w:r>
        <w:rPr>
          <w:rStyle w:val="CharSectno"/>
        </w:rPr>
        <w:t>55A</w:t>
      </w:r>
      <w:r>
        <w:rPr>
          <w:snapToGrid w:val="0"/>
        </w:rPr>
        <w:t>.</w:t>
      </w:r>
      <w:r>
        <w:rPr>
          <w:snapToGrid w:val="0"/>
        </w:rPr>
        <w:tab/>
        <w:t>Warrants</w:t>
      </w:r>
      <w:bookmarkEnd w:id="69"/>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55A inserted by No. 48 of 1995 s. 31; amended by No. 84 of 2004 s. 80.]</w:t>
      </w:r>
    </w:p>
    <w:p>
      <w:pPr>
        <w:pStyle w:val="Heading5"/>
        <w:rPr>
          <w:snapToGrid w:val="0"/>
        </w:rPr>
      </w:pPr>
      <w:bookmarkStart w:id="70" w:name="_Toc473109388"/>
      <w:r>
        <w:rPr>
          <w:rStyle w:val="CharSectno"/>
        </w:rPr>
        <w:t>55B</w:t>
      </w:r>
      <w:r>
        <w:rPr>
          <w:snapToGrid w:val="0"/>
        </w:rPr>
        <w:t>.</w:t>
      </w:r>
      <w:r>
        <w:rPr>
          <w:snapToGrid w:val="0"/>
        </w:rPr>
        <w:tab/>
        <w:t>Person not to hinder or obstruct authorised officer</w:t>
      </w:r>
      <w:bookmarkEnd w:id="70"/>
    </w:p>
    <w:p>
      <w:pPr>
        <w:pStyle w:val="Subsection"/>
        <w:keepNext/>
        <w:rPr>
          <w:snapToGrid w:val="0"/>
        </w:rPr>
      </w:pPr>
      <w:r>
        <w:rPr>
          <w:snapToGrid w:val="0"/>
        </w:rPr>
        <w:tab/>
      </w:r>
      <w:r>
        <w:rPr>
          <w:snapToGrid w:val="0"/>
        </w:rPr>
        <w:tab/>
        <w:t>A person must not without reasonable excuse —</w:t>
      </w:r>
    </w:p>
    <w:p>
      <w:pPr>
        <w:pStyle w:val="Indenta"/>
        <w:rPr>
          <w:snapToGrid w:val="0"/>
        </w:rPr>
      </w:pPr>
      <w:r>
        <w:rPr>
          <w:snapToGrid w:val="0"/>
        </w:rPr>
        <w:tab/>
        <w:t>(a)</w:t>
      </w:r>
      <w:r>
        <w:rPr>
          <w:snapToGrid w:val="0"/>
        </w:rPr>
        <w:tab/>
        <w:t>refuse or fail to comply with a signal or direction given under section 55(2)(a); or</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[Section 55B inserted by No. 48 of 1995 s. 31.]</w:t>
      </w:r>
    </w:p>
    <w:p>
      <w:pPr>
        <w:pStyle w:val="Heading5"/>
        <w:rPr>
          <w:snapToGrid w:val="0"/>
        </w:rPr>
      </w:pPr>
      <w:bookmarkStart w:id="71" w:name="_Toc473109389"/>
      <w:r>
        <w:rPr>
          <w:rStyle w:val="CharSectno"/>
        </w:rPr>
        <w:t>55C</w:t>
      </w:r>
      <w:r>
        <w:rPr>
          <w:snapToGrid w:val="0"/>
        </w:rPr>
        <w:t>.</w:t>
      </w:r>
      <w:r>
        <w:rPr>
          <w:snapToGrid w:val="0"/>
        </w:rPr>
        <w:tab/>
      </w:r>
      <w:r>
        <w:rPr>
          <w:iCs/>
          <w:snapToGrid w:val="0"/>
        </w:rPr>
        <w:t xml:space="preserve">Sections 54 to 55A do not derogate from </w:t>
      </w:r>
      <w:r>
        <w:rPr>
          <w:i/>
          <w:snapToGrid w:val="0"/>
        </w:rPr>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r>
        <w:rPr>
          <w:iCs/>
          <w:snapToGrid w:val="0"/>
        </w:rPr>
        <w:t xml:space="preserve"> or </w:t>
      </w:r>
      <w:r>
        <w:rPr>
          <w:i/>
          <w:snapToGrid w:val="0"/>
        </w:rPr>
        <w:t>Misuse of Drugs Act 1981</w:t>
      </w:r>
      <w:bookmarkEnd w:id="71"/>
    </w:p>
    <w:p>
      <w:pPr>
        <w:pStyle w:val="Subsection"/>
        <w:rPr>
          <w:snapToGrid w:val="0"/>
        </w:rPr>
      </w:pPr>
      <w:r>
        <w:rPr>
          <w:snapToGrid w:val="0"/>
        </w:rPr>
        <w:tab/>
      </w:r>
      <w:r>
        <w:rPr>
          <w:snapToGrid w:val="0"/>
        </w:rPr>
        <w:tab/>
        <w:t xml:space="preserve">Sections 54, 55 and 55A are in addition to, and do not derogate from, the provisions of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or the</w:t>
      </w:r>
      <w:r>
        <w:rPr>
          <w:i/>
          <w:snapToGrid w:val="0"/>
        </w:rPr>
        <w:t xml:space="preserve"> Misuse of Drugs Act 1981</w:t>
      </w:r>
      <w:r>
        <w:rPr>
          <w:snapToGrid w:val="0"/>
        </w:rPr>
        <w:t>.</w:t>
      </w:r>
    </w:p>
    <w:p>
      <w:pPr>
        <w:pStyle w:val="Footnotesection"/>
      </w:pPr>
      <w:r>
        <w:tab/>
        <w:t>[Section 55C inserted by No. 48 of 1995 s. 31; amended by No. 35 of 2010 s. 132.]</w:t>
      </w:r>
    </w:p>
    <w:p>
      <w:pPr>
        <w:pStyle w:val="Heading5"/>
        <w:rPr>
          <w:snapToGrid w:val="0"/>
        </w:rPr>
      </w:pPr>
      <w:bookmarkStart w:id="72" w:name="_Toc473109390"/>
      <w:r>
        <w:rPr>
          <w:rStyle w:val="CharSectno"/>
        </w:rPr>
        <w:t>55D</w:t>
      </w:r>
      <w:r>
        <w:rPr>
          <w:snapToGrid w:val="0"/>
        </w:rPr>
        <w:t>.</w:t>
      </w:r>
      <w:r>
        <w:rPr>
          <w:snapToGrid w:val="0"/>
        </w:rPr>
        <w:tab/>
        <w:t>Order for forfeiture</w:t>
      </w:r>
      <w:bookmarkEnd w:id="72"/>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[Section 55D inserted by No. 48 of 1995 s. 31.]</w:t>
      </w:r>
    </w:p>
    <w:p>
      <w:pPr>
        <w:pStyle w:val="Heading5"/>
        <w:rPr>
          <w:snapToGrid w:val="0"/>
        </w:rPr>
      </w:pPr>
      <w:bookmarkStart w:id="73" w:name="_Toc473109391"/>
      <w:r>
        <w:rPr>
          <w:rStyle w:val="CharSectno"/>
        </w:rPr>
        <w:t>55E</w:t>
      </w:r>
      <w:r>
        <w:rPr>
          <w:snapToGrid w:val="0"/>
        </w:rPr>
        <w:t>.</w:t>
      </w:r>
      <w:r>
        <w:rPr>
          <w:snapToGrid w:val="0"/>
        </w:rPr>
        <w:tab/>
        <w:t>Powers to quarantine or destroy poisons in certain circumstances</w:t>
      </w:r>
      <w:bookmarkEnd w:id="73"/>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 or</w:t>
      </w:r>
    </w:p>
    <w:p>
      <w:pPr>
        <w:pStyle w:val="Indenta"/>
        <w:rPr>
          <w:snapToGrid w:val="0"/>
        </w:rPr>
      </w:pPr>
      <w:r>
        <w:rPr>
          <w:snapToGrid w:val="0"/>
        </w:rPr>
        <w:tab/>
        <w:t>(b)</w:t>
      </w:r>
      <w:r>
        <w:rPr>
          <w:snapToGrid w:val="0"/>
        </w:rPr>
        <w:tab/>
        <w:t>to destroy, or otherwise dispose of, the poison in a specified way; or</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[Section 55E inserted by No. 48 of 1995 s. 31; amended by No. 28 of 2006 s. 281.]</w:t>
      </w:r>
    </w:p>
    <w:p>
      <w:pPr>
        <w:pStyle w:val="Heading5"/>
        <w:rPr>
          <w:snapToGrid w:val="0"/>
        </w:rPr>
      </w:pPr>
      <w:bookmarkStart w:id="74" w:name="_Toc473109392"/>
      <w:r>
        <w:rPr>
          <w:rStyle w:val="CharSectno"/>
        </w:rPr>
        <w:t>56</w:t>
      </w:r>
      <w:r>
        <w:rPr>
          <w:snapToGrid w:val="0"/>
        </w:rPr>
        <w:t>.</w:t>
      </w:r>
      <w:r>
        <w:rPr>
          <w:snapToGrid w:val="0"/>
        </w:rPr>
        <w:tab/>
        <w:t>Sales by employees etc.</w:t>
      </w:r>
      <w:bookmarkEnd w:id="74"/>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75" w:name="_Toc473109393"/>
      <w:r>
        <w:rPr>
          <w:rStyle w:val="CharSectno"/>
        </w:rPr>
        <w:t>57</w:t>
      </w:r>
      <w:r>
        <w:rPr>
          <w:snapToGrid w:val="0"/>
        </w:rPr>
        <w:t>.</w:t>
      </w:r>
      <w:r>
        <w:rPr>
          <w:snapToGrid w:val="0"/>
        </w:rPr>
        <w:tab/>
        <w:t>Persons deemed to have sold poisons</w:t>
      </w:r>
      <w:bookmarkEnd w:id="75"/>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 or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[Section 57 amended by No. 48 of 1995 s. 32 and 39; No. 59 of 2004 s. 141.]</w:t>
      </w:r>
    </w:p>
    <w:p>
      <w:pPr>
        <w:pStyle w:val="Heading5"/>
        <w:spacing w:before="260"/>
        <w:rPr>
          <w:snapToGrid w:val="0"/>
        </w:rPr>
      </w:pPr>
      <w:bookmarkStart w:id="76" w:name="_Toc473109394"/>
      <w:r>
        <w:rPr>
          <w:rStyle w:val="CharSectno"/>
        </w:rPr>
        <w:t>58</w:t>
      </w:r>
      <w:r>
        <w:rPr>
          <w:snapToGrid w:val="0"/>
        </w:rPr>
        <w:t>.</w:t>
      </w:r>
      <w:r>
        <w:rPr>
          <w:snapToGrid w:val="0"/>
        </w:rPr>
        <w:tab/>
        <w:t>Evidence on prosecutions</w:t>
      </w:r>
      <w:bookmarkEnd w:id="76"/>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w:t>
      </w:r>
    </w:p>
    <w:p>
      <w:pPr>
        <w:pStyle w:val="Indenta"/>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[Section 58 amended by No. 48 of 1995 s. 33 and 39.]</w:t>
      </w:r>
    </w:p>
    <w:p>
      <w:pPr>
        <w:pStyle w:val="Heading5"/>
        <w:rPr>
          <w:snapToGrid w:val="0"/>
        </w:rPr>
      </w:pPr>
      <w:bookmarkStart w:id="77" w:name="_Toc473109395"/>
      <w:r>
        <w:rPr>
          <w:rStyle w:val="CharSectno"/>
        </w:rPr>
        <w:t>59</w:t>
      </w:r>
      <w:r>
        <w:rPr>
          <w:snapToGrid w:val="0"/>
        </w:rPr>
        <w:t>.</w:t>
      </w:r>
      <w:r>
        <w:rPr>
          <w:snapToGrid w:val="0"/>
        </w:rPr>
        <w:tab/>
        <w:t>Publication of list of licensed persons</w:t>
      </w:r>
      <w:bookmarkEnd w:id="77"/>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[Section 59 amended by No. 28 of 1984 s. 92; No. 12 of 1994 s. 10; No. 28 of 2006 s. 282.]</w:t>
      </w:r>
    </w:p>
    <w:p>
      <w:pPr>
        <w:pStyle w:val="Heading5"/>
        <w:rPr>
          <w:snapToGrid w:val="0"/>
        </w:rPr>
      </w:pPr>
      <w:bookmarkStart w:id="78" w:name="_Toc473109396"/>
      <w:r>
        <w:rPr>
          <w:rStyle w:val="CharSectno"/>
        </w:rPr>
        <w:t>60</w:t>
      </w:r>
      <w:r>
        <w:rPr>
          <w:snapToGrid w:val="0"/>
        </w:rPr>
        <w:t>.</w:t>
      </w:r>
      <w:r>
        <w:rPr>
          <w:snapToGrid w:val="0"/>
        </w:rPr>
        <w:tab/>
        <w:t>Proof of certificate of analysts</w:t>
      </w:r>
      <w:bookmarkEnd w:id="78"/>
    </w:p>
    <w:p>
      <w:pPr>
        <w:pStyle w:val="Subsection"/>
        <w:keepNext/>
        <w:rPr>
          <w:snapToGrid w:val="0"/>
        </w:rPr>
      </w:pPr>
      <w:r>
        <w:rPr>
          <w:snapToGrid w:val="0"/>
        </w:rPr>
        <w:tab/>
        <w:t>(1)</w:t>
      </w:r>
      <w:r>
        <w:rPr>
          <w:snapToGrid w:val="0"/>
        </w:rPr>
        <w:tab/>
        <w:t>In any legal proceedings for offences against this Act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w:t>
      </w:r>
    </w:p>
    <w:p>
      <w:pPr>
        <w:pStyle w:val="Indenti"/>
        <w:rPr>
          <w:snapToGrid w:val="0"/>
        </w:rPr>
      </w:pPr>
      <w:r>
        <w:rPr>
          <w:snapToGrid w:val="0"/>
        </w:rPr>
        <w:tab/>
        <w:t>(i)</w:t>
      </w:r>
      <w:r>
        <w:rPr>
          <w:snapToGrid w:val="0"/>
        </w:rPr>
        <w:tab/>
        <w:t>of the identity of the thing analysed; and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iCs/>
        </w:rPr>
        <w:t>Health (Miscellaneous Provisions) Act 1911</w:t>
      </w:r>
      <w:r>
        <w:t>.</w:t>
      </w:r>
    </w:p>
    <w:p>
      <w:pPr>
        <w:pStyle w:val="Footnotesection"/>
      </w:pPr>
      <w:r>
        <w:tab/>
        <w:t>[Section 60 amended by No. 84 of 2004 s. 80 and 82; No. 19 of 2016 s. 178.]</w:t>
      </w:r>
    </w:p>
    <w:p>
      <w:pPr>
        <w:pStyle w:val="Heading5"/>
      </w:pPr>
      <w:bookmarkStart w:id="79" w:name="_Toc473109397"/>
      <w:r>
        <w:rPr>
          <w:rStyle w:val="CharSectno"/>
        </w:rPr>
        <w:t>61</w:t>
      </w:r>
      <w:r>
        <w:t>.</w:t>
      </w:r>
      <w:r>
        <w:tab/>
        <w:t>Evidence of qualifications</w:t>
      </w:r>
      <w:bookmarkEnd w:id="79"/>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the CEO and stating that a person is or is not, or was or was not, on a certain date or for a certain period the holder of a licence, permit or authority under this Act is evidence of that matter; and </w:t>
      </w:r>
    </w:p>
    <w:p>
      <w:pPr>
        <w:pStyle w:val="Indenta"/>
      </w:pPr>
      <w:r>
        <w:tab/>
        <w:t>(b)</w:t>
      </w:r>
      <w:r>
        <w:tab/>
        <w:t xml:space="preserve">the production of a copy of the </w:t>
      </w:r>
      <w:r>
        <w:rPr>
          <w:i/>
          <w:iCs/>
        </w:rPr>
        <w:t>Gazette</w:t>
      </w:r>
      <w:r>
        <w:t xml:space="preserve"> containing the list as last published under section 59 in relation to the time in question of persons holding licences or permits under this Act is, if the name of the accused does not appear in the list, prima facie proof that he or she is not a person who holds a licence or permit under this Act; and</w:t>
      </w:r>
    </w:p>
    <w:p>
      <w:pPr>
        <w:pStyle w:val="Indenta"/>
      </w:pPr>
      <w:r>
        <w:tab/>
        <w:t>(c)</w:t>
      </w:r>
      <w:r>
        <w:tab/>
        <w:t xml:space="preserve">a certificate purporting to be issued by the Registrar as defined in the </w:t>
      </w:r>
      <w:r>
        <w:rPr>
          <w:i/>
        </w:rPr>
        <w:t>Veterinary Surgeons Act </w:t>
      </w:r>
      <w:r>
        <w:rPr>
          <w:i/>
          <w:iCs/>
        </w:rPr>
        <w:t>1960</w:t>
      </w:r>
      <w:r>
        <w:t xml:space="preserve"> section 2 that any person is or is not, or was or was not, on a certain date or for a certain period a registered veterinary surgeon is evidence of that matter.</w:t>
      </w:r>
    </w:p>
    <w:p>
      <w:pPr>
        <w:pStyle w:val="Footnotesection"/>
      </w:pPr>
      <w:r>
        <w:tab/>
        <w:t>[Section 61 inserted by No. 35 of 2010 s. 133.]</w:t>
      </w:r>
    </w:p>
    <w:p>
      <w:pPr>
        <w:pStyle w:val="Heading5"/>
        <w:rPr>
          <w:snapToGrid w:val="0"/>
        </w:rPr>
      </w:pPr>
      <w:bookmarkStart w:id="80" w:name="_Toc473109398"/>
      <w:r>
        <w:rPr>
          <w:rStyle w:val="CharSectno"/>
        </w:rPr>
        <w:t>61A</w:t>
      </w:r>
      <w:r>
        <w:rPr>
          <w:snapToGrid w:val="0"/>
        </w:rPr>
        <w:t>.</w:t>
      </w:r>
      <w:r>
        <w:rPr>
          <w:snapToGrid w:val="0"/>
        </w:rPr>
        <w:tab/>
        <w:t>Evidence of approval</w:t>
      </w:r>
      <w:bookmarkEnd w:id="80"/>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[Section 61A inserted by No. 12 of 1994 s. 8; amended by No. 28 of 2006 s. 282.]</w:t>
      </w:r>
    </w:p>
    <w:p>
      <w:pPr>
        <w:pStyle w:val="Heading5"/>
        <w:rPr>
          <w:snapToGrid w:val="0"/>
        </w:rPr>
      </w:pPr>
      <w:bookmarkStart w:id="81" w:name="_Toc473109399"/>
      <w:r>
        <w:rPr>
          <w:rStyle w:val="CharSectno"/>
        </w:rPr>
        <w:t>61B</w:t>
      </w:r>
      <w:r>
        <w:rPr>
          <w:snapToGrid w:val="0"/>
        </w:rPr>
        <w:t>.</w:t>
      </w:r>
      <w:r>
        <w:rPr>
          <w:snapToGrid w:val="0"/>
        </w:rPr>
        <w:tab/>
        <w:t>Evidence of contents of standard</w:t>
      </w:r>
      <w:bookmarkEnd w:id="81"/>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[Section 61B inserted by No. 48 of 1995 s. 34; amended by No. 28 of 2006 s. 282.]</w:t>
      </w:r>
    </w:p>
    <w:p>
      <w:pPr>
        <w:pStyle w:val="Heading5"/>
        <w:rPr>
          <w:snapToGrid w:val="0"/>
        </w:rPr>
      </w:pPr>
      <w:bookmarkStart w:id="82" w:name="_Toc473109400"/>
      <w:r>
        <w:rPr>
          <w:rStyle w:val="CharSectno"/>
        </w:rPr>
        <w:t>62</w:t>
      </w:r>
      <w:r>
        <w:rPr>
          <w:snapToGrid w:val="0"/>
        </w:rPr>
        <w:t>.</w:t>
      </w:r>
      <w:r>
        <w:rPr>
          <w:snapToGrid w:val="0"/>
        </w:rPr>
        <w:tab/>
        <w:t>General penalty</w:t>
      </w:r>
      <w:bookmarkEnd w:id="82"/>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[Section 62 amended by No. 23 of 1966 s. 16; No. 48 of 1995 s. 35.]</w:t>
      </w:r>
    </w:p>
    <w:p>
      <w:pPr>
        <w:pStyle w:val="Heading5"/>
        <w:rPr>
          <w:snapToGrid w:val="0"/>
        </w:rPr>
      </w:pPr>
      <w:bookmarkStart w:id="83" w:name="_Toc473109401"/>
      <w:r>
        <w:rPr>
          <w:rStyle w:val="CharSectno"/>
        </w:rPr>
        <w:t>63</w:t>
      </w:r>
      <w:r>
        <w:rPr>
          <w:snapToGrid w:val="0"/>
        </w:rPr>
        <w:t>.</w:t>
      </w:r>
      <w:r>
        <w:rPr>
          <w:snapToGrid w:val="0"/>
        </w:rPr>
        <w:tab/>
        <w:t>Protection from liability</w:t>
      </w:r>
      <w:bookmarkEnd w:id="83"/>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deleted]</w:t>
      </w:r>
    </w:p>
    <w:p>
      <w:pPr>
        <w:pStyle w:val="Footnotesection"/>
      </w:pPr>
      <w:r>
        <w:tab/>
        <w:t>[Section 63 amended by No. 28 of 1984 s. 92; No. 12 of 1994 s. 10; No. 48 of 1995 s. 36; No. 28 of 2006 s. 282.]</w:t>
      </w:r>
    </w:p>
    <w:p>
      <w:pPr>
        <w:pStyle w:val="Heading5"/>
        <w:rPr>
          <w:snapToGrid w:val="0"/>
        </w:rPr>
      </w:pPr>
      <w:bookmarkStart w:id="84" w:name="_Toc473109402"/>
      <w:r>
        <w:rPr>
          <w:rStyle w:val="CharSectno"/>
        </w:rPr>
        <w:t>64</w:t>
      </w:r>
      <w:r>
        <w:rPr>
          <w:snapToGrid w:val="0"/>
        </w:rPr>
        <w:t>.</w:t>
      </w:r>
      <w:r>
        <w:rPr>
          <w:snapToGrid w:val="0"/>
        </w:rPr>
        <w:tab/>
        <w:t>Regulations</w:t>
      </w:r>
      <w:bookmarkEnd w:id="84"/>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w:t>
      </w:r>
      <w:r>
        <w:t xml:space="preserve"> section 23(2) or (4B) in relation to a poison or medicine;</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 and</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 xml:space="preserve">exempting from all or any of the provisions of this Act and the regulations, substances containing any poison that by their nature are not capable of being used in evasion of this Act and the regulations, or that are supplied or sold by a </w:t>
      </w:r>
      <w:r>
        <w:t>pharmacist</w:t>
      </w:r>
      <w:r>
        <w:rPr>
          <w:snapToGrid w:val="0"/>
        </w:rPr>
        <w:t xml:space="preserve">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 xml:space="preserve">authorising medical practitioners, and </w:t>
      </w:r>
      <w:r>
        <w:t>pharmacist</w:t>
      </w:r>
      <w:r>
        <w:rPr>
          <w:snapToGrid w:val="0"/>
        </w:rPr>
        <w: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iCs/>
        </w:rPr>
        <w:t>Health (Miscellaneous Provisions) Act 1911</w:t>
      </w:r>
      <w:r>
        <w:t xml:space="preserve">, </w:t>
      </w:r>
      <w:r>
        <w:rPr>
          <w:snapToGrid w:val="0"/>
        </w:rPr>
        <w:t xml:space="preserve">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iCs/>
        </w:rPr>
        <w:t>Health (Miscellaneous Provisions) Act 1911</w:t>
      </w:r>
      <w:r>
        <w:t xml:space="preserve"> </w:t>
      </w:r>
      <w:r>
        <w:rPr>
          <w:snapToGrid w:val="0"/>
        </w:rPr>
        <w:t xml:space="preserve">or the </w:t>
      </w:r>
      <w:r>
        <w:rPr>
          <w:i/>
          <w:snapToGrid w:val="0"/>
        </w:rPr>
        <w:t>Misuse of Drugs Act 1981</w:t>
      </w:r>
      <w:r>
        <w:rPr>
          <w:snapToGrid w:val="0"/>
        </w:rPr>
        <w:t>, as referred to in this subsection, the regulations made under this section shall prevail.</w:t>
      </w:r>
    </w:p>
    <w:p>
      <w:pPr>
        <w:pStyle w:val="Footnotesection"/>
      </w:pPr>
      <w:r>
        <w:tab/>
        <w:t>[Section 64 amended by No. 23 of 1966 s. 17; No. 6 of 1969 s. 8; No. 43 of 1978 s. 7; No. 57 of 1981 s. 21; No. 28 of 1984 s. 92; No. 12 of 1994 s. 9 and 10; No. 48 of 1995 s. 37 and 39; No. 9 of 2003 s. 39; No. 28 of 2006 s. 282; No. 35 of 2010 s. 134; No. 19 of 2016 s. 179.]</w:t>
      </w:r>
    </w:p>
    <w:p>
      <w:pPr>
        <w:pStyle w:val="Heading5"/>
        <w:rPr>
          <w:snapToGrid w:val="0"/>
        </w:rPr>
      </w:pPr>
      <w:bookmarkStart w:id="85" w:name="_Toc473109403"/>
      <w:r>
        <w:rPr>
          <w:rStyle w:val="CharSectno"/>
        </w:rPr>
        <w:t>64A</w:t>
      </w:r>
      <w:r>
        <w:rPr>
          <w:snapToGrid w:val="0"/>
        </w:rPr>
        <w:t>.</w:t>
      </w:r>
      <w:r>
        <w:rPr>
          <w:snapToGrid w:val="0"/>
        </w:rPr>
        <w:tab/>
        <w:t>Regulations may adopt standards</w:t>
      </w:r>
      <w:bookmarkEnd w:id="85"/>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[Section 64A inserted by No. 48 of 1995 s. 38.]</w:t>
      </w:r>
    </w:p>
    <w:p>
      <w:pPr>
        <w:pStyle w:val="Heading5"/>
        <w:rPr>
          <w:snapToGrid w:val="0"/>
        </w:rPr>
      </w:pPr>
      <w:bookmarkStart w:id="86" w:name="_Toc473109404"/>
      <w:r>
        <w:rPr>
          <w:rStyle w:val="CharSectno"/>
        </w:rPr>
        <w:t>64B</w:t>
      </w:r>
      <w:r>
        <w:rPr>
          <w:snapToGrid w:val="0"/>
        </w:rPr>
        <w:t>.</w:t>
      </w:r>
      <w:r>
        <w:rPr>
          <w:snapToGrid w:val="0"/>
        </w:rPr>
        <w:tab/>
        <w:t>Copies of standards to be kept and made available to public</w:t>
      </w:r>
      <w:bookmarkEnd w:id="86"/>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[Section 64B inserted by No. 48 of 1995 s. 38; amended by No. 28 of 2006 s. 282.]</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87" w:name="_Toc473109405"/>
      <w:r>
        <w:rPr>
          <w:rStyle w:val="CharSchNo"/>
        </w:rPr>
        <w:t>Appendix A</w:t>
      </w:r>
      <w:bookmarkEnd w:id="87"/>
      <w:r>
        <w:rPr>
          <w:rStyle w:val="CharSchText"/>
        </w:rPr>
        <w:t xml:space="preserve"> </w:t>
      </w:r>
    </w:p>
    <w:p>
      <w:pPr>
        <w:pStyle w:val="yFootnotesection"/>
        <w:ind w:firstLine="0"/>
      </w:pPr>
      <w:r>
        <w:t>[Heading inserted by No. 48 of 1995 s. 40.]</w:t>
      </w:r>
    </w:p>
    <w:p>
      <w:pPr>
        <w:pStyle w:val="yHeading5"/>
        <w:outlineLvl w:val="9"/>
        <w:rPr>
          <w:snapToGrid w:val="0"/>
        </w:rPr>
      </w:pPr>
      <w:bookmarkStart w:id="88" w:name="_Toc473109406"/>
      <w:r>
        <w:rPr>
          <w:rStyle w:val="CharSClsNo"/>
        </w:rPr>
        <w:t>1</w:t>
      </w:r>
      <w:r>
        <w:rPr>
          <w:snapToGrid w:val="0"/>
        </w:rPr>
        <w:t>.</w:t>
      </w:r>
      <w:r>
        <w:rPr>
          <w:snapToGrid w:val="0"/>
        </w:rPr>
        <w:tab/>
        <w:t>Term used: SUSMP</w:t>
      </w:r>
      <w:bookmarkEnd w:id="88"/>
    </w:p>
    <w:p>
      <w:pPr>
        <w:pStyle w:val="ySubsection"/>
      </w:pPr>
      <w:r>
        <w:tab/>
        <w:t>(1)</w:t>
      </w:r>
      <w:r>
        <w:tab/>
        <w:t xml:space="preserve">In this Appendix — </w:t>
      </w:r>
    </w:p>
    <w:p>
      <w:pPr>
        <w:pStyle w:val="yDefstart"/>
      </w:pPr>
      <w:r>
        <w:tab/>
      </w:r>
      <w:r>
        <w:rPr>
          <w:rStyle w:val="CharDefText"/>
        </w:rPr>
        <w:t>SUSMP</w:t>
      </w:r>
      <w:r>
        <w:t xml:space="preserve"> means the current Poisons Standard as defined in the </w:t>
      </w:r>
      <w:r>
        <w:rPr>
          <w:i/>
          <w:iCs/>
        </w:rPr>
        <w:t>Therapeutic Goods Act 1989</w:t>
      </w:r>
      <w:r>
        <w:t xml:space="preserve"> (Commonwealth) section 52A.</w:t>
      </w:r>
    </w:p>
    <w:p>
      <w:pPr>
        <w:pStyle w:val="ySubsection"/>
        <w:spacing w:before="200"/>
        <w:rPr>
          <w:snapToGrid w:val="0"/>
        </w:rPr>
      </w:pPr>
      <w:r>
        <w:rPr>
          <w:snapToGrid w:val="0"/>
        </w:rPr>
        <w:tab/>
        <w:t>(2)</w:t>
      </w:r>
      <w:r>
        <w:rPr>
          <w:snapToGrid w:val="0"/>
        </w:rPr>
        <w:tab/>
        <w:t xml:space="preserve">If for the purposes of this Appendix it is necessary to interpret a Schedule to the </w:t>
      </w:r>
      <w:r>
        <w:t xml:space="preserve">SUSMP, </w:t>
      </w:r>
      <w:r>
        <w:rPr>
          <w:snapToGrid w:val="0"/>
        </w:rPr>
        <w:t xml:space="preserve">the definitions and interpretation provisions in the </w:t>
      </w:r>
      <w:r>
        <w:t xml:space="preserve">SUSMP </w:t>
      </w:r>
      <w:r>
        <w:rPr>
          <w:snapToGrid w:val="0"/>
        </w:rPr>
        <w:t>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 22 Oct 2010 p. 5216</w:t>
      </w:r>
      <w:r>
        <w:noBreakHyphen/>
        <w:t>17.]</w:t>
      </w:r>
    </w:p>
    <w:p>
      <w:pPr>
        <w:pStyle w:val="yScheduleHeading"/>
        <w:pageBreakBefore w:val="0"/>
        <w:spacing w:before="400"/>
      </w:pPr>
      <w:bookmarkStart w:id="89" w:name="_Toc473109407"/>
      <w:r>
        <w:t>Schedule 1</w:t>
      </w:r>
      <w:bookmarkEnd w:id="89"/>
    </w:p>
    <w:p>
      <w:pPr>
        <w:pStyle w:val="yMiscellaneousBody"/>
        <w:rPr>
          <w:snapToGrid w:val="0"/>
        </w:rPr>
      </w:pPr>
      <w:r>
        <w:rPr>
          <w:snapToGrid w:val="0"/>
        </w:rPr>
        <w:t xml:space="preserve">All substances listed in Schedule 1 to the </w:t>
      </w:r>
      <w:r>
        <w:t>SUSMP</w:t>
      </w:r>
      <w:r>
        <w:rPr>
          <w:snapToGrid w:val="0"/>
        </w:rPr>
        <w:t>.</w:t>
      </w:r>
    </w:p>
    <w:p>
      <w:pPr>
        <w:pStyle w:val="yFootnotesection"/>
      </w:pPr>
      <w:r>
        <w:tab/>
        <w:t>[Schedule 1 inserted by No. 48 of 1995 s. 40; amended in Gazette 22 Oct 2010 p. 5217.]</w:t>
      </w:r>
    </w:p>
    <w:p>
      <w:pPr>
        <w:pStyle w:val="yScheduleHeading"/>
        <w:pageBreakBefore w:val="0"/>
        <w:spacing w:before="400"/>
      </w:pPr>
      <w:bookmarkStart w:id="90" w:name="_Toc473109408"/>
      <w:r>
        <w:t>Schedule 2</w:t>
      </w:r>
      <w:bookmarkEnd w:id="90"/>
    </w:p>
    <w:p>
      <w:pPr>
        <w:pStyle w:val="yMiscellaneousBody"/>
        <w:rPr>
          <w:snapToGrid w:val="0"/>
        </w:rPr>
      </w:pPr>
      <w:r>
        <w:rPr>
          <w:snapToGrid w:val="0"/>
        </w:rPr>
        <w:t xml:space="preserve">All substances listed in Schedule 2 to the </w:t>
      </w:r>
      <w:r>
        <w:t>SUSMP</w:t>
      </w:r>
      <w:r>
        <w:rPr>
          <w:snapToGrid w:val="0"/>
        </w:rPr>
        <w:t>.</w:t>
      </w:r>
    </w:p>
    <w:p>
      <w:pPr>
        <w:pStyle w:val="yFootnotesection"/>
      </w:pPr>
      <w:r>
        <w:tab/>
        <w:t>[Schedule 2 inserted by No. 48 of 1995 s. 40; amended in Gazette 22 Oct 2010 p. 5217.]</w:t>
      </w:r>
    </w:p>
    <w:p>
      <w:pPr>
        <w:pStyle w:val="yScheduleHeading"/>
        <w:pageBreakBefore w:val="0"/>
        <w:spacing w:before="400"/>
      </w:pPr>
      <w:bookmarkStart w:id="91" w:name="_Toc473109409"/>
      <w:r>
        <w:t>Schedule 3</w:t>
      </w:r>
      <w:bookmarkEnd w:id="91"/>
    </w:p>
    <w:p>
      <w:pPr>
        <w:pStyle w:val="yMiscellaneousBody"/>
        <w:rPr>
          <w:snapToGrid w:val="0"/>
        </w:rPr>
      </w:pPr>
      <w:r>
        <w:rPr>
          <w:snapToGrid w:val="0"/>
        </w:rPr>
        <w:t>All substances listed in Schedule 3 to the</w:t>
      </w:r>
      <w:r>
        <w:t xml:space="preserve"> SUSMP</w:t>
      </w:r>
      <w:r>
        <w:rPr>
          <w:snapToGrid w:val="0"/>
        </w:rPr>
        <w:t>.</w:t>
      </w:r>
    </w:p>
    <w:p>
      <w:pPr>
        <w:pStyle w:val="yFootnotesection"/>
      </w:pPr>
      <w:r>
        <w:tab/>
        <w:t>[Schedule 3 inserted by No. 48 of 1995 s. 40; amended in Gazette 22 Oct 2010 p. 5217.]</w:t>
      </w:r>
    </w:p>
    <w:p>
      <w:pPr>
        <w:pStyle w:val="yScheduleHeading"/>
        <w:pageBreakBefore w:val="0"/>
        <w:spacing w:before="400"/>
      </w:pPr>
      <w:bookmarkStart w:id="92" w:name="_Toc473109410"/>
      <w:r>
        <w:t>Schedule 4</w:t>
      </w:r>
      <w:bookmarkEnd w:id="92"/>
    </w:p>
    <w:p>
      <w:pPr>
        <w:pStyle w:val="yMiscellaneousBody"/>
        <w:keepNext/>
        <w:keepLines/>
        <w:rPr>
          <w:snapToGrid w:val="0"/>
        </w:rPr>
      </w:pPr>
      <w:r>
        <w:rPr>
          <w:snapToGrid w:val="0"/>
        </w:rPr>
        <w:t>All substances listed in Schedule 4 to the</w:t>
      </w:r>
      <w:r>
        <w:t xml:space="preserve"> SUSMP</w:t>
      </w:r>
      <w:r>
        <w:rPr>
          <w:snapToGrid w:val="0"/>
        </w:rPr>
        <w:t>, subject to the following modification —</w:t>
      </w:r>
    </w:p>
    <w:p>
      <w:pPr>
        <w:pStyle w:val="yMiscellaneousBody"/>
        <w:keepNext/>
        <w:keepLines/>
        <w:rPr>
          <w:snapToGrid w:val="0"/>
          <w:u w:val="single"/>
        </w:rPr>
      </w:pPr>
      <w:r>
        <w:rPr>
          <w:snapToGrid w:val="0"/>
          <w:u w:val="single"/>
        </w:rPr>
        <w:t>The following substance is added to Schedule 4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 22 Oct 2010 p. 5217.]</w:t>
      </w:r>
    </w:p>
    <w:p>
      <w:pPr>
        <w:pStyle w:val="yScheduleHeading"/>
        <w:pageBreakBefore w:val="0"/>
        <w:spacing w:before="400"/>
      </w:pPr>
      <w:bookmarkStart w:id="93" w:name="_Toc473109411"/>
      <w:r>
        <w:t>Schedule 5</w:t>
      </w:r>
      <w:bookmarkEnd w:id="93"/>
    </w:p>
    <w:p>
      <w:pPr>
        <w:pStyle w:val="yMiscellaneousBody"/>
        <w:rPr>
          <w:snapToGrid w:val="0"/>
        </w:rPr>
      </w:pPr>
      <w:r>
        <w:rPr>
          <w:snapToGrid w:val="0"/>
        </w:rPr>
        <w:t>All substances listed in Schedule 5 to the</w:t>
      </w:r>
      <w:r>
        <w:t xml:space="preserve"> SUSMP</w:t>
      </w:r>
      <w:r>
        <w:rPr>
          <w:snapToGrid w:val="0"/>
        </w:rPr>
        <w:t>.</w:t>
      </w:r>
    </w:p>
    <w:p>
      <w:pPr>
        <w:pStyle w:val="yFootnotesection"/>
      </w:pPr>
      <w:r>
        <w:tab/>
        <w:t>[Schedule 5 inserted by No. 48 of 1995 s. 40; amended in Gazette 10 Oct 2003 p. 4404 and p. 4405; 22 Oct 2010 p. 5217.]</w:t>
      </w:r>
    </w:p>
    <w:p>
      <w:pPr>
        <w:pStyle w:val="yScheduleHeading"/>
        <w:pageBreakBefore w:val="0"/>
        <w:spacing w:before="400"/>
      </w:pPr>
      <w:bookmarkStart w:id="94" w:name="_Toc473109412"/>
      <w:r>
        <w:t>Schedule 6</w:t>
      </w:r>
      <w:bookmarkEnd w:id="94"/>
    </w:p>
    <w:p>
      <w:pPr>
        <w:pStyle w:val="yMiscellaneousBody"/>
      </w:pPr>
      <w:r>
        <w:rPr>
          <w:snapToGrid w:val="0"/>
        </w:rPr>
        <w:t>All substances listed in Schedule 6 to the</w:t>
      </w:r>
      <w:r>
        <w:t xml:space="preserve"> SUSMP</w:t>
      </w:r>
      <w:r>
        <w:rPr>
          <w:snapToGrid w:val="0"/>
        </w:rPr>
        <w:t xml:space="preserve">, subject to the following </w:t>
      </w:r>
      <w:r>
        <w:t>modification —</w:t>
      </w:r>
    </w:p>
    <w:p>
      <w:pPr>
        <w:pStyle w:val="yMiscellaneousBody"/>
        <w:rPr>
          <w:snapToGrid w:val="0"/>
          <w:u w:val="single"/>
        </w:rPr>
      </w:pPr>
      <w:r>
        <w:rPr>
          <w:snapToGrid w:val="0"/>
          <w:u w:val="single"/>
        </w:rPr>
        <w:t>The following substance is deleted from Schedule 6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 22 Oct 2010 p. 5217.]</w:t>
      </w:r>
    </w:p>
    <w:p>
      <w:pPr>
        <w:pStyle w:val="yScheduleHeading"/>
        <w:pageBreakBefore w:val="0"/>
        <w:spacing w:before="400"/>
      </w:pPr>
      <w:bookmarkStart w:id="95" w:name="_Toc473109413"/>
      <w:r>
        <w:t>Schedule 7</w:t>
      </w:r>
      <w:bookmarkEnd w:id="95"/>
    </w:p>
    <w:p>
      <w:pPr>
        <w:pStyle w:val="yMiscellaneousBody"/>
        <w:rPr>
          <w:snapToGrid w:val="0"/>
        </w:rPr>
      </w:pPr>
      <w:r>
        <w:rPr>
          <w:snapToGrid w:val="0"/>
        </w:rPr>
        <w:t>All substances listed in Schedule 7 to the</w:t>
      </w:r>
      <w:r>
        <w:t xml:space="preserve"> SUSMP</w:t>
      </w:r>
      <w:r>
        <w:rPr>
          <w:snapToGrid w:val="0"/>
        </w:rPr>
        <w:t>, subject to the following modifications —</w:t>
      </w:r>
    </w:p>
    <w:p>
      <w:pPr>
        <w:pStyle w:val="yMiscellaneousBody"/>
        <w:rPr>
          <w:snapToGrid w:val="0"/>
          <w:u w:val="single"/>
        </w:rPr>
      </w:pPr>
      <w:r>
        <w:rPr>
          <w:snapToGrid w:val="0"/>
          <w:u w:val="single"/>
        </w:rPr>
        <w:t xml:space="preserve">The description of the following substance in Schedule 7 to the </w:t>
      </w:r>
      <w:r>
        <w:rPr>
          <w:u w:val="single"/>
        </w:rPr>
        <w:t>SUSMP</w:t>
      </w:r>
      <w:r>
        <w:rPr>
          <w:snapToGrid w:val="0"/>
          <w:u w:val="single"/>
        </w:rPr>
        <w:t xml:space="preserve"> is modified in the following manner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w:t>
      </w:r>
      <w:r>
        <w:rPr>
          <w:snapToGrid w:val="0"/>
          <w:spacing w:val="28"/>
        </w:rPr>
        <w:t>f”</w:t>
      </w:r>
      <w:r>
        <w:rPr>
          <w:snapToGrid w:val="0"/>
        </w:rPr>
        <w:t>.</w:t>
      </w:r>
    </w:p>
    <w:p>
      <w:pPr>
        <w:pStyle w:val="yMiscellaneousBody"/>
        <w:keepNext/>
        <w:keepLines/>
        <w:rPr>
          <w:snapToGrid w:val="0"/>
          <w:u w:val="single"/>
        </w:rPr>
      </w:pPr>
      <w:r>
        <w:rPr>
          <w:snapToGrid w:val="0"/>
          <w:u w:val="single"/>
        </w:rPr>
        <w:t>The following substances are added to Schedule 7 to the</w:t>
      </w:r>
      <w:r>
        <w:rPr>
          <w:u w:val="single"/>
        </w:rPr>
        <w:t xml:space="preserve"> SUSMP</w:t>
      </w:r>
      <w:r>
        <w:rPr>
          <w:snapToGrid w:val="0"/>
          <w:u w:val="single"/>
        </w:rPr>
        <w:t>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 22 Oct 2010 p. 5217.]</w:t>
      </w:r>
    </w:p>
    <w:p>
      <w:pPr>
        <w:pStyle w:val="yScheduleHeading"/>
        <w:pageBreakBefore w:val="0"/>
        <w:spacing w:before="400"/>
      </w:pPr>
      <w:bookmarkStart w:id="96" w:name="_Toc473109414"/>
      <w:r>
        <w:t>Schedule 8</w:t>
      </w:r>
      <w:bookmarkEnd w:id="96"/>
    </w:p>
    <w:p>
      <w:pPr>
        <w:pStyle w:val="yMiscellaneousBody"/>
        <w:rPr>
          <w:snapToGrid w:val="0"/>
        </w:rPr>
      </w:pPr>
      <w:r>
        <w:rPr>
          <w:snapToGrid w:val="0"/>
        </w:rPr>
        <w:t>All substances listed in Schedule 8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 is added to Schedule 8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 22 Oct 2010 p. 5217.]</w:t>
      </w:r>
    </w:p>
    <w:p>
      <w:pPr>
        <w:pStyle w:val="yScheduleHeading"/>
      </w:pPr>
      <w:bookmarkStart w:id="97" w:name="_Toc473109415"/>
      <w:r>
        <w:t>Schedule 9</w:t>
      </w:r>
      <w:bookmarkEnd w:id="97"/>
    </w:p>
    <w:p>
      <w:pPr>
        <w:pStyle w:val="yMiscellaneousBody"/>
        <w:rPr>
          <w:snapToGrid w:val="0"/>
        </w:rPr>
      </w:pPr>
      <w:r>
        <w:rPr>
          <w:snapToGrid w:val="0"/>
        </w:rPr>
        <w:t>All substances listed in Schedule 9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substances are added to Schedule 9 to the</w:t>
      </w:r>
      <w:r>
        <w:rPr>
          <w:u w:val="single"/>
        </w:rPr>
        <w:t xml:space="preserve"> SUSMP</w:t>
      </w:r>
      <w:r>
        <w:rPr>
          <w:snapToGrid w:val="0"/>
          <w:u w:val="single"/>
        </w:rPr>
        <w:t> —</w:t>
      </w:r>
    </w:p>
    <w:p>
      <w:pPr>
        <w:pStyle w:val="yMiscellaneousBody"/>
        <w:tabs>
          <w:tab w:val="left" w:pos="567"/>
        </w:tabs>
        <w:spacing w:before="120" w:after="20"/>
        <w:ind w:left="567" w:hanging="567"/>
        <w:rPr>
          <w:snapToGrid w:val="0"/>
        </w:rPr>
      </w:pPr>
      <w:r>
        <w:rPr>
          <w:snapToGrid w:val="0"/>
        </w:rPr>
        <w:t>*</w:t>
      </w:r>
      <w:r>
        <w:rPr>
          <w:snapToGrid w:val="0"/>
        </w:rPr>
        <w:tab/>
      </w:r>
      <w:r>
        <w:rPr>
          <w:caps/>
          <w:snapToGrid w:val="0"/>
        </w:rPr>
        <w:t>N-(adamantan-1-yl)-1-(5-fluoropentyl)-1H-indole-3-carboxamide (STS-135).</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N-((3s,5s,7s)-adamantan-1-yl)-1-(5-fluoropentyl)-1H-indazole-3-carboxamide (5-F AKB48 or 5-F APINACA).</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N-(1-adamantyl)-1-pentyl-1H-indole-3-carboxamide (2NE1 or SDB-001).</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N-(1-adamantyl)-1-pentyl-1H-indazole-3-carboxamide (AKB48 or APINACA).</w:t>
      </w:r>
    </w:p>
    <w:p>
      <w:pPr>
        <w:pStyle w:val="yMiscellaneousBody"/>
        <w:tabs>
          <w:tab w:val="left" w:pos="567"/>
        </w:tabs>
        <w:spacing w:before="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0" w:after="20"/>
        <w:ind w:left="567" w:hanging="567"/>
        <w:rPr>
          <w:caps/>
          <w:snapToGrid w:val="0"/>
        </w:rPr>
      </w:pPr>
      <w:r>
        <w:rPr>
          <w:snapToGrid w:val="0"/>
        </w:rPr>
        <w:t>*</w:t>
      </w:r>
      <w:r>
        <w:rPr>
          <w:snapToGrid w:val="0"/>
        </w:rPr>
        <w:tab/>
        <w:t>ALPHA</w:t>
      </w:r>
      <w:r>
        <w:rPr>
          <w:caps/>
          <w:snapToGrid w:val="0"/>
        </w:rPr>
        <w:t>-pyrrolidinovalerophenone (Alpha-PVP).</w:t>
      </w:r>
    </w:p>
    <w:p>
      <w:pPr>
        <w:pStyle w:val="yMiscellaneousBody"/>
        <w:tabs>
          <w:tab w:val="left" w:pos="567"/>
        </w:tabs>
        <w:spacing w:before="20" w:after="20"/>
        <w:ind w:left="567" w:hanging="567"/>
        <w:rPr>
          <w:snapToGrid w:val="0"/>
        </w:rPr>
      </w:pPr>
      <w:r>
        <w:rPr>
          <w:snapToGrid w:val="0"/>
        </w:rPr>
        <w:t>*</w:t>
      </w:r>
      <w:r>
        <w:rPr>
          <w:snapToGrid w:val="0"/>
        </w:rPr>
        <w:tab/>
        <w:t>N-[1-(aminocarbonyl)-2,2-dimethylpropyl]-1-pentyl-1H-indazole-3-carboxamide (ADB</w:t>
      </w:r>
      <w:r>
        <w:rPr>
          <w:snapToGrid w:val="0"/>
        </w:rPr>
        <w:noBreakHyphen/>
        <w:t>PINACA).</w:t>
      </w:r>
    </w:p>
    <w:p>
      <w:pPr>
        <w:pStyle w:val="yMiscellaneousBody"/>
        <w:tabs>
          <w:tab w:val="left" w:pos="567"/>
        </w:tabs>
        <w:spacing w:before="20" w:after="20"/>
        <w:ind w:left="567" w:hanging="567"/>
        <w:rPr>
          <w:snapToGrid w:val="0"/>
        </w:rPr>
      </w:pPr>
      <w:r>
        <w:rPr>
          <w:snapToGrid w:val="0"/>
        </w:rPr>
        <w:t>*</w:t>
      </w:r>
      <w:r>
        <w:rPr>
          <w:snapToGrid w:val="0"/>
        </w:rPr>
        <w:tab/>
        <w:t>N-[1-(aminocarbonyl)-2-methylpropyl]-1-(cyclohexylmethyl)-1H-indazole-3-carboxamide (AB</w:t>
      </w:r>
      <w:r>
        <w:rPr>
          <w:snapToGrid w:val="0"/>
        </w:rPr>
        <w:noBreakHyphen/>
        <w:t>CHMINACA).</w:t>
      </w:r>
    </w:p>
    <w:p>
      <w:pPr>
        <w:pStyle w:val="yMiscellaneousBody"/>
        <w:tabs>
          <w:tab w:val="left" w:pos="567"/>
        </w:tabs>
        <w:spacing w:before="20" w:after="20"/>
        <w:ind w:left="567" w:hanging="567"/>
        <w:rPr>
          <w:snapToGrid w:val="0"/>
        </w:rPr>
      </w:pPr>
      <w:r>
        <w:rPr>
          <w:snapToGrid w:val="0"/>
        </w:rPr>
        <w:t>*</w:t>
      </w:r>
      <w:r>
        <w:rPr>
          <w:snapToGrid w:val="0"/>
        </w:rPr>
        <w:tab/>
        <w:t>N-[(1S)-1-(aminocarbonyl)-2-methylpropyl]-1-(5-fluoropentyl)-1H-indazole-3-carboxamide (5F</w:t>
      </w:r>
      <w:r>
        <w:rPr>
          <w:snapToGrid w:val="0"/>
        </w:rPr>
        <w:noBreakHyphen/>
        <w:t>AB</w:t>
      </w:r>
      <w:r>
        <w:rPr>
          <w:snapToGrid w:val="0"/>
        </w:rPr>
        <w:noBreakHyphen/>
        <w:t>PINACA).</w:t>
      </w:r>
    </w:p>
    <w:p>
      <w:pPr>
        <w:pStyle w:val="yMiscellaneousBody"/>
        <w:tabs>
          <w:tab w:val="left" w:pos="567"/>
        </w:tabs>
        <w:spacing w:before="0" w:after="20"/>
        <w:ind w:left="567" w:hanging="567"/>
        <w:rPr>
          <w:caps/>
          <w:snapToGrid w:val="0"/>
        </w:rPr>
      </w:pPr>
      <w:r>
        <w:rPr>
          <w:snapToGrid w:val="0"/>
        </w:rPr>
        <w:t>*</w:t>
      </w:r>
      <w:r>
        <w:rPr>
          <w:snapToGrid w:val="0"/>
        </w:rPr>
        <w:tab/>
      </w:r>
      <w:r>
        <w:rPr>
          <w:caps/>
          <w:snapToGrid w:val="0"/>
        </w:rPr>
        <w:t>N-[(</w:t>
      </w:r>
      <w:r>
        <w:rPr>
          <w:snapToGrid w:val="0"/>
        </w:rPr>
        <w:t>1S</w:t>
      </w:r>
      <w:r>
        <w:rPr>
          <w:caps/>
          <w:snapToGrid w:val="0"/>
        </w:rPr>
        <w:t>)-1-(aminocarbonyl)-2-methylpropyl]-1-[(4-fluorophenyl)methyl]-1H-indazole-3-carboxamide (AB-FUBINACA).</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w:t>
      </w:r>
      <w:r>
        <w:rPr>
          <w:snapToGrid w:val="0"/>
        </w:rPr>
        <w:t>1S</w:t>
      </w:r>
      <w:r>
        <w:rPr>
          <w:caps/>
          <w:snapToGrid w:val="0"/>
        </w:rPr>
        <w:t>)-1-(aminocarbonyl)-2-methylpropyl]-1-pentyl-1H-indazole-3-carboxamide (AB PINACA).</w:t>
      </w:r>
    </w:p>
    <w:p>
      <w:pPr>
        <w:pStyle w:val="yMiscellaneousBody"/>
        <w:tabs>
          <w:tab w:val="left" w:pos="567"/>
        </w:tabs>
        <w:spacing w:before="0" w:after="20"/>
        <w:ind w:left="567" w:hanging="567"/>
        <w:rPr>
          <w:caps/>
          <w:snapToGrid w:val="0"/>
        </w:rPr>
      </w:pPr>
      <w:r>
        <w:rPr>
          <w:snapToGrid w:val="0"/>
        </w:rPr>
        <w:t>*</w:t>
      </w:r>
      <w:r>
        <w:rPr>
          <w:snapToGrid w:val="0"/>
        </w:rPr>
        <w:tab/>
      </w:r>
      <w:r>
        <w:rPr>
          <w:caps/>
          <w:snapToGrid w:val="0"/>
        </w:rPr>
        <w:t>6-(2-</w:t>
      </w:r>
      <w:r>
        <w:rPr>
          <w:snapToGrid w:val="0"/>
        </w:rPr>
        <w:t>AMINOPROPYL</w:t>
      </w:r>
      <w:r>
        <w:rPr>
          <w:caps/>
          <w:snapToGrid w:val="0"/>
        </w:rPr>
        <w:t>)benzofuran (6-APB).</w:t>
      </w:r>
    </w:p>
    <w:p>
      <w:pPr>
        <w:pStyle w:val="yMiscellaneousBody"/>
        <w:tabs>
          <w:tab w:val="left" w:pos="567"/>
        </w:tabs>
        <w:spacing w:before="20" w:after="20"/>
        <w:ind w:left="567" w:hanging="567"/>
        <w:rPr>
          <w:snapToGrid w:val="0"/>
        </w:rPr>
      </w:pPr>
      <w:r>
        <w:rPr>
          <w:snapToGrid w:val="0"/>
        </w:rPr>
        <w:t>*</w:t>
      </w:r>
      <w:r>
        <w:rPr>
          <w:snapToGrid w:val="0"/>
        </w:rPr>
        <w:tab/>
        <w:t>N-(1-amino-3,3-dimethyl-1-oxobutan-2-yl)-1-(cyclohexylmethyl)-1H-indazole-3-carboxamide (MAB</w:t>
      </w:r>
      <w:r>
        <w:rPr>
          <w:snapToGrid w:val="0"/>
        </w:rPr>
        <w:noBreakHyphen/>
        <w:t>CHMINACA or ADB</w:t>
      </w:r>
      <w:r>
        <w:rPr>
          <w:snapToGrid w:val="0"/>
        </w:rPr>
        <w:noBreakHyphen/>
        <w:t>CHMINACA).</w:t>
      </w:r>
    </w:p>
    <w:p>
      <w:pPr>
        <w:pStyle w:val="yMiscellaneousBody"/>
        <w:tabs>
          <w:tab w:val="left" w:pos="567"/>
        </w:tabs>
        <w:spacing w:before="20" w:after="20"/>
        <w:ind w:left="567" w:hanging="567"/>
        <w:rPr>
          <w:snapToGrid w:val="0"/>
        </w:rPr>
      </w:pPr>
      <w:r>
        <w:rPr>
          <w:snapToGrid w:val="0"/>
        </w:rPr>
        <w:t>*</w:t>
      </w:r>
      <w:r>
        <w:rPr>
          <w:snapToGrid w:val="0"/>
        </w:rPr>
        <w:tab/>
        <w:t>N-(1-amino-3,3-dimethyl-1-oxobutan-2-yl)-1-(5-fluoropentyl)-1H-indole-3-carboxamide (5F</w:t>
      </w:r>
      <w:r>
        <w:rPr>
          <w:snapToGrid w:val="0"/>
        </w:rPr>
        <w:noBreakHyphen/>
        <w:t>ADBICA).</w:t>
      </w:r>
    </w:p>
    <w:p>
      <w:pPr>
        <w:pStyle w:val="yMiscellaneousBody"/>
        <w:tabs>
          <w:tab w:val="left" w:pos="567"/>
        </w:tabs>
        <w:spacing w:before="20" w:after="20"/>
        <w:ind w:left="567" w:hanging="567"/>
        <w:rPr>
          <w:snapToGrid w:val="0"/>
        </w:rPr>
      </w:pPr>
      <w:r>
        <w:rPr>
          <w:snapToGrid w:val="0"/>
        </w:rPr>
        <w:t>*</w:t>
      </w:r>
      <w:r>
        <w:rPr>
          <w:snapToGrid w:val="0"/>
        </w:rPr>
        <w:tab/>
        <w:t>N-(1-amino-3-methyl-1-oxobutan-2-yl)-1-(5-fluoropentyl)-1H-indole-3-carboxamide (5F</w:t>
      </w:r>
      <w:r>
        <w:rPr>
          <w:snapToGrid w:val="0"/>
        </w:rPr>
        <w:noBreakHyphen/>
        <w:t>ABICA).</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BUTYL</w:t>
      </w:r>
      <w:r>
        <w:rPr>
          <w:snapToGrid w:val="0"/>
        </w:rPr>
        <w:noBreakHyphen/>
        <w:t>3</w:t>
      </w:r>
      <w:r>
        <w:rPr>
          <w:snapToGrid w:val="0"/>
        </w:rPr>
        <w:noBreakHyphen/>
        <w:t>(1</w:t>
      </w:r>
      <w:r>
        <w:rPr>
          <w:snapToGrid w:val="0"/>
        </w:rPr>
        <w:noBreakHyphen/>
        <w:t>NAPHTHOYL)INDOLE *(JWH</w:t>
      </w:r>
      <w:r>
        <w:rPr>
          <w:snapToGrid w:val="0"/>
        </w:rPr>
        <w:noBreakHyphen/>
        <w:t>073).</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0" w:after="20"/>
        <w:ind w:left="567" w:hanging="567"/>
        <w:rPr>
          <w:caps/>
          <w:snapToGrid w:val="0"/>
        </w:rPr>
      </w:pPr>
      <w:r>
        <w:rPr>
          <w:caps/>
          <w:snapToGrid w:val="0"/>
        </w:rPr>
        <w:t>*</w:t>
      </w:r>
      <w:r>
        <w:rPr>
          <w:caps/>
          <w:snapToGrid w:val="0"/>
        </w:rPr>
        <w:tab/>
        <w:t>[3-(3-carbamoylphenyl)phenyl]N-cyclohexylcarbamate (URB-597).</w:t>
      </w:r>
    </w:p>
    <w:p>
      <w:pPr>
        <w:pStyle w:val="yMiscellaneousBody"/>
        <w:tabs>
          <w:tab w:val="left" w:pos="567"/>
        </w:tabs>
        <w:spacing w:before="20" w:after="20"/>
        <w:ind w:left="567" w:hanging="567"/>
        <w:rPr>
          <w:caps/>
          <w:snapToGrid w:val="0"/>
        </w:rPr>
      </w:pPr>
      <w:r>
        <w:rPr>
          <w:snapToGrid w:val="0"/>
        </w:rPr>
        <w:t>*</w:t>
      </w:r>
      <w:r>
        <w:rPr>
          <w:snapToGrid w:val="0"/>
        </w:rPr>
        <w:tab/>
        <w:t>(E)-4-chloro-N-(1-(4-nitrophenethyl)piperidin-2-ylidene)benzenesulfonamide (W</w:t>
      </w:r>
      <w:r>
        <w:rPr>
          <w:snapToGrid w:val="0"/>
        </w:rPr>
        <w:noBreakHyphen/>
        <w:t>18).</w:t>
      </w:r>
    </w:p>
    <w:p>
      <w:pPr>
        <w:pStyle w:val="yMiscellaneousBody"/>
        <w:tabs>
          <w:tab w:val="left" w:pos="567"/>
        </w:tabs>
        <w:spacing w:before="0" w:after="20"/>
        <w:ind w:left="567" w:hanging="567"/>
        <w:rPr>
          <w:caps/>
          <w:snapToGrid w:val="0"/>
        </w:rPr>
      </w:pPr>
      <w:r>
        <w:rPr>
          <w:caps/>
          <w:snapToGrid w:val="0"/>
        </w:rPr>
        <w:t>*</w:t>
      </w:r>
      <w:r>
        <w:rPr>
          <w:caps/>
          <w:snapToGrid w:val="0"/>
        </w:rPr>
        <w:tab/>
        <w:t>(1R,2S,3S,5S)-3-(4-chlorophenyl)-8-methyl-2-[3-(4-methylphenyl)-5-isoxazolyl]-8-azabicyclo[3.2.1]octane (RTI-336).</w:t>
      </w:r>
    </w:p>
    <w:p>
      <w:pPr>
        <w:pStyle w:val="yMiscellaneousBody"/>
        <w:tabs>
          <w:tab w:val="left" w:pos="567"/>
        </w:tabs>
        <w:spacing w:before="0" w:after="20"/>
        <w:ind w:left="567" w:hanging="567"/>
        <w:rPr>
          <w:caps/>
          <w:snapToGrid w:val="0"/>
        </w:rPr>
      </w:pPr>
      <w:r>
        <w:rPr>
          <w:caps/>
          <w:snapToGrid w:val="0"/>
        </w:rPr>
        <w:t>*</w:t>
      </w:r>
      <w:r>
        <w:rPr>
          <w:caps/>
          <w:snapToGrid w:val="0"/>
        </w:rPr>
        <w:tab/>
        <w:t>Cyclohexyl-[1,1-biphenyl]-3-ylcarbamate (URB-602).</w:t>
      </w:r>
    </w:p>
    <w:p>
      <w:pPr>
        <w:pStyle w:val="yMiscellaneousBody"/>
        <w:tabs>
          <w:tab w:val="left" w:pos="567"/>
        </w:tabs>
        <w:spacing w:before="0" w:after="20"/>
        <w:ind w:left="567" w:hanging="567"/>
        <w:rPr>
          <w:caps/>
          <w:snapToGrid w:val="0"/>
        </w:rPr>
      </w:pPr>
      <w:r>
        <w:rPr>
          <w:caps/>
          <w:snapToGrid w:val="0"/>
        </w:rPr>
        <w:t>*</w:t>
      </w:r>
      <w:r>
        <w:rPr>
          <w:caps/>
          <w:snapToGrid w:val="0"/>
        </w:rPr>
        <w:tab/>
        <w:t>1-(cyclohexylmethyl)-1H-indole-3-carboxylic acid 8-quinolinyl ester (BB-22).</w:t>
      </w:r>
    </w:p>
    <w:p>
      <w:pPr>
        <w:pStyle w:val="yMiscellaneousBody"/>
        <w:tabs>
          <w:tab w:val="left" w:pos="567"/>
        </w:tabs>
        <w:spacing w:before="20" w:after="20"/>
        <w:ind w:left="567" w:hanging="567"/>
        <w:rPr>
          <w:snapToGrid w:val="0"/>
        </w:rPr>
      </w:pPr>
      <w:r>
        <w:rPr>
          <w:snapToGrid w:val="0"/>
        </w:rPr>
        <w:t>*</w:t>
      </w:r>
      <w:r>
        <w:rPr>
          <w:snapToGrid w:val="0"/>
        </w:rPr>
        <w:tab/>
        <w:t>1-CYCLOHEXYLETHYL-3-(2-METHOXYPHENYLACETYL)INDOLE (RCS-8).</w:t>
      </w:r>
    </w:p>
    <w:p>
      <w:pPr>
        <w:pStyle w:val="yMiscellaneousBody"/>
        <w:tabs>
          <w:tab w:val="left" w:pos="567"/>
        </w:tabs>
        <w:spacing w:before="0" w:after="20"/>
        <w:ind w:left="567" w:hanging="567"/>
        <w:rPr>
          <w:caps/>
          <w:snapToGrid w:val="0"/>
        </w:rPr>
      </w:pPr>
      <w:r>
        <w:rPr>
          <w:caps/>
          <w:snapToGrid w:val="0"/>
        </w:rPr>
        <w:t>*</w:t>
      </w:r>
      <w:r>
        <w:rPr>
          <w:caps/>
          <w:snapToGrid w:val="0"/>
        </w:rPr>
        <w:tab/>
        <w:t>Desoxypipradrol (2-DPMP).</w:t>
      </w:r>
    </w:p>
    <w:p>
      <w:pPr>
        <w:pStyle w:val="yMiscellaneousBody"/>
        <w:tabs>
          <w:tab w:val="left" w:pos="567"/>
        </w:tabs>
        <w:spacing w:before="0" w:after="20"/>
        <w:ind w:left="567" w:hanging="567"/>
        <w:rPr>
          <w:caps/>
          <w:snapToGrid w:val="0"/>
        </w:rPr>
      </w:pPr>
      <w:r>
        <w:rPr>
          <w:caps/>
          <w:snapToGrid w:val="0"/>
        </w:rPr>
        <w:t>*</w:t>
      </w:r>
      <w:r>
        <w:rPr>
          <w:caps/>
          <w:snapToGrid w:val="0"/>
        </w:rPr>
        <w:tab/>
        <w:t>3,4-dichloro-N-[(1-dimethylamino) cyclohexylmethyl] benzamide (AH-7921).</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1,3</w:t>
      </w:r>
      <w:r>
        <w:rPr>
          <w:snapToGrid w:val="0"/>
        </w:rPr>
        <w:noBreakHyphen/>
        <w:t>DIMETHYLAMYLAMINE (DMAA).</w:t>
      </w:r>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DIMETHYLHEPTYL)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t>PHENOL *(CP 47, 497).</w:t>
      </w:r>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DIMETHYLOCTYL)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t>PHENOL *(CANNABICYCLOHEXANOL or CP 47, 497 C8 HOMOLOGUE).</w:t>
      </w:r>
    </w:p>
    <w:p>
      <w:pPr>
        <w:pStyle w:val="yMiscellaneousBody"/>
        <w:tabs>
          <w:tab w:val="left" w:pos="567"/>
        </w:tabs>
        <w:spacing w:before="20" w:after="20"/>
        <w:ind w:left="567" w:hanging="567"/>
        <w:rPr>
          <w:snapToGrid w:val="0"/>
        </w:rPr>
      </w:pPr>
      <w:r>
        <w:rPr>
          <w:snapToGrid w:val="0"/>
        </w:rPr>
        <w:t>*</w:t>
      </w:r>
      <w:r>
        <w:rPr>
          <w:snapToGrid w:val="0"/>
        </w:rPr>
        <w:tab/>
        <w:t>Diphenidine.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0" w:after="20"/>
        <w:ind w:left="567" w:hanging="567"/>
        <w:rPr>
          <w:caps/>
          <w:snapToGrid w:val="0"/>
        </w:rPr>
      </w:pPr>
      <w:r>
        <w:rPr>
          <w:caps/>
          <w:snapToGrid w:val="0"/>
        </w:rPr>
        <w:t>*</w:t>
      </w:r>
      <w:r>
        <w:rPr>
          <w:caps/>
          <w:snapToGrid w:val="0"/>
        </w:rPr>
        <w:tab/>
        <w:t>1-(5-fluoropentyl)-1H-indole-3-carboxylic acid 8-quinolinyl ester (5F-PB22).</w:t>
      </w:r>
    </w:p>
    <w:p>
      <w:pPr>
        <w:pStyle w:val="yMiscellaneousBody"/>
        <w:tabs>
          <w:tab w:val="left" w:pos="567"/>
        </w:tabs>
        <w:spacing w:before="0" w:after="20"/>
        <w:ind w:left="567" w:hanging="567"/>
        <w:rPr>
          <w:caps/>
          <w:snapToGrid w:val="0"/>
        </w:rPr>
      </w:pPr>
      <w:r>
        <w:rPr>
          <w:caps/>
          <w:snapToGrid w:val="0"/>
        </w:rPr>
        <w:t>*</w:t>
      </w:r>
      <w:r>
        <w:rPr>
          <w:caps/>
          <w:snapToGrid w:val="0"/>
        </w:rPr>
        <w:tab/>
        <w:t>[1-(5-fluoropentyl)-1H-indol-3-yl]-(2,2,3,3-tetramethylcyclopropyl)methanone (XLR11 or 5-fluoro UR144).</w:t>
      </w:r>
    </w:p>
    <w:p>
      <w:pPr>
        <w:pStyle w:val="yMiscellaneousBody"/>
        <w:tabs>
          <w:tab w:val="left" w:pos="567"/>
        </w:tabs>
        <w:spacing w:before="0" w:after="20"/>
        <w:ind w:left="567" w:hanging="567"/>
        <w:rPr>
          <w:caps/>
          <w:snapToGrid w:val="0"/>
        </w:rPr>
      </w:pPr>
      <w:r>
        <w:rPr>
          <w:caps/>
          <w:snapToGrid w:val="0"/>
        </w:rPr>
        <w:t>*</w:t>
      </w:r>
      <w:r>
        <w:rPr>
          <w:caps/>
          <w:snapToGrid w:val="0"/>
        </w:rPr>
        <w:tab/>
        <w:t>1-(5-fluoropentyl)-3-(4-methyl-1-naphthoyl)indole (MAM-2201).</w:t>
      </w:r>
    </w:p>
    <w:p>
      <w:pPr>
        <w:pStyle w:val="yMiscellaneousBody"/>
        <w:tabs>
          <w:tab w:val="left" w:pos="567"/>
        </w:tabs>
        <w:spacing w:before="0" w:after="20"/>
        <w:ind w:left="567" w:hanging="567"/>
        <w:rPr>
          <w:caps/>
          <w:snapToGrid w:val="0"/>
        </w:rPr>
      </w:pPr>
      <w:r>
        <w:rPr>
          <w:snapToGrid w:val="0"/>
        </w:rPr>
        <w:t>*</w:t>
      </w:r>
      <w:r>
        <w:rPr>
          <w:snapToGrid w:val="0"/>
        </w:rPr>
        <w:tab/>
        <w:t>1-(5-fluoropentyl)-N-(1-methyl-1-phenylethyl)-1H-indazole-3-carboxamide (SGT</w:t>
      </w:r>
      <w:r>
        <w:rPr>
          <w:snapToGrid w:val="0"/>
        </w:rPr>
        <w:noBreakHyphen/>
        <w:t>25).</w:t>
      </w:r>
    </w:p>
    <w:p>
      <w:pPr>
        <w:pStyle w:val="yMiscellaneousBody"/>
        <w:tabs>
          <w:tab w:val="left" w:pos="567"/>
        </w:tabs>
        <w:spacing w:before="20" w:after="20"/>
        <w:ind w:left="567" w:hanging="567"/>
        <w:rPr>
          <w:snapToGrid w:val="0"/>
        </w:rPr>
      </w:pPr>
      <w:r>
        <w:rPr>
          <w:snapToGrid w:val="0"/>
        </w:rPr>
        <w:t>*</w:t>
      </w:r>
      <w:r>
        <w:rPr>
          <w:snapToGrid w:val="0"/>
        </w:rPr>
        <w:tab/>
        <w:t>1-(5-FLUOROPENTYL)-3-(1-NAPHTHOYL)INDOLE (AM-2201).</w:t>
      </w:r>
    </w:p>
    <w:p>
      <w:pPr>
        <w:pStyle w:val="yMiscellaneousBody"/>
        <w:tabs>
          <w:tab w:val="left" w:pos="567"/>
        </w:tabs>
        <w:spacing w:before="20" w:after="20"/>
        <w:ind w:left="567" w:hanging="567"/>
        <w:rPr>
          <w:snapToGrid w:val="0"/>
        </w:rPr>
      </w:pPr>
      <w:r>
        <w:rPr>
          <w:snapToGrid w:val="0"/>
        </w:rPr>
        <w:t>*</w:t>
      </w:r>
      <w:r>
        <w:rPr>
          <w:snapToGrid w:val="0"/>
        </w:rPr>
        <w:tab/>
        <w:t>1-HEXYL-3-(1-NAPHTHOYL)INDOLE (JWH-019).</w:t>
      </w:r>
    </w:p>
    <w:p>
      <w:pPr>
        <w:pStyle w:val="yMiscellaneousBody"/>
        <w:tabs>
          <w:tab w:val="left" w:pos="567"/>
        </w:tabs>
        <w:spacing w:before="20" w:after="20"/>
        <w:ind w:left="567" w:hanging="567"/>
        <w:rPr>
          <w:snapToGrid w:val="0"/>
        </w:rPr>
      </w:pPr>
      <w:r>
        <w:rPr>
          <w:snapToGrid w:val="0"/>
        </w:rPr>
        <w:t>*</w:t>
      </w:r>
      <w:r>
        <w:rPr>
          <w:snapToGrid w:val="0"/>
        </w:rPr>
        <w:tab/>
        <w:t>9-(HYDROXYMETHYL)-6,6-DIMETHYL-3-(2-METHYLOCTAN-2-YL)-6A,7,10,10A-TETRAHYDROBENZO[C]CHROMEN-1-OL (HU</w:t>
      </w:r>
      <w:r>
        <w:rPr>
          <w:snapToGrid w:val="0"/>
        </w:rPr>
        <w:noBreakHyphen/>
        <w:t>210).</w:t>
      </w:r>
    </w:p>
    <w:p>
      <w:pPr>
        <w:pStyle w:val="yMiscellaneousBody"/>
        <w:tabs>
          <w:tab w:val="left" w:pos="567"/>
        </w:tabs>
        <w:spacing w:before="0" w:after="20"/>
        <w:ind w:left="567" w:hanging="567"/>
        <w:rPr>
          <w:caps/>
          <w:snapToGrid w:val="0"/>
        </w:rPr>
      </w:pPr>
      <w:r>
        <w:rPr>
          <w:caps/>
          <w:snapToGrid w:val="0"/>
        </w:rPr>
        <w:t>*</w:t>
      </w:r>
      <w:r>
        <w:rPr>
          <w:caps/>
          <w:snapToGrid w:val="0"/>
        </w:rPr>
        <w:tab/>
        <w:t>N-(2-methoxylbenzyl)-2,5-dimethoxy-4-bromophenethylamine (25B-NBOMe).</w:t>
      </w:r>
    </w:p>
    <w:p>
      <w:pPr>
        <w:pStyle w:val="yMiscellaneousBody"/>
        <w:tabs>
          <w:tab w:val="left" w:pos="567"/>
        </w:tabs>
        <w:spacing w:before="0" w:after="20"/>
        <w:ind w:left="567" w:hanging="567"/>
        <w:rPr>
          <w:caps/>
          <w:snapToGrid w:val="0"/>
        </w:rPr>
      </w:pPr>
      <w:r>
        <w:rPr>
          <w:caps/>
          <w:snapToGrid w:val="0"/>
        </w:rPr>
        <w:t>*</w:t>
      </w:r>
      <w:r>
        <w:rPr>
          <w:caps/>
          <w:snapToGrid w:val="0"/>
        </w:rPr>
        <w:tab/>
        <w:t>N-(2-methoxylbenzyl)-2,5-dimethoxy-4-chlorophenethylamine (25C-NBOMe).</w:t>
      </w:r>
    </w:p>
    <w:p>
      <w:pPr>
        <w:pStyle w:val="yMiscellaneousBody"/>
        <w:tabs>
          <w:tab w:val="left" w:pos="567"/>
        </w:tabs>
        <w:spacing w:before="0" w:after="20"/>
        <w:ind w:left="567" w:hanging="567"/>
        <w:rPr>
          <w:caps/>
          <w:snapToGrid w:val="0"/>
        </w:rPr>
      </w:pPr>
      <w:r>
        <w:rPr>
          <w:caps/>
          <w:snapToGrid w:val="0"/>
        </w:rPr>
        <w:t>*</w:t>
      </w:r>
      <w:r>
        <w:rPr>
          <w:caps/>
          <w:snapToGrid w:val="0"/>
        </w:rPr>
        <w:tab/>
        <w:t>N-(2-methoxylbenzyl)-2,5-dimethoxy-4-iodophenethylamine (25I-NBOMe).</w:t>
      </w:r>
    </w:p>
    <w:p>
      <w:pPr>
        <w:pStyle w:val="yMiscellaneousBody"/>
        <w:tabs>
          <w:tab w:val="left" w:pos="567"/>
        </w:tabs>
        <w:spacing w:before="0" w:after="20"/>
        <w:ind w:left="567" w:hanging="567"/>
        <w:rPr>
          <w:caps/>
          <w:snapToGrid w:val="0"/>
        </w:rPr>
      </w:pPr>
      <w:r>
        <w:rPr>
          <w:snapToGrid w:val="0"/>
        </w:rPr>
        <w:t>*</w:t>
      </w:r>
      <w:r>
        <w:rPr>
          <w:snapToGrid w:val="0"/>
        </w:rPr>
        <w:tab/>
        <w:t>2-Methoxydiphenidine (2</w:t>
      </w:r>
      <w:r>
        <w:rPr>
          <w:snapToGrid w:val="0"/>
        </w:rPr>
        <w:noBreakHyphen/>
        <w:t>MXP or MXP).</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4-METHOXYPHENYL(1-BUTYL-1H-INDOL-3-YL)-METHANONE (RCS-4 (C4)).</w:t>
      </w:r>
    </w:p>
    <w:p>
      <w:pPr>
        <w:pStyle w:val="yMiscellaneousBody"/>
        <w:tabs>
          <w:tab w:val="left" w:pos="567"/>
        </w:tabs>
        <w:spacing w:before="20" w:after="20"/>
        <w:ind w:left="567" w:hanging="567"/>
        <w:rPr>
          <w:snapToGrid w:val="0"/>
        </w:rPr>
      </w:pPr>
      <w:r>
        <w:rPr>
          <w:snapToGrid w:val="0"/>
        </w:rPr>
        <w:t>*</w:t>
      </w:r>
      <w:r>
        <w:rPr>
          <w:snapToGrid w:val="0"/>
        </w:rPr>
        <w:tab/>
        <w:t>2-(4-METHOXYPHENYL)-1-(1-PENTYL-1H-INDOL-3-YL)-ETHANONE (JWH-201).</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(2</w:t>
      </w:r>
      <w:r>
        <w:rPr>
          <w:snapToGrid w:val="0"/>
        </w:rPr>
        <w:noBreakHyphen/>
        <w:t>METHOXYPHENYL)</w:t>
      </w:r>
      <w:r>
        <w:rPr>
          <w:snapToGrid w:val="0"/>
        </w:rPr>
        <w:noBreakHyphen/>
        <w:t>1</w:t>
      </w:r>
      <w:r>
        <w:rPr>
          <w:snapToGrid w:val="0"/>
        </w:rPr>
        <w:noBreakHyphen/>
        <w:t>(1</w:t>
      </w:r>
      <w:r>
        <w:rPr>
          <w:snapToGrid w:val="0"/>
        </w:rPr>
        <w:noBreakHyphen/>
        <w:t>PENTYLINDOL</w:t>
      </w:r>
      <w:r>
        <w:rPr>
          <w:snapToGrid w:val="0"/>
        </w:rPr>
        <w:noBreakHyphen/>
        <w:t>3</w:t>
      </w:r>
      <w:r>
        <w:rPr>
          <w:snapToGrid w:val="0"/>
        </w:rPr>
        <w:noBreakHyphen/>
        <w:t>YL) ETHANONE *(JWH</w:t>
      </w:r>
      <w:r>
        <w:rPr>
          <w:snapToGrid w:val="0"/>
        </w:rPr>
        <w:noBreakHyphen/>
        <w:t>250).</w:t>
      </w:r>
    </w:p>
    <w:p>
      <w:pPr>
        <w:pStyle w:val="yMiscellaneousBody"/>
        <w:tabs>
          <w:tab w:val="left" w:pos="567"/>
        </w:tabs>
        <w:spacing w:before="20" w:after="20"/>
        <w:ind w:left="567" w:hanging="567"/>
        <w:rPr>
          <w:snapToGrid w:val="0"/>
        </w:rPr>
      </w:pPr>
      <w:r>
        <w:rPr>
          <w:snapToGrid w:val="0"/>
        </w:rPr>
        <w:t>*</w:t>
      </w:r>
      <w:r>
        <w:rPr>
          <w:snapToGrid w:val="0"/>
        </w:rPr>
        <w:tab/>
        <w:t>2-(3-METHOXYPHENYL)-1-(1-PENTYLINDOL-3-YL)ETHANONE (JWH-302).</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methyl (S)-2-[1-(5-fluoropentyl)-1H-indazole-3-carboxamido]-3,3-dimethylbutanoate (5F</w:t>
      </w:r>
      <w:r>
        <w:rPr>
          <w:snapToGrid w:val="0"/>
        </w:rPr>
        <w:noBreakHyphen/>
        <w:t>ADB).</w:t>
      </w:r>
    </w:p>
    <w:p>
      <w:pPr>
        <w:pStyle w:val="yMiscellaneousBody"/>
        <w:tabs>
          <w:tab w:val="left" w:pos="567"/>
        </w:tabs>
        <w:spacing w:before="20" w:after="20"/>
        <w:ind w:left="567" w:hanging="567"/>
        <w:rPr>
          <w:snapToGrid w:val="0"/>
        </w:rPr>
      </w:pPr>
      <w:r>
        <w:rPr>
          <w:snapToGrid w:val="0"/>
        </w:rPr>
        <w:t>*</w:t>
      </w:r>
      <w:r>
        <w:rPr>
          <w:snapToGrid w:val="0"/>
        </w:rPr>
        <w:tab/>
        <w:t>methyl 2-(1-(5-fluoropentyl)-1H-indazole-3-carboxamido)-3-methylbutanoate (5F</w:t>
      </w:r>
      <w:r>
        <w:rPr>
          <w:snapToGrid w:val="0"/>
        </w:rPr>
        <w:noBreakHyphen/>
        <w:t>AMB).</w:t>
      </w:r>
    </w:p>
    <w:p>
      <w:pPr>
        <w:pStyle w:val="yMiscellaneousBody"/>
        <w:tabs>
          <w:tab w:val="left" w:pos="567"/>
        </w:tabs>
        <w:spacing w:before="0" w:after="20"/>
        <w:ind w:left="567" w:hanging="567"/>
        <w:rPr>
          <w:caps/>
          <w:snapToGrid w:val="0"/>
        </w:rPr>
      </w:pPr>
      <w:r>
        <w:rPr>
          <w:caps/>
          <w:snapToGrid w:val="0"/>
        </w:rPr>
        <w:t>*</w:t>
      </w:r>
      <w:r>
        <w:rPr>
          <w:caps/>
          <w:snapToGrid w:val="0"/>
        </w:rPr>
        <w:tab/>
        <w:t>5,6-methylenedioxy-2aminoindane (MDAI).</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ETHYLAMPHETAMINE *(MDE).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METHYLENEDIOXYPYROVALERONE (MDPV).</w:t>
      </w:r>
    </w:p>
    <w:p>
      <w:pPr>
        <w:pStyle w:val="yMiscellaneousBody"/>
        <w:tabs>
          <w:tab w:val="left" w:pos="567"/>
        </w:tabs>
        <w:spacing w:before="0" w:after="20"/>
        <w:ind w:left="567" w:hanging="567"/>
        <w:rPr>
          <w:rFonts w:ascii="Arial" w:hAnsi="Arial" w:cs="Arial"/>
        </w:rPr>
      </w:pPr>
      <w:r>
        <w:rPr>
          <w:snapToGrid w:val="0"/>
        </w:rPr>
        <w:t>*</w:t>
      </w:r>
      <w:r>
        <w:rPr>
          <w:snapToGrid w:val="0"/>
        </w:rPr>
        <w:tab/>
      </w:r>
      <w:r>
        <w:rPr>
          <w:caps/>
          <w:snapToGrid w:val="0"/>
        </w:rPr>
        <w:t>4-methylethylcathinone (4-MEC).</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1-[(N-methylpiperidin-2-yl)methyl]-3-(1-adamantoyl)indole (AM-1248).</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1-[(N-methylpiperidin-2-yl)methyl]3-(2-iodobenzoyl)indole (AM-2233).</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1-[(N-methylpiperidin-2-yl)methyl]3-(4-methyl-1-naphthoyl)indole (MAM-1220).</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1-[(N-methylpiperidin-2-yl)methyl]3-(1-naphthoyl)indole (AM-1220).</w:t>
      </w:r>
    </w:p>
    <w:p>
      <w:pPr>
        <w:pStyle w:val="yMiscellaneousBody"/>
        <w:tabs>
          <w:tab w:val="left" w:pos="567"/>
        </w:tabs>
        <w:spacing w:before="0" w:after="20"/>
        <w:ind w:left="567" w:hanging="567"/>
        <w:rPr>
          <w:caps/>
          <w:snapToGrid w:val="0"/>
        </w:rPr>
      </w:pPr>
      <w:r>
        <w:rPr>
          <w:caps/>
          <w:snapToGrid w:val="0"/>
        </w:rPr>
        <w:t>*</w:t>
      </w:r>
      <w:r>
        <w:rPr>
          <w:caps/>
          <w:snapToGrid w:val="0"/>
        </w:rPr>
        <w:tab/>
        <w:t>[1-(2-morpholin-4-ylethyl)-1H-indol-3-yl]-(2,2,3,3-tetramethylcyclopropyl)methanone (A796,260).</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[2</w:t>
      </w:r>
      <w:r>
        <w:rPr>
          <w:snapToGrid w:val="0"/>
        </w:rPr>
        <w:noBreakHyphen/>
        <w:t>(4</w:t>
      </w:r>
      <w:r>
        <w:rPr>
          <w:snapToGrid w:val="0"/>
        </w:rPr>
        <w:noBreakHyphen/>
        <w:t>MORPHOLINYL)ETHYL]</w:t>
      </w:r>
      <w:r>
        <w:rPr>
          <w:snapToGrid w:val="0"/>
        </w:rPr>
        <w:noBreakHyphen/>
        <w:t>3</w:t>
      </w:r>
      <w:r>
        <w:rPr>
          <w:snapToGrid w:val="0"/>
        </w:rPr>
        <w:noBreakHyphen/>
        <w:t>(1</w:t>
      </w:r>
      <w:r>
        <w:rPr>
          <w:snapToGrid w:val="0"/>
        </w:rPr>
        <w:noBreakHyphen/>
        <w:t>NAPHTHOYL)INDOLE *(JWH</w:t>
      </w:r>
      <w:r>
        <w:rPr>
          <w:snapToGrid w:val="0"/>
        </w:rPr>
        <w:noBreakHyphen/>
        <w:t>200).</w:t>
      </w:r>
    </w:p>
    <w:p>
      <w:pPr>
        <w:pStyle w:val="yMiscellaneousBody"/>
        <w:tabs>
          <w:tab w:val="left" w:pos="567"/>
        </w:tabs>
        <w:spacing w:before="0" w:after="20"/>
        <w:ind w:left="567" w:hanging="567"/>
        <w:rPr>
          <w:caps/>
          <w:snapToGrid w:val="0"/>
        </w:rPr>
      </w:pPr>
      <w:r>
        <w:rPr>
          <w:caps/>
          <w:snapToGrid w:val="0"/>
        </w:rPr>
        <w:t>*</w:t>
      </w:r>
      <w:r>
        <w:rPr>
          <w:caps/>
          <w:snapToGrid w:val="0"/>
        </w:rPr>
        <w:tab/>
        <w:t>N-(1-naphthyl)-1-pentyl-1H-indole-3-carboxamide (NNEI).</w:t>
      </w:r>
    </w:p>
    <w:p>
      <w:pPr>
        <w:pStyle w:val="yMiscellaneousBody"/>
        <w:tabs>
          <w:tab w:val="left" w:pos="567"/>
        </w:tabs>
        <w:spacing w:before="0" w:after="20"/>
        <w:ind w:left="567" w:hanging="567"/>
        <w:rPr>
          <w:caps/>
          <w:snapToGrid w:val="0"/>
        </w:rPr>
      </w:pPr>
      <w:r>
        <w:rPr>
          <w:caps/>
          <w:snapToGrid w:val="0"/>
        </w:rPr>
        <w:t>*</w:t>
      </w:r>
      <w:r>
        <w:rPr>
          <w:caps/>
          <w:snapToGrid w:val="0"/>
        </w:rPr>
        <w:tab/>
        <w:t>1-pentyl-3-(1-adamantoyl)indole (AB-001).</w:t>
      </w:r>
    </w:p>
    <w:p>
      <w:pPr>
        <w:pStyle w:val="yMiscellaneousBody"/>
        <w:tabs>
          <w:tab w:val="left" w:pos="567"/>
        </w:tabs>
        <w:spacing w:before="20" w:after="20"/>
        <w:ind w:left="567" w:hanging="567"/>
        <w:rPr>
          <w:snapToGrid w:val="0"/>
        </w:rPr>
      </w:pPr>
      <w:r>
        <w:rPr>
          <w:snapToGrid w:val="0"/>
        </w:rPr>
        <w:t>*</w:t>
      </w:r>
      <w:r>
        <w:rPr>
          <w:snapToGrid w:val="0"/>
        </w:rPr>
        <w:tab/>
        <w:t>1-PENTYL-3-(4-CHLORO-1-NAPHTHOYL)INDOLE (JWH-398).</w:t>
      </w:r>
    </w:p>
    <w:p>
      <w:pPr>
        <w:pStyle w:val="yMiscellaneousBody"/>
        <w:tabs>
          <w:tab w:val="left" w:pos="567"/>
        </w:tabs>
        <w:spacing w:before="20" w:after="20"/>
        <w:ind w:left="567" w:hanging="567"/>
        <w:rPr>
          <w:snapToGrid w:val="0"/>
        </w:rPr>
      </w:pPr>
      <w:r>
        <w:rPr>
          <w:snapToGrid w:val="0"/>
        </w:rPr>
        <w:t>*</w:t>
      </w:r>
      <w:r>
        <w:rPr>
          <w:snapToGrid w:val="0"/>
        </w:rPr>
        <w:tab/>
        <w:t>1-PENTYL-3-(2-CHLOROPHENYLACETYL)INDOLE (JWH-203).</w:t>
      </w:r>
    </w:p>
    <w:p>
      <w:pPr>
        <w:pStyle w:val="yMiscellaneousBody"/>
        <w:tabs>
          <w:tab w:val="left" w:pos="567"/>
        </w:tabs>
        <w:spacing w:before="20" w:after="20"/>
        <w:ind w:left="567" w:hanging="567"/>
        <w:rPr>
          <w:snapToGrid w:val="0"/>
        </w:rPr>
      </w:pPr>
      <w:r>
        <w:rPr>
          <w:snapToGrid w:val="0"/>
        </w:rPr>
        <w:t>*</w:t>
      </w:r>
      <w:r>
        <w:rPr>
          <w:snapToGrid w:val="0"/>
        </w:rPr>
        <w:tab/>
        <w:t>1-PENTYL-3-(4-ETHYL-1-NAPHTHOYL)INDOLE (JWH-210).</w:t>
      </w:r>
    </w:p>
    <w:p>
      <w:pPr>
        <w:pStyle w:val="yMiscellaneousBody"/>
        <w:tabs>
          <w:tab w:val="left" w:pos="567"/>
        </w:tabs>
        <w:spacing w:before="0" w:after="20"/>
        <w:ind w:left="567" w:hanging="567"/>
        <w:rPr>
          <w:caps/>
          <w:snapToGrid w:val="0"/>
        </w:rPr>
      </w:pPr>
      <w:r>
        <w:rPr>
          <w:caps/>
          <w:snapToGrid w:val="0"/>
        </w:rPr>
        <w:t>*</w:t>
      </w:r>
      <w:r>
        <w:rPr>
          <w:caps/>
          <w:snapToGrid w:val="0"/>
        </w:rPr>
        <w:tab/>
        <w:t>1-pentyl-1H-indole-3-carboxylic acid 8-quinolinyl ester (PB22).</w:t>
      </w:r>
    </w:p>
    <w:p>
      <w:pPr>
        <w:pStyle w:val="yMiscellaneousBody"/>
        <w:tabs>
          <w:tab w:val="left" w:pos="567"/>
        </w:tabs>
        <w:spacing w:before="20" w:after="20"/>
        <w:ind w:left="567" w:hanging="567"/>
        <w:rPr>
          <w:snapToGrid w:val="0"/>
        </w:rPr>
      </w:pPr>
      <w:r>
        <w:rPr>
          <w:snapToGrid w:val="0"/>
        </w:rPr>
        <w:t>*</w:t>
      </w:r>
      <w:r>
        <w:rPr>
          <w:snapToGrid w:val="0"/>
        </w:rPr>
        <w:tab/>
        <w:t>1-PENTYL-3-[(4-METHOXY)-BENZOYL]INDOLE (RCS-4).</w:t>
      </w:r>
    </w:p>
    <w:p>
      <w:pPr>
        <w:pStyle w:val="yMiscellaneousBody"/>
        <w:tabs>
          <w:tab w:val="left" w:pos="567"/>
        </w:tabs>
        <w:spacing w:before="0" w:after="20"/>
        <w:ind w:left="567" w:hanging="567"/>
        <w:rPr>
          <w:caps/>
          <w:snapToGrid w:val="0"/>
        </w:rPr>
      </w:pPr>
      <w:r>
        <w:rPr>
          <w:caps/>
          <w:snapToGrid w:val="0"/>
        </w:rPr>
        <w:t>*</w:t>
      </w:r>
      <w:r>
        <w:rPr>
          <w:caps/>
          <w:snapToGrid w:val="0"/>
        </w:rPr>
        <w:tab/>
        <w:t>1-pentyl-3-(2-methoxybenzoyl)indole (RCS-4 (2-methoxy isomer)).</w:t>
      </w:r>
    </w:p>
    <w:p>
      <w:pPr>
        <w:pStyle w:val="yMiscellaneousBody"/>
        <w:tabs>
          <w:tab w:val="left" w:pos="567"/>
        </w:tabs>
        <w:spacing w:before="20" w:after="20"/>
        <w:ind w:left="567" w:hanging="567"/>
        <w:rPr>
          <w:snapToGrid w:val="0"/>
        </w:rPr>
      </w:pPr>
      <w:r>
        <w:rPr>
          <w:snapToGrid w:val="0"/>
        </w:rPr>
        <w:t>*</w:t>
      </w:r>
      <w:r>
        <w:rPr>
          <w:snapToGrid w:val="0"/>
        </w:rPr>
        <w:tab/>
        <w:t>1-PENTYL-3-(4-METHOXY-1-NAPHTHOYL)INDOLE (JWH-081).</w:t>
      </w:r>
    </w:p>
    <w:p>
      <w:pPr>
        <w:pStyle w:val="yMiscellaneousBody"/>
        <w:tabs>
          <w:tab w:val="left" w:pos="567"/>
        </w:tabs>
        <w:spacing w:before="20" w:after="20"/>
        <w:ind w:left="567" w:hanging="567"/>
        <w:rPr>
          <w:snapToGrid w:val="0"/>
        </w:rPr>
      </w:pPr>
      <w:r>
        <w:rPr>
          <w:snapToGrid w:val="0"/>
        </w:rPr>
        <w:tab/>
        <w:t>1</w:t>
      </w:r>
      <w:r>
        <w:rPr>
          <w:snapToGrid w:val="0"/>
        </w:rPr>
        <w:noBreakHyphen/>
        <w:t>PENTYL</w:t>
      </w:r>
      <w:r>
        <w:rPr>
          <w:snapToGrid w:val="0"/>
        </w:rPr>
        <w:noBreakHyphen/>
        <w:t>3</w:t>
      </w:r>
      <w:r>
        <w:rPr>
          <w:snapToGrid w:val="0"/>
        </w:rPr>
        <w:noBreakHyphen/>
        <w:t>(4</w:t>
      </w:r>
      <w:r>
        <w:rPr>
          <w:snapToGrid w:val="0"/>
        </w:rPr>
        <w:noBreakHyphen/>
        <w:t>METHYL</w:t>
      </w:r>
      <w:r>
        <w:rPr>
          <w:snapToGrid w:val="0"/>
        </w:rPr>
        <w:noBreakHyphen/>
        <w:t>1</w:t>
      </w:r>
      <w:r>
        <w:rPr>
          <w:snapToGrid w:val="0"/>
        </w:rPr>
        <w:noBreakHyphen/>
        <w:t>NAPHTHOYL)INDOLE *(JWH</w:t>
      </w:r>
      <w:r>
        <w:rPr>
          <w:snapToGrid w:val="0"/>
        </w:rPr>
        <w:noBreakHyphen/>
        <w:t>122).</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PENTYL</w:t>
      </w:r>
      <w:r>
        <w:rPr>
          <w:snapToGrid w:val="0"/>
        </w:rPr>
        <w:noBreakHyphen/>
        <w:t>3</w:t>
      </w:r>
      <w:r>
        <w:rPr>
          <w:snapToGrid w:val="0"/>
        </w:rPr>
        <w:noBreakHyphen/>
        <w:t>(1</w:t>
      </w:r>
      <w:r>
        <w:rPr>
          <w:snapToGrid w:val="0"/>
        </w:rPr>
        <w:noBreakHyphen/>
        <w:t>NAPHTHOYL)INDOLE *(JWH</w:t>
      </w:r>
      <w:r>
        <w:rPr>
          <w:snapToGrid w:val="0"/>
        </w:rPr>
        <w:noBreakHyphen/>
        <w:t>018).</w:t>
      </w:r>
    </w:p>
    <w:p>
      <w:pPr>
        <w:pStyle w:val="yMiscellaneousBody"/>
        <w:tabs>
          <w:tab w:val="left" w:pos="567"/>
        </w:tabs>
        <w:spacing w:before="0" w:after="20"/>
        <w:ind w:left="567" w:hanging="567"/>
        <w:rPr>
          <w:caps/>
          <w:snapToGrid w:val="0"/>
        </w:rPr>
      </w:pPr>
      <w:r>
        <w:rPr>
          <w:caps/>
          <w:snapToGrid w:val="0"/>
        </w:rPr>
        <w:t>*</w:t>
      </w:r>
      <w:r>
        <w:rPr>
          <w:caps/>
          <w:snapToGrid w:val="0"/>
        </w:rPr>
        <w:tab/>
        <w:t>(1-pentylindol-3-yl)-(2,2,3,3-tetramethylcyclopropyl)methanone (UR144).</w:t>
      </w:r>
    </w:p>
    <w:p>
      <w:pPr>
        <w:pStyle w:val="yMiscellaneousBody"/>
        <w:tabs>
          <w:tab w:val="left" w:pos="567"/>
        </w:tabs>
        <w:spacing w:before="20" w:after="20"/>
        <w:ind w:left="567" w:hanging="567"/>
        <w:rPr>
          <w:snapToGrid w:val="0"/>
        </w:rPr>
      </w:pPr>
      <w:r>
        <w:rPr>
          <w:snapToGrid w:val="0"/>
        </w:rPr>
        <w:t>*</w:t>
      </w:r>
      <w:r>
        <w:rPr>
          <w:snapToGrid w:val="0"/>
        </w:rPr>
        <w:tab/>
        <w:t>PRAVADOLINE (WIN 48098).</w:t>
      </w:r>
    </w:p>
    <w:p>
      <w:pPr>
        <w:pStyle w:val="yMiscellaneousBody"/>
        <w:tabs>
          <w:tab w:val="left" w:pos="567"/>
        </w:tabs>
        <w:spacing w:before="20" w:after="20"/>
        <w:ind w:left="567" w:hanging="567"/>
        <w:rPr>
          <w:snapToGrid w:val="0"/>
        </w:rPr>
      </w:pPr>
      <w:r>
        <w:rPr>
          <w:snapToGrid w:val="0"/>
        </w:rPr>
        <w:t>*</w:t>
      </w:r>
      <w:r>
        <w:rPr>
          <w:snapToGrid w:val="0"/>
        </w:rPr>
        <w:tab/>
        <w:t>1-PROPYL-2-METHYL-3-(1-NAPHTHOYL)INDOLE (JWH-015).</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0" w:after="20"/>
        <w:ind w:left="567" w:hanging="567"/>
        <w:rPr>
          <w:caps/>
          <w:snapToGrid w:val="0"/>
        </w:rPr>
      </w:pPr>
      <w:r>
        <w:rPr>
          <w:caps/>
          <w:snapToGrid w:val="0"/>
        </w:rPr>
        <w:t>*</w:t>
      </w:r>
      <w:r>
        <w:rPr>
          <w:caps/>
          <w:snapToGrid w:val="0"/>
        </w:rPr>
        <w:tab/>
        <w:t>2,3,5-trimethoxyamphetamine (TMA-4).</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 22 Oct 2010 p. 5217; 17 Jun 2011 p. 2152; 5 Aug 2011 p. 3182</w:t>
      </w:r>
      <w:r>
        <w:noBreakHyphen/>
        <w:t>3; 10 Feb 2012 p. 651; 31 Aug 2012 p. 4209; 27 Jun 2014 p. 2329-30; 6 May 2016 p. 1384.]</w:t>
      </w:r>
    </w:p>
    <w:p>
      <w:pPr>
        <w:pStyle w:val="yScheduleHeading"/>
      </w:pPr>
      <w:bookmarkStart w:id="98" w:name="_Toc473109416"/>
      <w:r>
        <w:rPr>
          <w:rStyle w:val="CharSchNo"/>
        </w:rPr>
        <w:t>Appendix B</w:t>
      </w:r>
      <w:bookmarkEnd w:id="98"/>
    </w:p>
    <w:p>
      <w:pPr>
        <w:pStyle w:val="yShoulderClause"/>
        <w:rPr>
          <w:snapToGrid w:val="0"/>
        </w:rPr>
      </w:pPr>
      <w:r>
        <w:rPr>
          <w:snapToGrid w:val="0"/>
        </w:rPr>
        <w:t>[Section 45]</w:t>
      </w:r>
    </w:p>
    <w:p>
      <w:pPr>
        <w:pStyle w:val="yFootnotesection"/>
      </w:pPr>
      <w:r>
        <w:tab/>
        <w:t>[Heading inserted by No. 48 of 1995 s. 41.]</w:t>
      </w:r>
    </w:p>
    <w:p>
      <w:pPr>
        <w:pStyle w:val="yHeading2"/>
        <w:outlineLvl w:val="9"/>
      </w:pPr>
      <w:bookmarkStart w:id="99" w:name="_Toc473109417"/>
      <w:r>
        <w:rPr>
          <w:rStyle w:val="CharSchText"/>
        </w:rPr>
        <w:t>Conventions</w:t>
      </w:r>
      <w:bookmarkEnd w:id="99"/>
    </w:p>
    <w:p>
      <w:pPr>
        <w:pStyle w:val="yFootnotesection"/>
      </w:pPr>
      <w:r>
        <w:tab/>
        <w:t>[Heading inserted by No. 48 of 1995 s. 41.]</w:t>
      </w:r>
    </w:p>
    <w:p>
      <w:pPr>
        <w:pStyle w:val="yNumberedItem"/>
        <w:rPr>
          <w:snapToGrid w:val="0"/>
        </w:rPr>
      </w:pPr>
      <w:r>
        <w:rPr>
          <w:snapToGrid w:val="0"/>
        </w:rPr>
        <w:tab/>
        <w:t xml:space="preserve">The Single Convention on Narcotic Drugs, signed at </w:t>
      </w:r>
      <w:smartTag w:uri="urn:schemas-microsoft-com:office:smarttags" w:element="place">
        <w:smartTag w:uri="urn:schemas-microsoft-com:office:smarttags" w:element="State">
          <w:r>
            <w:rPr>
              <w:snapToGrid w:val="0"/>
            </w:rPr>
            <w:t>New York</w:t>
          </w:r>
        </w:smartTag>
      </w:smartTag>
      <w:r>
        <w:rPr>
          <w:snapToGrid w:val="0"/>
        </w:rPr>
        <w:t xml:space="preserve"> on 30 March 1961.</w:t>
      </w:r>
    </w:p>
    <w:p>
      <w:pPr>
        <w:pStyle w:val="yNumberedItem"/>
        <w:rPr>
          <w:snapToGrid w:val="0"/>
        </w:rPr>
      </w:pPr>
      <w:r>
        <w:rPr>
          <w:snapToGrid w:val="0"/>
        </w:rPr>
        <w:tab/>
        <w:t xml:space="preserve">The 1972 protocol amending the Single Convention on Narcotic Drugs, signed at </w:t>
      </w:r>
      <w:smartTag w:uri="urn:schemas-microsoft-com:office:smarttags" w:element="place">
        <w:smartTag w:uri="urn:schemas-microsoft-com:office:smarttags" w:element="City">
          <w:r>
            <w:rPr>
              <w:snapToGrid w:val="0"/>
            </w:rPr>
            <w:t>Geneva</w:t>
          </w:r>
        </w:smartTag>
      </w:smartTag>
      <w:r>
        <w:rPr>
          <w:snapToGrid w:val="0"/>
        </w:rPr>
        <w:t xml:space="preserve"> on 25 March 1972.</w:t>
      </w:r>
    </w:p>
    <w:p>
      <w:pPr>
        <w:pStyle w:val="yNumberedItem"/>
        <w:rPr>
          <w:snapToGrid w:val="0"/>
        </w:rPr>
      </w:pPr>
      <w:r>
        <w:rPr>
          <w:snapToGrid w:val="0"/>
        </w:rPr>
        <w:tab/>
        <w:t xml:space="preserve">The Convention on Psychotropic Substances, signed at </w:t>
      </w:r>
      <w:smartTag w:uri="urn:schemas-microsoft-com:office:smarttags" w:element="place">
        <w:smartTag w:uri="urn:schemas-microsoft-com:office:smarttags" w:element="City">
          <w:r>
            <w:rPr>
              <w:snapToGrid w:val="0"/>
            </w:rPr>
            <w:t>Vienna</w:t>
          </w:r>
        </w:smartTag>
      </w:smartTag>
      <w:r>
        <w:rPr>
          <w:snapToGrid w:val="0"/>
        </w:rPr>
        <w:t xml:space="preserve">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[Appendix B inserted by No. 48 of 1995 s. 41.]</w:t>
      </w:r>
    </w:p>
    <w:p>
      <w:pPr>
        <w:pStyle w:val="yEdnoteschedule"/>
      </w:pPr>
      <w:r>
        <w:t>[Appendix C deleted by No. 48 of 1995 s. 42.]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101" w:name="_Toc473109418"/>
      <w:r>
        <w:t>Notes</w:t>
      </w:r>
      <w:bookmarkEnd w:id="101"/>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2" w:name="_Toc473109419"/>
      <w:r>
        <w:rPr>
          <w:snapToGrid w:val="0"/>
        </w:rPr>
        <w:t>Compilation table</w:t>
      </w:r>
      <w:bookmarkEnd w:id="102"/>
    </w:p>
    <w:tbl>
      <w:tblPr>
        <w:tblW w:w="7087" w:type="dxa"/>
        <w:tblInd w:w="28" w:type="dxa"/>
        <w:tblLayout w:type="fixed"/>
        <w:tblCellMar>
          <w:left w:w="56" w:type="dxa"/>
          <w:right w:w="56" w:type="dxa"/>
        </w:tblCellMar>
        <w:tblLook w:val="0000" w:firstRow="0" w:lastRow="0" w:firstColumn="0" w:lastColumn="0" w:noHBand="0" w:noVBand="0"/>
      </w:tblPr>
      <w:tblGrid>
        <w:gridCol w:w="2266"/>
        <w:gridCol w:w="81"/>
        <w:gridCol w:w="1053"/>
        <w:gridCol w:w="65"/>
        <w:gridCol w:w="1057"/>
        <w:gridCol w:w="12"/>
        <w:gridCol w:w="2553"/>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Borders>
              <w:top w:val="single" w:sz="8" w:space="0" w:color="auto"/>
            </w:tcBorders>
          </w:tcPr>
          <w:p>
            <w:pPr>
              <w:pStyle w:val="nTable"/>
              <w:spacing w:after="40"/>
            </w:pPr>
            <w:r>
              <w:rPr>
                <w:i/>
              </w:rPr>
              <w:t>Poisons Act 1964</w:t>
            </w:r>
          </w:p>
        </w:tc>
        <w:tc>
          <w:tcPr>
            <w:tcW w:w="1134" w:type="dxa"/>
            <w:gridSpan w:val="2"/>
            <w:tcBorders>
              <w:top w:val="single" w:sz="8" w:space="0" w:color="auto"/>
            </w:tcBorders>
          </w:tcPr>
          <w:p>
            <w:pPr>
              <w:pStyle w:val="nTable"/>
              <w:spacing w:after="40"/>
            </w:pPr>
            <w:r>
              <w:t>70 of 1964 (13 Eliz. II No. 70)</w:t>
            </w:r>
          </w:p>
        </w:tc>
        <w:tc>
          <w:tcPr>
            <w:tcW w:w="1134" w:type="dxa"/>
            <w:gridSpan w:val="3"/>
            <w:tcBorders>
              <w:top w:val="single" w:sz="8" w:space="0" w:color="auto"/>
            </w:tcBorders>
          </w:tcPr>
          <w:p>
            <w:pPr>
              <w:pStyle w:val="nTable"/>
              <w:spacing w:after="40"/>
            </w:pPr>
            <w:r>
              <w:t>11 Dec 1964</w:t>
            </w:r>
          </w:p>
        </w:tc>
        <w:tc>
          <w:tcPr>
            <w:tcW w:w="2553" w:type="dxa"/>
            <w:tcBorders>
              <w:top w:val="single" w:sz="8" w:space="0" w:color="auto"/>
            </w:tcBorders>
          </w:tcPr>
          <w:p>
            <w:pPr>
              <w:pStyle w:val="nTable"/>
              <w:spacing w:after="40"/>
            </w:pPr>
            <w:r>
              <w:t xml:space="preserve">1 Jul 1965 (see s. 2 and </w:t>
            </w:r>
            <w:r>
              <w:rPr>
                <w:i/>
              </w:rPr>
              <w:t>Gazette</w:t>
            </w:r>
            <w:r>
              <w:t xml:space="preserve"> 25 Jun 1965 p. 1836)</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28 Jan 1966 p. 197</w:t>
            </w:r>
            <w:r>
              <w:rPr>
                <w:color w:val="000000"/>
              </w:rPr>
              <w:noBreakHyphen/>
              <w:t>9</w:t>
            </w:r>
          </w:p>
        </w:tc>
        <w:tc>
          <w:tcPr>
            <w:tcW w:w="2553" w:type="dxa"/>
          </w:tcPr>
          <w:p>
            <w:pPr>
              <w:pStyle w:val="nTable"/>
              <w:spacing w:after="40"/>
              <w:rPr>
                <w:color w:val="000000"/>
              </w:rPr>
            </w:pPr>
            <w:r>
              <w:rPr>
                <w:color w:val="000000"/>
              </w:rPr>
              <w:t>28 Jan 1966</w:t>
            </w:r>
          </w:p>
        </w:tc>
      </w:tr>
      <w:tr>
        <w:trPr>
          <w:cantSplit/>
        </w:trPr>
        <w:tc>
          <w:tcPr>
            <w:tcW w:w="2266" w:type="dxa"/>
          </w:tcPr>
          <w:p>
            <w:pPr>
              <w:pStyle w:val="nTable"/>
              <w:spacing w:after="40"/>
            </w:pPr>
            <w:r>
              <w:rPr>
                <w:i/>
              </w:rPr>
              <w:t>Poisons Act Amendment Act 1966</w:t>
            </w:r>
          </w:p>
        </w:tc>
        <w:tc>
          <w:tcPr>
            <w:tcW w:w="1134" w:type="dxa"/>
            <w:gridSpan w:val="2"/>
          </w:tcPr>
          <w:p>
            <w:pPr>
              <w:pStyle w:val="nTable"/>
              <w:spacing w:after="40"/>
            </w:pPr>
            <w:r>
              <w:t>23 of 1966</w:t>
            </w:r>
          </w:p>
        </w:tc>
        <w:tc>
          <w:tcPr>
            <w:tcW w:w="1134" w:type="dxa"/>
            <w:gridSpan w:val="3"/>
          </w:tcPr>
          <w:p>
            <w:pPr>
              <w:pStyle w:val="nTable"/>
              <w:spacing w:after="40"/>
            </w:pPr>
            <w:r>
              <w:t>27 Oct 1966</w:t>
            </w:r>
          </w:p>
        </w:tc>
        <w:tc>
          <w:tcPr>
            <w:tcW w:w="2553" w:type="dxa"/>
          </w:tcPr>
          <w:p>
            <w:pPr>
              <w:pStyle w:val="nTable"/>
              <w:spacing w:after="40"/>
            </w:pPr>
            <w:r>
              <w:t>27 Oct 1966</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26 Apr 1967 p. 1039</w:t>
            </w:r>
            <w:r>
              <w:rPr>
                <w:color w:val="000000"/>
              </w:rPr>
              <w:noBreakHyphen/>
              <w:t>54</w:t>
            </w:r>
          </w:p>
        </w:tc>
        <w:tc>
          <w:tcPr>
            <w:tcW w:w="2553" w:type="dxa"/>
          </w:tcPr>
          <w:p>
            <w:pPr>
              <w:pStyle w:val="nTable"/>
              <w:spacing w:after="40"/>
              <w:rPr>
                <w:color w:val="000000"/>
              </w:rPr>
            </w:pPr>
            <w:r>
              <w:rPr>
                <w:color w:val="000000"/>
              </w:rPr>
              <w:t>26 Apr 1967</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 Jun 1967 p. 1490</w:t>
            </w:r>
          </w:p>
        </w:tc>
        <w:tc>
          <w:tcPr>
            <w:tcW w:w="2553" w:type="dxa"/>
          </w:tcPr>
          <w:p>
            <w:pPr>
              <w:pStyle w:val="nTable"/>
              <w:spacing w:after="40"/>
              <w:rPr>
                <w:color w:val="000000"/>
              </w:rPr>
            </w:pPr>
            <w:r>
              <w:rPr>
                <w:color w:val="000000"/>
              </w:rPr>
              <w:t>2 Jun 1967</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3 Nov 1967 p. 3016</w:t>
            </w:r>
            <w:r>
              <w:rPr>
                <w:color w:val="000000"/>
              </w:rPr>
              <w:noBreakHyphen/>
              <w:t>20</w:t>
            </w:r>
          </w:p>
        </w:tc>
        <w:tc>
          <w:tcPr>
            <w:tcW w:w="2553" w:type="dxa"/>
          </w:tcPr>
          <w:p>
            <w:pPr>
              <w:pStyle w:val="nTable"/>
              <w:spacing w:after="40"/>
              <w:rPr>
                <w:color w:val="000000"/>
              </w:rPr>
            </w:pPr>
            <w:r>
              <w:rPr>
                <w:color w:val="000000"/>
              </w:rPr>
              <w:t>3 Nov 1967</w:t>
            </w:r>
          </w:p>
        </w:tc>
      </w:tr>
      <w:tr>
        <w:trPr>
          <w:cantSplit/>
        </w:trPr>
        <w:tc>
          <w:tcPr>
            <w:tcW w:w="2266" w:type="dxa"/>
          </w:tcPr>
          <w:p>
            <w:pPr>
              <w:pStyle w:val="nTable"/>
              <w:spacing w:after="40"/>
            </w:pPr>
            <w:r>
              <w:rPr>
                <w:i/>
              </w:rPr>
              <w:t>Poisons Act Amendment Act 1967</w:t>
            </w:r>
          </w:p>
        </w:tc>
        <w:tc>
          <w:tcPr>
            <w:tcW w:w="1134" w:type="dxa"/>
            <w:gridSpan w:val="2"/>
          </w:tcPr>
          <w:p>
            <w:pPr>
              <w:pStyle w:val="nTable"/>
              <w:spacing w:after="40"/>
            </w:pPr>
            <w:r>
              <w:t>28 of 1967</w:t>
            </w:r>
          </w:p>
        </w:tc>
        <w:tc>
          <w:tcPr>
            <w:tcW w:w="1134" w:type="dxa"/>
            <w:gridSpan w:val="3"/>
          </w:tcPr>
          <w:p>
            <w:pPr>
              <w:pStyle w:val="nTable"/>
              <w:spacing w:after="40"/>
            </w:pPr>
            <w:r>
              <w:t>17 Nov 1967</w:t>
            </w:r>
          </w:p>
        </w:tc>
        <w:tc>
          <w:tcPr>
            <w:tcW w:w="2553" w:type="dxa"/>
          </w:tcPr>
          <w:p>
            <w:pPr>
              <w:pStyle w:val="nTable"/>
              <w:spacing w:after="40"/>
            </w:pPr>
            <w:r>
              <w:t>17 Nov 1967</w:t>
            </w:r>
          </w:p>
        </w:tc>
      </w:tr>
      <w:tr>
        <w:trPr>
          <w:cantSplit/>
        </w:trPr>
        <w:tc>
          <w:tcPr>
            <w:tcW w:w="2266" w:type="dxa"/>
          </w:tcPr>
          <w:p>
            <w:pPr>
              <w:pStyle w:val="nTable"/>
              <w:spacing w:after="40"/>
            </w:pPr>
            <w:r>
              <w:rPr>
                <w:i/>
              </w:rPr>
              <w:t>Poisons Act Amendment Act (No. 2) 1967</w:t>
            </w:r>
          </w:p>
        </w:tc>
        <w:tc>
          <w:tcPr>
            <w:tcW w:w="1134" w:type="dxa"/>
            <w:gridSpan w:val="2"/>
          </w:tcPr>
          <w:p>
            <w:pPr>
              <w:pStyle w:val="nTable"/>
              <w:spacing w:after="40"/>
            </w:pPr>
            <w:r>
              <w:t>51 of 1967</w:t>
            </w:r>
          </w:p>
        </w:tc>
        <w:tc>
          <w:tcPr>
            <w:tcW w:w="1134" w:type="dxa"/>
            <w:gridSpan w:val="3"/>
          </w:tcPr>
          <w:p>
            <w:pPr>
              <w:pStyle w:val="nTable"/>
              <w:spacing w:after="40"/>
            </w:pPr>
            <w:r>
              <w:t>5 Dec 1967</w:t>
            </w:r>
          </w:p>
        </w:tc>
        <w:tc>
          <w:tcPr>
            <w:tcW w:w="2553" w:type="dxa"/>
          </w:tcPr>
          <w:p>
            <w:pPr>
              <w:pStyle w:val="nTable"/>
              <w:spacing w:after="40"/>
            </w:pPr>
            <w:r>
              <w:t>5 Dec 1967</w:t>
            </w:r>
          </w:p>
        </w:tc>
      </w:tr>
      <w:tr>
        <w:trPr>
          <w:cantSplit/>
        </w:trPr>
        <w:tc>
          <w:tcPr>
            <w:tcW w:w="2266" w:type="dxa"/>
          </w:tcPr>
          <w:p>
            <w:pPr>
              <w:pStyle w:val="nTable"/>
              <w:spacing w:after="40"/>
            </w:pPr>
            <w:r>
              <w:rPr>
                <w:i/>
              </w:rPr>
              <w:t>Poisons Act Amendment Act 1969</w:t>
            </w:r>
          </w:p>
        </w:tc>
        <w:tc>
          <w:tcPr>
            <w:tcW w:w="1134" w:type="dxa"/>
            <w:gridSpan w:val="2"/>
          </w:tcPr>
          <w:p>
            <w:pPr>
              <w:pStyle w:val="nTable"/>
              <w:spacing w:after="40"/>
            </w:pPr>
            <w:r>
              <w:t>6 of 1969</w:t>
            </w:r>
          </w:p>
        </w:tc>
        <w:tc>
          <w:tcPr>
            <w:tcW w:w="1134" w:type="dxa"/>
            <w:gridSpan w:val="3"/>
          </w:tcPr>
          <w:p>
            <w:pPr>
              <w:pStyle w:val="nTable"/>
              <w:spacing w:after="40"/>
            </w:pPr>
            <w:r>
              <w:t>21 Apr 1969</w:t>
            </w:r>
          </w:p>
        </w:tc>
        <w:tc>
          <w:tcPr>
            <w:tcW w:w="2553" w:type="dxa"/>
          </w:tcPr>
          <w:p>
            <w:pPr>
              <w:pStyle w:val="nTable"/>
              <w:spacing w:after="40"/>
            </w:pPr>
            <w:r>
              <w:t xml:space="preserve">13 Jun 1969 (see s. 2 and </w:t>
            </w:r>
            <w:r>
              <w:rPr>
                <w:i/>
              </w:rPr>
              <w:t>Gazette</w:t>
            </w:r>
            <w:r>
              <w:t xml:space="preserve"> 13 Jun 1969 p. 1765)</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30 Dec 1969 p. 4343</w:t>
            </w:r>
            <w:r>
              <w:rPr>
                <w:color w:val="000000"/>
              </w:rPr>
              <w:noBreakHyphen/>
              <w:t>61</w:t>
            </w:r>
          </w:p>
        </w:tc>
        <w:tc>
          <w:tcPr>
            <w:tcW w:w="2553" w:type="dxa"/>
          </w:tcPr>
          <w:p>
            <w:pPr>
              <w:pStyle w:val="nTable"/>
              <w:spacing w:after="40"/>
              <w:rPr>
                <w:color w:val="000000"/>
              </w:rPr>
            </w:pPr>
            <w:r>
              <w:rPr>
                <w:color w:val="000000"/>
              </w:rPr>
              <w:t>30 Dec 1969</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7 Aug 1970 p. 2464</w:t>
            </w:r>
          </w:p>
        </w:tc>
        <w:tc>
          <w:tcPr>
            <w:tcW w:w="2553" w:type="dxa"/>
          </w:tcPr>
          <w:p>
            <w:pPr>
              <w:pStyle w:val="nTable"/>
              <w:spacing w:after="40"/>
              <w:rPr>
                <w:color w:val="000000"/>
              </w:rPr>
            </w:pPr>
            <w:r>
              <w:rPr>
                <w:color w:val="000000"/>
              </w:rPr>
              <w:t>7 Aug 1970</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16 Oct 1970 p. 3184</w:t>
            </w:r>
          </w:p>
        </w:tc>
        <w:tc>
          <w:tcPr>
            <w:tcW w:w="2553" w:type="dxa"/>
          </w:tcPr>
          <w:p>
            <w:pPr>
              <w:pStyle w:val="nTable"/>
              <w:spacing w:after="40"/>
              <w:rPr>
                <w:color w:val="000000"/>
              </w:rPr>
            </w:pPr>
            <w:r>
              <w:rPr>
                <w:color w:val="000000"/>
              </w:rPr>
              <w:t>16 Oct 1970</w:t>
            </w:r>
          </w:p>
        </w:tc>
      </w:tr>
      <w:tr>
        <w:trPr>
          <w:cantSplit/>
        </w:trPr>
        <w:tc>
          <w:tcPr>
            <w:tcW w:w="2266" w:type="dxa"/>
          </w:tcPr>
          <w:p>
            <w:pPr>
              <w:pStyle w:val="nTable"/>
              <w:spacing w:after="40"/>
            </w:pPr>
            <w:r>
              <w:rPr>
                <w:i/>
              </w:rPr>
              <w:t>Poisons Act Amendment Act 1970</w:t>
            </w:r>
          </w:p>
        </w:tc>
        <w:tc>
          <w:tcPr>
            <w:tcW w:w="1134" w:type="dxa"/>
            <w:gridSpan w:val="2"/>
          </w:tcPr>
          <w:p>
            <w:pPr>
              <w:pStyle w:val="nTable"/>
              <w:spacing w:after="40"/>
            </w:pPr>
            <w:r>
              <w:t>87 of 1970</w:t>
            </w:r>
          </w:p>
        </w:tc>
        <w:tc>
          <w:tcPr>
            <w:tcW w:w="1134" w:type="dxa"/>
            <w:gridSpan w:val="3"/>
          </w:tcPr>
          <w:p>
            <w:pPr>
              <w:pStyle w:val="nTable"/>
              <w:spacing w:after="40"/>
            </w:pPr>
            <w:r>
              <w:t>30 Nov 1970</w:t>
            </w:r>
          </w:p>
        </w:tc>
        <w:tc>
          <w:tcPr>
            <w:tcW w:w="2553" w:type="dxa"/>
          </w:tcPr>
          <w:p>
            <w:pPr>
              <w:pStyle w:val="nTable"/>
              <w:spacing w:after="40"/>
            </w:pPr>
            <w:r>
              <w:t xml:space="preserve">1 Feb 1971 (see s. 2 and </w:t>
            </w:r>
            <w:r>
              <w:rPr>
                <w:i/>
              </w:rPr>
              <w:t>Gazette</w:t>
            </w:r>
            <w:r>
              <w:t xml:space="preserve"> 29 Jan 1971 p. 277)</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24 Nov 1971 p. 4841</w:t>
            </w:r>
            <w:r>
              <w:rPr>
                <w:color w:val="000000"/>
              </w:rPr>
              <w:noBreakHyphen/>
              <w:t>70</w:t>
            </w:r>
          </w:p>
        </w:tc>
        <w:tc>
          <w:tcPr>
            <w:tcW w:w="2553" w:type="dxa"/>
          </w:tcPr>
          <w:p>
            <w:pPr>
              <w:pStyle w:val="nTable"/>
              <w:spacing w:after="40"/>
              <w:rPr>
                <w:color w:val="000000"/>
              </w:rPr>
            </w:pPr>
            <w:r>
              <w:rPr>
                <w:color w:val="000000"/>
              </w:rPr>
              <w:t>24 Nov 1971</w:t>
            </w:r>
          </w:p>
        </w:tc>
      </w:tr>
      <w:tr>
        <w:trPr>
          <w:cantSplit/>
        </w:trPr>
        <w:tc>
          <w:tcPr>
            <w:tcW w:w="7087" w:type="dxa"/>
            <w:gridSpan w:val="7"/>
          </w:tcPr>
          <w:p>
            <w:pPr>
              <w:pStyle w:val="nTable"/>
              <w:spacing w:after="40"/>
              <w:rPr>
                <w:b/>
              </w:rPr>
            </w:pPr>
            <w:r>
              <w:rPr>
                <w:b/>
              </w:rPr>
              <w:t xml:space="preserve">Reprint of the </w:t>
            </w:r>
            <w:r>
              <w:rPr>
                <w:b/>
                <w:i/>
              </w:rPr>
              <w:t>Poisons Act 1964</w:t>
            </w:r>
            <w:r>
              <w:rPr>
                <w:i/>
              </w:rPr>
              <w:t xml:space="preserve"> </w:t>
            </w:r>
            <w:r>
              <w:rPr>
                <w:b/>
              </w:rPr>
              <w:t xml:space="preserve">approved 14 Dec 1971 </w:t>
            </w:r>
            <w:r>
              <w:t>(includes amendments listed above)</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15 Sep 1972 p. 3585</w:t>
            </w:r>
            <w:r>
              <w:rPr>
                <w:color w:val="000000"/>
              </w:rPr>
              <w:noBreakHyphen/>
              <w:t>6</w:t>
            </w:r>
          </w:p>
        </w:tc>
        <w:tc>
          <w:tcPr>
            <w:tcW w:w="2553" w:type="dxa"/>
          </w:tcPr>
          <w:p>
            <w:pPr>
              <w:pStyle w:val="nTable"/>
              <w:spacing w:after="40"/>
              <w:rPr>
                <w:color w:val="000000"/>
              </w:rPr>
            </w:pPr>
            <w:r>
              <w:rPr>
                <w:color w:val="000000"/>
              </w:rPr>
              <w:t>15 Sep 1972</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11 May 1973 p. 1157</w:t>
            </w:r>
            <w:r>
              <w:rPr>
                <w:color w:val="000000"/>
              </w:rPr>
              <w:noBreakHyphen/>
              <w:t>8</w:t>
            </w:r>
          </w:p>
        </w:tc>
        <w:tc>
          <w:tcPr>
            <w:tcW w:w="2553" w:type="dxa"/>
          </w:tcPr>
          <w:p>
            <w:pPr>
              <w:pStyle w:val="nTable"/>
              <w:spacing w:after="40"/>
              <w:rPr>
                <w:color w:val="000000"/>
              </w:rPr>
            </w:pPr>
            <w:r>
              <w:rPr>
                <w:color w:val="000000"/>
              </w:rPr>
              <w:t>11 May 1973</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 Apr 1974 p. 1131</w:t>
            </w:r>
            <w:r>
              <w:rPr>
                <w:color w:val="000000"/>
              </w:rPr>
              <w:noBreakHyphen/>
              <w:t>62</w:t>
            </w:r>
          </w:p>
        </w:tc>
        <w:tc>
          <w:tcPr>
            <w:tcW w:w="2553" w:type="dxa"/>
          </w:tcPr>
          <w:p>
            <w:pPr>
              <w:pStyle w:val="nTable"/>
              <w:spacing w:after="40"/>
              <w:rPr>
                <w:color w:val="000000"/>
              </w:rPr>
            </w:pPr>
            <w:r>
              <w:rPr>
                <w:color w:val="000000"/>
              </w:rPr>
              <w:t>2 Apr 1974</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23 Aug 1974 p. 3116</w:t>
            </w:r>
          </w:p>
        </w:tc>
        <w:tc>
          <w:tcPr>
            <w:tcW w:w="2553" w:type="dxa"/>
          </w:tcPr>
          <w:p>
            <w:pPr>
              <w:pStyle w:val="nTable"/>
              <w:spacing w:after="40"/>
              <w:rPr>
                <w:color w:val="000000"/>
              </w:rPr>
            </w:pPr>
            <w:r>
              <w:rPr>
                <w:color w:val="000000"/>
              </w:rPr>
              <w:t>23 Aug 1974</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8 Aug 1975 p. 2856</w:t>
            </w:r>
          </w:p>
        </w:tc>
        <w:tc>
          <w:tcPr>
            <w:tcW w:w="2553" w:type="dxa"/>
          </w:tcPr>
          <w:p>
            <w:pPr>
              <w:pStyle w:val="nTable"/>
              <w:spacing w:after="40"/>
              <w:rPr>
                <w:color w:val="000000"/>
              </w:rPr>
            </w:pPr>
            <w:r>
              <w:rPr>
                <w:color w:val="000000"/>
              </w:rPr>
              <w:t>8 Aug 1975</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15 Jun 1976 p. 1993</w:t>
            </w:r>
            <w:r>
              <w:rPr>
                <w:color w:val="000000"/>
              </w:rPr>
              <w:noBreakHyphen/>
              <w:t>2028</w:t>
            </w:r>
          </w:p>
        </w:tc>
        <w:tc>
          <w:tcPr>
            <w:tcW w:w="2553" w:type="dxa"/>
          </w:tcPr>
          <w:p>
            <w:pPr>
              <w:pStyle w:val="nTable"/>
              <w:spacing w:after="40"/>
              <w:rPr>
                <w:color w:val="000000"/>
              </w:rPr>
            </w:pPr>
            <w:r>
              <w:rPr>
                <w:color w:val="000000"/>
              </w:rPr>
              <w:t>15 Jun 1976</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3 Feb 1978 p. 320</w:t>
            </w:r>
          </w:p>
        </w:tc>
        <w:tc>
          <w:tcPr>
            <w:tcW w:w="2553" w:type="dxa"/>
          </w:tcPr>
          <w:p>
            <w:pPr>
              <w:pStyle w:val="nTable"/>
              <w:spacing w:after="40"/>
              <w:rPr>
                <w:color w:val="000000"/>
              </w:rPr>
            </w:pPr>
            <w:r>
              <w:rPr>
                <w:color w:val="000000"/>
              </w:rPr>
              <w:t>3 Feb 1978</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21 Apr 1978 p. 1202</w:t>
            </w:r>
            <w:r>
              <w:rPr>
                <w:color w:val="000000"/>
              </w:rPr>
              <w:noBreakHyphen/>
              <w:t>5</w:t>
            </w:r>
          </w:p>
        </w:tc>
        <w:tc>
          <w:tcPr>
            <w:tcW w:w="2553" w:type="dxa"/>
          </w:tcPr>
          <w:p>
            <w:pPr>
              <w:pStyle w:val="nTable"/>
              <w:spacing w:after="40"/>
              <w:rPr>
                <w:color w:val="000000"/>
              </w:rPr>
            </w:pPr>
            <w:r>
              <w:rPr>
                <w:color w:val="000000"/>
              </w:rPr>
              <w:t>21 Apr 1978</w:t>
            </w:r>
          </w:p>
        </w:tc>
      </w:tr>
      <w:tr>
        <w:trPr>
          <w:cantSplit/>
        </w:trPr>
        <w:tc>
          <w:tcPr>
            <w:tcW w:w="2266" w:type="dxa"/>
          </w:tcPr>
          <w:p>
            <w:pPr>
              <w:pStyle w:val="nTable"/>
              <w:spacing w:after="40"/>
            </w:pPr>
            <w:r>
              <w:rPr>
                <w:i/>
              </w:rPr>
              <w:t>Poisons Act Amendment Act 1978</w:t>
            </w:r>
          </w:p>
        </w:tc>
        <w:tc>
          <w:tcPr>
            <w:tcW w:w="1134" w:type="dxa"/>
            <w:gridSpan w:val="2"/>
          </w:tcPr>
          <w:p>
            <w:pPr>
              <w:pStyle w:val="nTable"/>
              <w:spacing w:after="40"/>
            </w:pPr>
            <w:r>
              <w:t>43 of 1978</w:t>
            </w:r>
          </w:p>
        </w:tc>
        <w:tc>
          <w:tcPr>
            <w:tcW w:w="1134" w:type="dxa"/>
            <w:gridSpan w:val="3"/>
          </w:tcPr>
          <w:p>
            <w:pPr>
              <w:pStyle w:val="nTable"/>
              <w:spacing w:after="40"/>
            </w:pPr>
            <w:r>
              <w:t>29 Aug 1978</w:t>
            </w:r>
          </w:p>
        </w:tc>
        <w:tc>
          <w:tcPr>
            <w:tcW w:w="2553" w:type="dxa"/>
          </w:tcPr>
          <w:p>
            <w:pPr>
              <w:pStyle w:val="nTable"/>
              <w:spacing w:after="40"/>
            </w:pPr>
            <w:r>
              <w:t xml:space="preserve">1 Oct 1980 (see s. 2 and </w:t>
            </w:r>
            <w:r>
              <w:rPr>
                <w:i/>
              </w:rPr>
              <w:t>Gazette</w:t>
            </w:r>
            <w:r>
              <w:t xml:space="preserve"> 29 Aug 1980 p. 3015)</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14 Jun 1979 p. 1549</w:t>
            </w:r>
            <w:r>
              <w:rPr>
                <w:color w:val="000000"/>
              </w:rPr>
              <w:noBreakHyphen/>
              <w:t>88</w:t>
            </w:r>
          </w:p>
        </w:tc>
        <w:tc>
          <w:tcPr>
            <w:tcW w:w="2553" w:type="dxa"/>
          </w:tcPr>
          <w:p>
            <w:pPr>
              <w:pStyle w:val="nTable"/>
              <w:spacing w:after="40"/>
              <w:rPr>
                <w:color w:val="000000"/>
              </w:rPr>
            </w:pPr>
            <w:r>
              <w:rPr>
                <w:color w:val="000000"/>
              </w:rPr>
              <w:t>14 Jun 1979</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b/>
                <w:bCs/>
                <w:color w:val="000000"/>
              </w:rPr>
              <w:t xml:space="preserve"> </w:t>
            </w:r>
            <w:r>
              <w:rPr>
                <w:color w:val="000000"/>
              </w:rPr>
              <w:t>19 Oct 1979 p. 3247</w:t>
            </w:r>
            <w:r>
              <w:rPr>
                <w:color w:val="000000"/>
              </w:rPr>
              <w:noBreakHyphen/>
              <w:t>57</w:t>
            </w:r>
          </w:p>
        </w:tc>
        <w:tc>
          <w:tcPr>
            <w:tcW w:w="2553" w:type="dxa"/>
          </w:tcPr>
          <w:p>
            <w:pPr>
              <w:pStyle w:val="nTable"/>
              <w:spacing w:after="40"/>
              <w:rPr>
                <w:color w:val="000000"/>
              </w:rPr>
            </w:pPr>
            <w:r>
              <w:rPr>
                <w:color w:val="000000"/>
              </w:rPr>
              <w:t>18 Dec 1979</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7 Dec 1979 p. 3772</w:t>
            </w:r>
            <w:r>
              <w:rPr>
                <w:color w:val="000000"/>
              </w:rPr>
              <w:noBreakHyphen/>
              <w:t>4</w:t>
            </w:r>
          </w:p>
        </w:tc>
        <w:tc>
          <w:tcPr>
            <w:tcW w:w="2553" w:type="dxa"/>
          </w:tcPr>
          <w:p>
            <w:pPr>
              <w:pStyle w:val="nTable"/>
              <w:spacing w:after="40"/>
              <w:rPr>
                <w:color w:val="000000"/>
              </w:rPr>
            </w:pPr>
            <w:r>
              <w:rPr>
                <w:color w:val="000000"/>
              </w:rPr>
              <w:t>7 Dec 1979</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18 Jul 1980 p. 2377</w:t>
            </w:r>
            <w:r>
              <w:rPr>
                <w:color w:val="000000"/>
              </w:rPr>
              <w:noBreakHyphen/>
              <w:t>80</w:t>
            </w:r>
          </w:p>
        </w:tc>
        <w:tc>
          <w:tcPr>
            <w:tcW w:w="2553" w:type="dxa"/>
          </w:tcPr>
          <w:p>
            <w:pPr>
              <w:pStyle w:val="nTable"/>
              <w:spacing w:after="40"/>
              <w:rPr>
                <w:color w:val="000000"/>
              </w:rPr>
            </w:pPr>
            <w:r>
              <w:rPr>
                <w:color w:val="000000"/>
              </w:rPr>
              <w:t>18 Jul 1980</w:t>
            </w:r>
          </w:p>
        </w:tc>
      </w:tr>
      <w:tr>
        <w:trPr>
          <w:cantSplit/>
        </w:trPr>
        <w:tc>
          <w:tcPr>
            <w:tcW w:w="4534" w:type="dxa"/>
            <w:gridSpan w:val="6"/>
          </w:tcPr>
          <w:p>
            <w:pPr>
              <w:pStyle w:val="nTable"/>
              <w:spacing w:after="40"/>
              <w:rPr>
                <w:color w:val="000000"/>
              </w:rPr>
            </w:pPr>
            <w:r>
              <w:rPr>
                <w:i/>
                <w:iCs/>
                <w:color w:val="000000"/>
              </w:rPr>
              <w:t>Poisons (Scheduled Substances) Amendment Order 1981</w:t>
            </w:r>
            <w:r>
              <w:rPr>
                <w:color w:val="000000"/>
              </w:rPr>
              <w:t xml:space="preserve"> published in </w:t>
            </w:r>
            <w:r>
              <w:rPr>
                <w:i/>
                <w:iCs/>
                <w:color w:val="000000"/>
              </w:rPr>
              <w:t>Gazette</w:t>
            </w:r>
            <w:r>
              <w:rPr>
                <w:color w:val="000000"/>
              </w:rPr>
              <w:t xml:space="preserve"> 9 Jul 1981 p. 2723</w:t>
            </w:r>
            <w:r>
              <w:rPr>
                <w:color w:val="000000"/>
              </w:rPr>
              <w:noBreakHyphen/>
              <w:t>68</w:t>
            </w:r>
          </w:p>
        </w:tc>
        <w:tc>
          <w:tcPr>
            <w:tcW w:w="2553" w:type="dxa"/>
          </w:tcPr>
          <w:p>
            <w:pPr>
              <w:pStyle w:val="nTable"/>
              <w:spacing w:after="40"/>
              <w:rPr>
                <w:color w:val="000000"/>
              </w:rPr>
            </w:pPr>
            <w:r>
              <w:rPr>
                <w:color w:val="000000"/>
              </w:rPr>
              <w:t>9 Jul 1981</w:t>
            </w:r>
          </w:p>
        </w:tc>
      </w:tr>
      <w:tr>
        <w:trPr>
          <w:cantSplit/>
        </w:trPr>
        <w:tc>
          <w:tcPr>
            <w:tcW w:w="2266" w:type="dxa"/>
          </w:tcPr>
          <w:p>
            <w:pPr>
              <w:pStyle w:val="nTable"/>
              <w:spacing w:after="40"/>
            </w:pPr>
            <w:r>
              <w:rPr>
                <w:i/>
              </w:rPr>
              <w:t>Acts Amendment (Misuse of Drugs) Act 1981</w:t>
            </w:r>
            <w:r>
              <w:t xml:space="preserve"> Pt. IV</w:t>
            </w:r>
          </w:p>
        </w:tc>
        <w:tc>
          <w:tcPr>
            <w:tcW w:w="1134" w:type="dxa"/>
            <w:gridSpan w:val="2"/>
          </w:tcPr>
          <w:p>
            <w:pPr>
              <w:pStyle w:val="nTable"/>
              <w:keepNext/>
              <w:spacing w:after="40"/>
            </w:pPr>
            <w:r>
              <w:t>57 of 1981</w:t>
            </w:r>
          </w:p>
        </w:tc>
        <w:tc>
          <w:tcPr>
            <w:tcW w:w="1134" w:type="dxa"/>
            <w:gridSpan w:val="3"/>
          </w:tcPr>
          <w:p>
            <w:pPr>
              <w:pStyle w:val="nTable"/>
              <w:spacing w:after="40"/>
            </w:pPr>
            <w:r>
              <w:t>13 Oct 1981</w:t>
            </w:r>
          </w:p>
        </w:tc>
        <w:tc>
          <w:tcPr>
            <w:tcW w:w="2553" w:type="dxa"/>
          </w:tcPr>
          <w:p>
            <w:pPr>
              <w:pStyle w:val="nTable"/>
              <w:spacing w:after="40"/>
            </w:pPr>
            <w:r>
              <w:t xml:space="preserve">1 Sep 1982 (see s. 2 and </w:t>
            </w:r>
            <w:r>
              <w:rPr>
                <w:i/>
              </w:rPr>
              <w:t>Gazette</w:t>
            </w:r>
            <w:r>
              <w:t xml:space="preserve"> 20 Aug 1982 p. 3250)</w:t>
            </w:r>
          </w:p>
        </w:tc>
      </w:tr>
      <w:tr>
        <w:trPr>
          <w:cantSplit/>
        </w:trPr>
        <w:tc>
          <w:tcPr>
            <w:tcW w:w="2266" w:type="dxa"/>
          </w:tcPr>
          <w:p>
            <w:pPr>
              <w:pStyle w:val="nTable"/>
              <w:spacing w:after="40"/>
            </w:pPr>
            <w:r>
              <w:rPr>
                <w:i/>
              </w:rPr>
              <w:t>Acts Amendment (Statutory Designations) and Validation Act 1981</w:t>
            </w:r>
            <w:r>
              <w:t xml:space="preserve"> s. 4</w:t>
            </w:r>
          </w:p>
        </w:tc>
        <w:tc>
          <w:tcPr>
            <w:tcW w:w="1134" w:type="dxa"/>
            <w:gridSpan w:val="2"/>
          </w:tcPr>
          <w:p>
            <w:pPr>
              <w:pStyle w:val="nTable"/>
              <w:keepNext/>
              <w:keepLines/>
              <w:spacing w:after="40"/>
            </w:pPr>
            <w:r>
              <w:t>63 of 1981</w:t>
            </w:r>
          </w:p>
        </w:tc>
        <w:tc>
          <w:tcPr>
            <w:tcW w:w="1134" w:type="dxa"/>
            <w:gridSpan w:val="3"/>
          </w:tcPr>
          <w:p>
            <w:pPr>
              <w:pStyle w:val="nTable"/>
              <w:spacing w:after="40"/>
            </w:pPr>
            <w:r>
              <w:t>13 Oct 1981</w:t>
            </w:r>
          </w:p>
        </w:tc>
        <w:tc>
          <w:tcPr>
            <w:tcW w:w="2553" w:type="dxa"/>
          </w:tcPr>
          <w:p>
            <w:pPr>
              <w:pStyle w:val="nTable"/>
              <w:spacing w:after="40"/>
            </w:pPr>
            <w:r>
              <w:t>13 Oct 1981</w:t>
            </w:r>
          </w:p>
        </w:tc>
      </w:tr>
      <w:tr>
        <w:trPr>
          <w:cantSplit/>
        </w:trPr>
        <w:tc>
          <w:tcPr>
            <w:tcW w:w="4534" w:type="dxa"/>
            <w:gridSpan w:val="6"/>
          </w:tcPr>
          <w:p>
            <w:pPr>
              <w:pStyle w:val="nTable"/>
              <w:spacing w:after="40"/>
              <w:rPr>
                <w:color w:val="000000"/>
              </w:rPr>
            </w:pPr>
            <w:r>
              <w:rPr>
                <w:i/>
                <w:iCs/>
                <w:color w:val="000000"/>
              </w:rPr>
              <w:t xml:space="preserve">Poisons (Scheduled Substances) Amendment Order (No. 2) 1981 </w:t>
            </w:r>
            <w:r>
              <w:rPr>
                <w:color w:val="000000"/>
              </w:rPr>
              <w:t xml:space="preserve">published in </w:t>
            </w:r>
            <w:r>
              <w:rPr>
                <w:i/>
                <w:iCs/>
                <w:color w:val="000000"/>
              </w:rPr>
              <w:t>Gazette</w:t>
            </w:r>
            <w:r>
              <w:rPr>
                <w:color w:val="000000"/>
              </w:rPr>
              <w:t xml:space="preserve"> 18 Dec 1981 p. 5190</w:t>
            </w:r>
            <w:r>
              <w:rPr>
                <w:color w:val="000000"/>
              </w:rPr>
              <w:noBreakHyphen/>
              <w:t>2</w:t>
            </w:r>
          </w:p>
        </w:tc>
        <w:tc>
          <w:tcPr>
            <w:tcW w:w="2553" w:type="dxa"/>
          </w:tcPr>
          <w:p>
            <w:pPr>
              <w:pStyle w:val="nTable"/>
              <w:spacing w:after="40"/>
              <w:rPr>
                <w:color w:val="000000"/>
              </w:rPr>
            </w:pPr>
            <w:r>
              <w:rPr>
                <w:color w:val="000000"/>
              </w:rPr>
              <w:t>1 Feb 1982 (see cl. 2)</w:t>
            </w:r>
          </w:p>
        </w:tc>
      </w:tr>
      <w:tr>
        <w:trPr>
          <w:cantSplit/>
        </w:trPr>
        <w:tc>
          <w:tcPr>
            <w:tcW w:w="4534" w:type="dxa"/>
            <w:gridSpan w:val="6"/>
          </w:tcPr>
          <w:p>
            <w:pPr>
              <w:pStyle w:val="nTable"/>
              <w:spacing w:after="40"/>
              <w:rPr>
                <w:color w:val="000000"/>
              </w:rPr>
            </w:pPr>
            <w:r>
              <w:rPr>
                <w:i/>
                <w:iCs/>
                <w:color w:val="000000"/>
              </w:rPr>
              <w:t xml:space="preserve">Poisons (Scheduled Substances) Amendment Order 1982 </w:t>
            </w:r>
            <w:r>
              <w:rPr>
                <w:color w:val="000000"/>
              </w:rPr>
              <w:t xml:space="preserve">published in </w:t>
            </w:r>
            <w:r>
              <w:rPr>
                <w:i/>
                <w:iCs/>
                <w:color w:val="000000"/>
              </w:rPr>
              <w:t>Gazette</w:t>
            </w:r>
            <w:r>
              <w:rPr>
                <w:color w:val="000000"/>
              </w:rPr>
              <w:t xml:space="preserve"> 16 Jul 1982 p. 2721</w:t>
            </w:r>
            <w:r>
              <w:rPr>
                <w:color w:val="000000"/>
              </w:rPr>
              <w:noBreakHyphen/>
              <w:t>3</w:t>
            </w:r>
          </w:p>
        </w:tc>
        <w:tc>
          <w:tcPr>
            <w:tcW w:w="2553" w:type="dxa"/>
          </w:tcPr>
          <w:p>
            <w:pPr>
              <w:pStyle w:val="nTable"/>
              <w:spacing w:after="40"/>
              <w:rPr>
                <w:color w:val="000000"/>
              </w:rPr>
            </w:pPr>
            <w:r>
              <w:rPr>
                <w:color w:val="000000"/>
              </w:rPr>
              <w:t>16 Jul 1982</w:t>
            </w:r>
          </w:p>
        </w:tc>
      </w:tr>
      <w:tr>
        <w:trPr>
          <w:cantSplit/>
        </w:trPr>
        <w:tc>
          <w:tcPr>
            <w:tcW w:w="4534" w:type="dxa"/>
            <w:gridSpan w:val="6"/>
          </w:tcPr>
          <w:p>
            <w:pPr>
              <w:pStyle w:val="nTable"/>
              <w:spacing w:after="40"/>
              <w:rPr>
                <w:color w:val="000000"/>
              </w:rPr>
            </w:pPr>
            <w:r>
              <w:rPr>
                <w:i/>
                <w:iCs/>
                <w:color w:val="000000"/>
              </w:rPr>
              <w:t xml:space="preserve">Poisons (Scheduled Substances) Amendment Order (No. 2) 1982 </w:t>
            </w:r>
            <w:r>
              <w:rPr>
                <w:color w:val="000000"/>
              </w:rPr>
              <w:t xml:space="preserve">published in </w:t>
            </w:r>
            <w:r>
              <w:rPr>
                <w:i/>
                <w:iCs/>
                <w:color w:val="000000"/>
              </w:rPr>
              <w:t>Gazette</w:t>
            </w:r>
            <w:r>
              <w:rPr>
                <w:color w:val="000000"/>
              </w:rPr>
              <w:t xml:space="preserve"> 13 Aug 1982 p. 3112</w:t>
            </w:r>
            <w:r>
              <w:rPr>
                <w:color w:val="000000"/>
              </w:rPr>
              <w:noBreakHyphen/>
              <w:t>3</w:t>
            </w:r>
          </w:p>
        </w:tc>
        <w:tc>
          <w:tcPr>
            <w:tcW w:w="2553" w:type="dxa"/>
          </w:tcPr>
          <w:p>
            <w:pPr>
              <w:pStyle w:val="nTable"/>
              <w:spacing w:after="40"/>
              <w:rPr>
                <w:color w:val="000000"/>
              </w:rPr>
            </w:pPr>
            <w:r>
              <w:rPr>
                <w:color w:val="000000"/>
              </w:rPr>
              <w:t>13 Aug 1982</w:t>
            </w:r>
          </w:p>
        </w:tc>
      </w:tr>
      <w:tr>
        <w:trPr>
          <w:cantSplit/>
        </w:trPr>
        <w:tc>
          <w:tcPr>
            <w:tcW w:w="7087" w:type="dxa"/>
            <w:gridSpan w:val="7"/>
          </w:tcPr>
          <w:p>
            <w:pPr>
              <w:pStyle w:val="nTable"/>
              <w:spacing w:after="40"/>
              <w:rPr>
                <w:b/>
              </w:rPr>
            </w:pPr>
            <w:r>
              <w:rPr>
                <w:b/>
              </w:rPr>
              <w:t xml:space="preserve">Reprint of the </w:t>
            </w:r>
            <w:r>
              <w:rPr>
                <w:b/>
                <w:i/>
              </w:rPr>
              <w:t>Poisons Act 1964</w:t>
            </w:r>
            <w:r>
              <w:rPr>
                <w:i/>
              </w:rPr>
              <w:t xml:space="preserve"> </w:t>
            </w:r>
            <w:r>
              <w:rPr>
                <w:b/>
              </w:rPr>
              <w:t xml:space="preserve">approved 3 Dec 1982 </w:t>
            </w:r>
            <w:r>
              <w:t>(includes amendments listed above)</w:t>
            </w:r>
          </w:p>
        </w:tc>
      </w:tr>
      <w:tr>
        <w:trPr>
          <w:cantSplit/>
        </w:trPr>
        <w:tc>
          <w:tcPr>
            <w:tcW w:w="4534" w:type="dxa"/>
            <w:gridSpan w:val="6"/>
          </w:tcPr>
          <w:p>
            <w:pPr>
              <w:pStyle w:val="nTable"/>
              <w:spacing w:after="40"/>
              <w:rPr>
                <w:color w:val="000000"/>
              </w:rPr>
            </w:pPr>
            <w:r>
              <w:rPr>
                <w:i/>
                <w:iCs/>
                <w:color w:val="000000"/>
              </w:rPr>
              <w:t xml:space="preserve">Poisons (Scheduled Substances) Amendment Order 1983 </w:t>
            </w:r>
            <w:r>
              <w:rPr>
                <w:color w:val="000000"/>
              </w:rPr>
              <w:t xml:space="preserve">published in </w:t>
            </w:r>
            <w:r>
              <w:rPr>
                <w:i/>
                <w:iCs/>
                <w:color w:val="000000"/>
              </w:rPr>
              <w:t>Gazette</w:t>
            </w:r>
            <w:r>
              <w:rPr>
                <w:color w:val="000000"/>
              </w:rPr>
              <w:t xml:space="preserve"> 14 Jan 1983 p. 210</w:t>
            </w:r>
            <w:r>
              <w:rPr>
                <w:color w:val="000000"/>
              </w:rPr>
              <w:noBreakHyphen/>
              <w:t>13</w:t>
            </w:r>
          </w:p>
        </w:tc>
        <w:tc>
          <w:tcPr>
            <w:tcW w:w="2553" w:type="dxa"/>
          </w:tcPr>
          <w:p>
            <w:pPr>
              <w:pStyle w:val="nTable"/>
              <w:spacing w:after="40"/>
              <w:rPr>
                <w:color w:val="000000"/>
              </w:rPr>
            </w:pPr>
            <w:r>
              <w:rPr>
                <w:color w:val="000000"/>
              </w:rPr>
              <w:t>14 Jan 1983</w:t>
            </w:r>
          </w:p>
        </w:tc>
      </w:tr>
      <w:tr>
        <w:trPr>
          <w:cantSplit/>
        </w:trPr>
        <w:tc>
          <w:tcPr>
            <w:tcW w:w="2266" w:type="dxa"/>
          </w:tcPr>
          <w:p>
            <w:pPr>
              <w:pStyle w:val="nTable"/>
              <w:spacing w:after="40"/>
            </w:pPr>
            <w:r>
              <w:rPr>
                <w:i/>
              </w:rPr>
              <w:t>Health Legislation Amendment Act 1984</w:t>
            </w:r>
            <w:r>
              <w:t xml:space="preserve"> Pt. XX</w:t>
            </w:r>
          </w:p>
        </w:tc>
        <w:tc>
          <w:tcPr>
            <w:tcW w:w="1134" w:type="dxa"/>
            <w:gridSpan w:val="2"/>
          </w:tcPr>
          <w:p>
            <w:pPr>
              <w:pStyle w:val="nTable"/>
              <w:spacing w:after="40"/>
            </w:pPr>
            <w:r>
              <w:t>28 of 1984</w:t>
            </w:r>
          </w:p>
        </w:tc>
        <w:tc>
          <w:tcPr>
            <w:tcW w:w="1134" w:type="dxa"/>
            <w:gridSpan w:val="3"/>
          </w:tcPr>
          <w:p>
            <w:pPr>
              <w:pStyle w:val="nTable"/>
              <w:spacing w:after="40"/>
            </w:pPr>
            <w:r>
              <w:t>31 May 1984</w:t>
            </w:r>
          </w:p>
        </w:tc>
        <w:tc>
          <w:tcPr>
            <w:tcW w:w="2553" w:type="dxa"/>
          </w:tcPr>
          <w:p>
            <w:pPr>
              <w:pStyle w:val="nTable"/>
              <w:spacing w:after="40"/>
            </w:pPr>
            <w:r>
              <w:t xml:space="preserve">1 Jul 1984 (see s. 2 and </w:t>
            </w:r>
            <w:r>
              <w:rPr>
                <w:i/>
              </w:rPr>
              <w:t>Gazette</w:t>
            </w:r>
            <w:r>
              <w:t> 15 Jun 1984 p. 1629)</w:t>
            </w:r>
          </w:p>
        </w:tc>
      </w:tr>
      <w:tr>
        <w:trPr>
          <w:cantSplit/>
        </w:trPr>
        <w:tc>
          <w:tcPr>
            <w:tcW w:w="4534" w:type="dxa"/>
            <w:gridSpan w:val="6"/>
          </w:tcPr>
          <w:p>
            <w:pPr>
              <w:pStyle w:val="nTable"/>
              <w:spacing w:after="40"/>
              <w:rPr>
                <w:color w:val="000000"/>
              </w:rPr>
            </w:pPr>
            <w:r>
              <w:rPr>
                <w:i/>
                <w:iCs/>
                <w:color w:val="000000"/>
              </w:rPr>
              <w:t xml:space="preserve">Poisons (Scheduled Substances) Amendment Order 1984 </w:t>
            </w:r>
            <w:r>
              <w:rPr>
                <w:color w:val="000000"/>
              </w:rPr>
              <w:t xml:space="preserve">published in </w:t>
            </w:r>
            <w:r>
              <w:rPr>
                <w:i/>
                <w:iCs/>
                <w:color w:val="000000"/>
              </w:rPr>
              <w:t>Gazette</w:t>
            </w:r>
            <w:r>
              <w:rPr>
                <w:color w:val="000000"/>
              </w:rPr>
              <w:t xml:space="preserve"> 24 Aug 1984 p. 2503</w:t>
            </w:r>
            <w:r>
              <w:rPr>
                <w:color w:val="000000"/>
              </w:rPr>
              <w:noBreakHyphen/>
              <w:t>66</w:t>
            </w:r>
          </w:p>
        </w:tc>
        <w:tc>
          <w:tcPr>
            <w:tcW w:w="2553" w:type="dxa"/>
          </w:tcPr>
          <w:p>
            <w:pPr>
              <w:pStyle w:val="nTable"/>
              <w:spacing w:after="40"/>
              <w:rPr>
                <w:color w:val="000000"/>
              </w:rPr>
            </w:pPr>
            <w:r>
              <w:rPr>
                <w:color w:val="000000"/>
              </w:rPr>
              <w:t>24 Sep 1984 (see cl. 2)</w:t>
            </w:r>
          </w:p>
        </w:tc>
      </w:tr>
      <w:tr>
        <w:trPr>
          <w:cantSplit/>
        </w:trPr>
        <w:tc>
          <w:tcPr>
            <w:tcW w:w="4534" w:type="dxa"/>
            <w:gridSpan w:val="6"/>
          </w:tcPr>
          <w:p>
            <w:pPr>
              <w:pStyle w:val="nTable"/>
              <w:spacing w:after="40"/>
              <w:rPr>
                <w:color w:val="000000"/>
              </w:rPr>
            </w:pPr>
            <w:r>
              <w:rPr>
                <w:i/>
                <w:iCs/>
                <w:color w:val="000000"/>
              </w:rPr>
              <w:t>Poisons (Scheduled Substances) Amendment Order 1985</w:t>
            </w:r>
            <w:r>
              <w:rPr>
                <w:color w:val="000000"/>
              </w:rPr>
              <w:t xml:space="preserve"> published in </w:t>
            </w:r>
            <w:r>
              <w:rPr>
                <w:i/>
                <w:iCs/>
                <w:color w:val="000000"/>
              </w:rPr>
              <w:t>Gazette</w:t>
            </w:r>
            <w:r>
              <w:rPr>
                <w:color w:val="000000"/>
              </w:rPr>
              <w:t xml:space="preserve"> 8 Feb 1985 p. 517</w:t>
            </w:r>
          </w:p>
        </w:tc>
        <w:tc>
          <w:tcPr>
            <w:tcW w:w="2553" w:type="dxa"/>
          </w:tcPr>
          <w:p>
            <w:pPr>
              <w:pStyle w:val="nTable"/>
              <w:spacing w:after="40"/>
              <w:rPr>
                <w:color w:val="000000"/>
              </w:rPr>
            </w:pPr>
            <w:r>
              <w:rPr>
                <w:color w:val="000000"/>
              </w:rPr>
              <w:t>8 Feb 1985 (see cl. 2)</w:t>
            </w:r>
          </w:p>
        </w:tc>
      </w:tr>
      <w:tr>
        <w:trPr>
          <w:cantSplit/>
        </w:trPr>
        <w:tc>
          <w:tcPr>
            <w:tcW w:w="4534" w:type="dxa"/>
            <w:gridSpan w:val="6"/>
          </w:tcPr>
          <w:p>
            <w:pPr>
              <w:pStyle w:val="nTable"/>
              <w:spacing w:after="40"/>
              <w:rPr>
                <w:color w:val="000000"/>
              </w:rPr>
            </w:pPr>
            <w:r>
              <w:rPr>
                <w:i/>
                <w:iCs/>
                <w:color w:val="000000"/>
              </w:rPr>
              <w:t xml:space="preserve">Poisons (Scheduled Substances) Amendment Order (No. 2) 1985 </w:t>
            </w:r>
            <w:r>
              <w:rPr>
                <w:color w:val="000000"/>
              </w:rPr>
              <w:t xml:space="preserve">published in </w:t>
            </w:r>
            <w:r>
              <w:rPr>
                <w:i/>
                <w:iCs/>
                <w:color w:val="000000"/>
              </w:rPr>
              <w:t>Gazette</w:t>
            </w:r>
            <w:r>
              <w:rPr>
                <w:color w:val="000000"/>
              </w:rPr>
              <w:t xml:space="preserve"> 15 Mar 1985 p. 936</w:t>
            </w:r>
            <w:r>
              <w:rPr>
                <w:color w:val="000000"/>
              </w:rPr>
              <w:noBreakHyphen/>
              <w:t>41</w:t>
            </w:r>
          </w:p>
        </w:tc>
        <w:tc>
          <w:tcPr>
            <w:tcW w:w="2553" w:type="dxa"/>
          </w:tcPr>
          <w:p>
            <w:pPr>
              <w:pStyle w:val="nTable"/>
              <w:spacing w:after="40"/>
              <w:rPr>
                <w:color w:val="000000"/>
              </w:rPr>
            </w:pPr>
            <w:r>
              <w:rPr>
                <w:color w:val="000000"/>
              </w:rPr>
              <w:t>15 Mar 1985 (see cl. 2)</w:t>
            </w:r>
          </w:p>
        </w:tc>
      </w:tr>
      <w:tr>
        <w:trPr>
          <w:cantSplit/>
        </w:trPr>
        <w:tc>
          <w:tcPr>
            <w:tcW w:w="4534" w:type="dxa"/>
            <w:gridSpan w:val="6"/>
          </w:tcPr>
          <w:p>
            <w:pPr>
              <w:pStyle w:val="nTable"/>
              <w:spacing w:after="40"/>
              <w:rPr>
                <w:color w:val="000000"/>
              </w:rPr>
            </w:pPr>
            <w:r>
              <w:rPr>
                <w:i/>
                <w:iCs/>
                <w:color w:val="000000"/>
              </w:rPr>
              <w:t xml:space="preserve">Poisons (Scheduled Substances) Amendment Order (No. 3) 1985 </w:t>
            </w:r>
            <w:r>
              <w:rPr>
                <w:color w:val="000000"/>
              </w:rPr>
              <w:t xml:space="preserve">published in </w:t>
            </w:r>
            <w:r>
              <w:rPr>
                <w:i/>
                <w:iCs/>
                <w:color w:val="000000"/>
              </w:rPr>
              <w:t>Gazette</w:t>
            </w:r>
            <w:r>
              <w:rPr>
                <w:color w:val="000000"/>
              </w:rPr>
              <w:t xml:space="preserve"> 29 Mar 1985 p. 1110</w:t>
            </w:r>
          </w:p>
        </w:tc>
        <w:tc>
          <w:tcPr>
            <w:tcW w:w="2553" w:type="dxa"/>
          </w:tcPr>
          <w:p>
            <w:pPr>
              <w:pStyle w:val="nTable"/>
              <w:spacing w:after="40"/>
              <w:rPr>
                <w:color w:val="000000"/>
              </w:rPr>
            </w:pPr>
            <w:r>
              <w:rPr>
                <w:color w:val="000000"/>
              </w:rPr>
              <w:t>29 Mar 1985 (see cl. 2)</w:t>
            </w:r>
          </w:p>
        </w:tc>
      </w:tr>
      <w:tr>
        <w:trPr>
          <w:cantSplit/>
        </w:trPr>
        <w:tc>
          <w:tcPr>
            <w:tcW w:w="4534" w:type="dxa"/>
            <w:gridSpan w:val="6"/>
          </w:tcPr>
          <w:p>
            <w:pPr>
              <w:pStyle w:val="nTable"/>
              <w:spacing w:after="40"/>
              <w:rPr>
                <w:color w:val="000000"/>
              </w:rPr>
            </w:pPr>
            <w:r>
              <w:rPr>
                <w:i/>
                <w:iCs/>
                <w:color w:val="000000"/>
              </w:rPr>
              <w:t xml:space="preserve">Poisons (Scheduled Substances) Amendment Order (No. 4) 1985 </w:t>
            </w:r>
            <w:r>
              <w:rPr>
                <w:color w:val="000000"/>
              </w:rPr>
              <w:t xml:space="preserve">published in </w:t>
            </w:r>
            <w:r>
              <w:rPr>
                <w:i/>
                <w:iCs/>
                <w:color w:val="000000"/>
              </w:rPr>
              <w:t>Gazette</w:t>
            </w:r>
            <w:r>
              <w:rPr>
                <w:color w:val="000000"/>
              </w:rPr>
              <w:t xml:space="preserve"> 31 May 1985 p. 1883</w:t>
            </w:r>
          </w:p>
        </w:tc>
        <w:tc>
          <w:tcPr>
            <w:tcW w:w="2553" w:type="dxa"/>
          </w:tcPr>
          <w:p>
            <w:pPr>
              <w:pStyle w:val="nTable"/>
              <w:spacing w:after="40"/>
              <w:rPr>
                <w:color w:val="000000"/>
              </w:rPr>
            </w:pPr>
            <w:r>
              <w:rPr>
                <w:color w:val="000000"/>
              </w:rPr>
              <w:t>31 May 1985 (see cl. 2)</w:t>
            </w:r>
          </w:p>
        </w:tc>
      </w:tr>
      <w:tr>
        <w:trPr>
          <w:cantSplit/>
        </w:trPr>
        <w:tc>
          <w:tcPr>
            <w:tcW w:w="4534" w:type="dxa"/>
            <w:gridSpan w:val="6"/>
          </w:tcPr>
          <w:p>
            <w:pPr>
              <w:pStyle w:val="nTable"/>
              <w:spacing w:after="40"/>
              <w:rPr>
                <w:color w:val="000000"/>
              </w:rPr>
            </w:pPr>
            <w:r>
              <w:rPr>
                <w:i/>
                <w:iCs/>
                <w:color w:val="000000"/>
              </w:rPr>
              <w:t xml:space="preserve">Poisons (Scheduled Substances) Amendment Order (No. 5) 1985 </w:t>
            </w:r>
            <w:r>
              <w:rPr>
                <w:color w:val="000000"/>
              </w:rPr>
              <w:t xml:space="preserve">published in </w:t>
            </w:r>
            <w:r>
              <w:rPr>
                <w:i/>
                <w:iCs/>
                <w:color w:val="000000"/>
              </w:rPr>
              <w:t>Gazette</w:t>
            </w:r>
            <w:r>
              <w:rPr>
                <w:color w:val="000000"/>
              </w:rPr>
              <w:t xml:space="preserve"> 16 Aug 1985 p. 2921</w:t>
            </w:r>
            <w:r>
              <w:rPr>
                <w:color w:val="000000"/>
              </w:rPr>
              <w:noBreakHyphen/>
              <w:t>6</w:t>
            </w:r>
          </w:p>
        </w:tc>
        <w:tc>
          <w:tcPr>
            <w:tcW w:w="2553" w:type="dxa"/>
          </w:tcPr>
          <w:p>
            <w:pPr>
              <w:pStyle w:val="nTable"/>
              <w:spacing w:after="40"/>
              <w:rPr>
                <w:color w:val="000000"/>
              </w:rPr>
            </w:pPr>
            <w:r>
              <w:rPr>
                <w:color w:val="000000"/>
              </w:rPr>
              <w:t>16 Aug 1985 (see cl. 2)</w:t>
            </w:r>
          </w:p>
        </w:tc>
      </w:tr>
      <w:tr>
        <w:trPr>
          <w:cantSplit/>
        </w:trPr>
        <w:tc>
          <w:tcPr>
            <w:tcW w:w="4534" w:type="dxa"/>
            <w:gridSpan w:val="6"/>
          </w:tcPr>
          <w:p>
            <w:pPr>
              <w:pStyle w:val="nTable"/>
              <w:spacing w:after="40"/>
              <w:rPr>
                <w:color w:val="000000"/>
              </w:rPr>
            </w:pPr>
            <w:r>
              <w:rPr>
                <w:i/>
                <w:iCs/>
                <w:color w:val="000000"/>
              </w:rPr>
              <w:t>Poisons (Scheduled Substances) Amendment Order (No. 6) 1985</w:t>
            </w:r>
            <w:r>
              <w:rPr>
                <w:color w:val="000000"/>
              </w:rPr>
              <w:t xml:space="preserve"> published in </w:t>
            </w:r>
            <w:r>
              <w:rPr>
                <w:i/>
                <w:iCs/>
                <w:color w:val="000000"/>
              </w:rPr>
              <w:t>Gazette</w:t>
            </w:r>
            <w:r>
              <w:t xml:space="preserve"> 18 Oct 1985 p. 3989</w:t>
            </w:r>
            <w:r>
              <w:noBreakHyphen/>
              <w:t>95</w:t>
            </w:r>
          </w:p>
        </w:tc>
        <w:tc>
          <w:tcPr>
            <w:tcW w:w="2553" w:type="dxa"/>
          </w:tcPr>
          <w:p>
            <w:pPr>
              <w:pStyle w:val="nTable"/>
              <w:spacing w:after="40"/>
              <w:rPr>
                <w:color w:val="000000"/>
              </w:rPr>
            </w:pPr>
            <w:r>
              <w:rPr>
                <w:color w:val="000000"/>
              </w:rPr>
              <w:t>1 Dec 1985 (see cl. 2)</w:t>
            </w:r>
          </w:p>
        </w:tc>
      </w:tr>
      <w:tr>
        <w:trPr>
          <w:cantSplit/>
        </w:trPr>
        <w:tc>
          <w:tcPr>
            <w:tcW w:w="4534" w:type="dxa"/>
            <w:gridSpan w:val="6"/>
          </w:tcPr>
          <w:p>
            <w:pPr>
              <w:pStyle w:val="nTable"/>
              <w:spacing w:after="40"/>
              <w:rPr>
                <w:color w:val="000000"/>
              </w:rPr>
            </w:pPr>
            <w:r>
              <w:rPr>
                <w:i/>
                <w:iCs/>
                <w:color w:val="000000"/>
              </w:rPr>
              <w:t>Poisons (Scheduled Substances) Amendment Order (No. 7) 1985</w:t>
            </w:r>
            <w:r>
              <w:rPr>
                <w:color w:val="000000"/>
              </w:rPr>
              <w:t xml:space="preserve"> published in </w:t>
            </w:r>
            <w:r>
              <w:rPr>
                <w:i/>
                <w:iCs/>
                <w:color w:val="000000"/>
              </w:rPr>
              <w:t>Gazette</w:t>
            </w:r>
            <w:r>
              <w:rPr>
                <w:color w:val="000000"/>
              </w:rPr>
              <w:t xml:space="preserve"> 20 Dec 1985 p. 4833</w:t>
            </w:r>
          </w:p>
        </w:tc>
        <w:tc>
          <w:tcPr>
            <w:tcW w:w="2553" w:type="dxa"/>
          </w:tcPr>
          <w:p>
            <w:pPr>
              <w:pStyle w:val="nTable"/>
              <w:spacing w:after="40"/>
              <w:rPr>
                <w:color w:val="000000"/>
              </w:rPr>
            </w:pPr>
            <w:r>
              <w:rPr>
                <w:color w:val="000000"/>
              </w:rPr>
              <w:t>20 Dec 1985 (see cl. 2)</w:t>
            </w:r>
          </w:p>
        </w:tc>
      </w:tr>
      <w:tr>
        <w:trPr>
          <w:cantSplit/>
        </w:trPr>
        <w:tc>
          <w:tcPr>
            <w:tcW w:w="4534" w:type="dxa"/>
            <w:gridSpan w:val="6"/>
          </w:tcPr>
          <w:p>
            <w:pPr>
              <w:pStyle w:val="nTable"/>
              <w:spacing w:after="40"/>
              <w:rPr>
                <w:color w:val="000000"/>
              </w:rPr>
            </w:pPr>
            <w:r>
              <w:rPr>
                <w:i/>
                <w:iCs/>
                <w:color w:val="000000"/>
              </w:rPr>
              <w:t>Poisons (Scheduled Substances) Amendment Order 1986</w:t>
            </w:r>
            <w:r>
              <w:rPr>
                <w:color w:val="000000"/>
              </w:rPr>
              <w:t xml:space="preserve"> published in </w:t>
            </w:r>
            <w:r>
              <w:rPr>
                <w:i/>
                <w:iCs/>
                <w:color w:val="000000"/>
              </w:rPr>
              <w:t>Gazette</w:t>
            </w:r>
            <w:r>
              <w:rPr>
                <w:color w:val="000000"/>
              </w:rPr>
              <w:t xml:space="preserve"> 11 Jul 1986 p. 2338</w:t>
            </w:r>
          </w:p>
        </w:tc>
        <w:tc>
          <w:tcPr>
            <w:tcW w:w="2553" w:type="dxa"/>
          </w:tcPr>
          <w:p>
            <w:pPr>
              <w:pStyle w:val="nTable"/>
              <w:spacing w:after="40"/>
              <w:rPr>
                <w:color w:val="000000"/>
              </w:rPr>
            </w:pPr>
            <w:r>
              <w:rPr>
                <w:color w:val="000000"/>
              </w:rPr>
              <w:t>11 Jul 1986 (see cl. 2)</w:t>
            </w:r>
          </w:p>
        </w:tc>
      </w:tr>
      <w:tr>
        <w:trPr>
          <w:cantSplit/>
        </w:trPr>
        <w:tc>
          <w:tcPr>
            <w:tcW w:w="4534" w:type="dxa"/>
            <w:gridSpan w:val="6"/>
          </w:tcPr>
          <w:p>
            <w:pPr>
              <w:pStyle w:val="nTable"/>
              <w:spacing w:after="40"/>
              <w:rPr>
                <w:color w:val="000000"/>
              </w:rPr>
            </w:pPr>
            <w:r>
              <w:rPr>
                <w:i/>
                <w:iCs/>
                <w:color w:val="000000"/>
              </w:rPr>
              <w:t>Poisons (Scheduled Substances) Amendment Order (No. 2) 1986</w:t>
            </w:r>
            <w:r>
              <w:rPr>
                <w:color w:val="000000"/>
              </w:rPr>
              <w:t xml:space="preserve"> published in </w:t>
            </w:r>
            <w:r>
              <w:rPr>
                <w:i/>
                <w:iCs/>
                <w:color w:val="000000"/>
              </w:rPr>
              <w:t>Gazette</w:t>
            </w:r>
            <w:r>
              <w:rPr>
                <w:color w:val="000000"/>
              </w:rPr>
              <w:t xml:space="preserve"> 1 Aug 1986 p. 2730</w:t>
            </w:r>
            <w:r>
              <w:rPr>
                <w:color w:val="000000"/>
              </w:rPr>
              <w:noBreakHyphen/>
              <w:t>9</w:t>
            </w:r>
          </w:p>
        </w:tc>
        <w:tc>
          <w:tcPr>
            <w:tcW w:w="2553" w:type="dxa"/>
          </w:tcPr>
          <w:p>
            <w:pPr>
              <w:pStyle w:val="nTable"/>
              <w:spacing w:after="40"/>
              <w:rPr>
                <w:color w:val="000000"/>
              </w:rPr>
            </w:pPr>
            <w:r>
              <w:rPr>
                <w:color w:val="000000"/>
              </w:rPr>
              <w:t>1 Sep 1986 (see cl. 2)</w:t>
            </w:r>
          </w:p>
        </w:tc>
      </w:tr>
      <w:tr>
        <w:trPr>
          <w:cantSplit/>
        </w:trPr>
        <w:tc>
          <w:tcPr>
            <w:tcW w:w="4534" w:type="dxa"/>
            <w:gridSpan w:val="6"/>
          </w:tcPr>
          <w:p>
            <w:pPr>
              <w:pStyle w:val="nTable"/>
              <w:spacing w:after="40"/>
              <w:rPr>
                <w:color w:val="000000"/>
              </w:rPr>
            </w:pPr>
            <w:r>
              <w:rPr>
                <w:i/>
                <w:iCs/>
                <w:color w:val="000000"/>
              </w:rPr>
              <w:t>Poisons (Scheduled Substances) Amendment Order (No. 3) 1986</w:t>
            </w:r>
            <w:r>
              <w:rPr>
                <w:color w:val="000000"/>
              </w:rPr>
              <w:t xml:space="preserve"> published in </w:t>
            </w:r>
            <w:r>
              <w:rPr>
                <w:i/>
                <w:iCs/>
                <w:color w:val="000000"/>
              </w:rPr>
              <w:t>Gazette</w:t>
            </w:r>
            <w:r>
              <w:rPr>
                <w:color w:val="000000"/>
              </w:rPr>
              <w:t xml:space="preserve"> 14 Nov 1986 p. 4193</w:t>
            </w:r>
            <w:r>
              <w:rPr>
                <w:color w:val="000000"/>
              </w:rPr>
              <w:noBreakHyphen/>
              <w:t>4</w:t>
            </w:r>
          </w:p>
        </w:tc>
        <w:tc>
          <w:tcPr>
            <w:tcW w:w="2553" w:type="dxa"/>
          </w:tcPr>
          <w:p>
            <w:pPr>
              <w:pStyle w:val="nTable"/>
              <w:spacing w:after="40"/>
              <w:rPr>
                <w:color w:val="000000"/>
              </w:rPr>
            </w:pPr>
            <w:r>
              <w:rPr>
                <w:color w:val="000000"/>
              </w:rPr>
              <w:t>14 Nov 1986</w:t>
            </w:r>
          </w:p>
        </w:tc>
      </w:tr>
      <w:tr>
        <w:trPr>
          <w:cantSplit/>
        </w:trPr>
        <w:tc>
          <w:tcPr>
            <w:tcW w:w="7087" w:type="dxa"/>
            <w:gridSpan w:val="7"/>
          </w:tcPr>
          <w:p>
            <w:pPr>
              <w:pStyle w:val="nTable"/>
              <w:spacing w:after="40"/>
              <w:rPr>
                <w:b/>
              </w:rPr>
            </w:pPr>
            <w:r>
              <w:rPr>
                <w:b/>
              </w:rPr>
              <w:t xml:space="preserve">Reprint of the </w:t>
            </w:r>
            <w:r>
              <w:rPr>
                <w:b/>
                <w:i/>
              </w:rPr>
              <w:t>Poisons Act 1964</w:t>
            </w:r>
            <w:r>
              <w:rPr>
                <w:i/>
              </w:rPr>
              <w:t xml:space="preserve"> </w:t>
            </w:r>
            <w:r>
              <w:rPr>
                <w:b/>
              </w:rPr>
              <w:t xml:space="preserve">as at 18 Nov 1986 </w:t>
            </w:r>
            <w:r>
              <w:t>(includes amendments listed above)</w:t>
            </w:r>
          </w:p>
        </w:tc>
      </w:tr>
      <w:tr>
        <w:trPr>
          <w:cantSplit/>
        </w:trPr>
        <w:tc>
          <w:tcPr>
            <w:tcW w:w="4534" w:type="dxa"/>
            <w:gridSpan w:val="6"/>
          </w:tcPr>
          <w:p>
            <w:pPr>
              <w:pStyle w:val="nTable"/>
              <w:spacing w:after="40"/>
              <w:rPr>
                <w:color w:val="000000"/>
              </w:rPr>
            </w:pPr>
            <w:r>
              <w:rPr>
                <w:i/>
                <w:iCs/>
                <w:color w:val="000000"/>
              </w:rPr>
              <w:t>Poisons (Scheduled Substances) Amendment Order (No. 4) 1986</w:t>
            </w:r>
            <w:r>
              <w:rPr>
                <w:color w:val="000000"/>
              </w:rPr>
              <w:t xml:space="preserve"> published in </w:t>
            </w:r>
            <w:r>
              <w:rPr>
                <w:i/>
                <w:iCs/>
                <w:color w:val="000000"/>
              </w:rPr>
              <w:t>Gazette</w:t>
            </w:r>
            <w:r>
              <w:rPr>
                <w:color w:val="000000"/>
              </w:rPr>
              <w:t xml:space="preserve"> 24 Dec 1986 p. 4974</w:t>
            </w:r>
          </w:p>
        </w:tc>
        <w:tc>
          <w:tcPr>
            <w:tcW w:w="2553" w:type="dxa"/>
          </w:tcPr>
          <w:p>
            <w:pPr>
              <w:pStyle w:val="nTable"/>
              <w:spacing w:after="40"/>
              <w:rPr>
                <w:color w:val="000000"/>
              </w:rPr>
            </w:pPr>
            <w:r>
              <w:rPr>
                <w:color w:val="000000"/>
              </w:rPr>
              <w:t>31 Dec 1986 (see cl. 2)</w:t>
            </w:r>
          </w:p>
        </w:tc>
      </w:tr>
      <w:tr>
        <w:trPr>
          <w:cantSplit/>
        </w:trPr>
        <w:tc>
          <w:tcPr>
            <w:tcW w:w="4534" w:type="dxa"/>
            <w:gridSpan w:val="6"/>
          </w:tcPr>
          <w:p>
            <w:pPr>
              <w:pStyle w:val="nTable"/>
              <w:spacing w:after="40"/>
              <w:rPr>
                <w:color w:val="000000"/>
              </w:rPr>
            </w:pPr>
            <w:r>
              <w:rPr>
                <w:i/>
                <w:iCs/>
                <w:color w:val="000000"/>
              </w:rPr>
              <w:t>Poisons (Scheduled Substances) Amendment Order 1987</w:t>
            </w:r>
            <w:r>
              <w:rPr>
                <w:color w:val="000000"/>
              </w:rPr>
              <w:t xml:space="preserve"> published in </w:t>
            </w:r>
            <w:r>
              <w:rPr>
                <w:i/>
                <w:iCs/>
                <w:color w:val="000000"/>
              </w:rPr>
              <w:t>Gazette</w:t>
            </w:r>
            <w:r>
              <w:rPr>
                <w:color w:val="000000"/>
              </w:rPr>
              <w:t xml:space="preserve"> 10 Apr 1987 p. 1302</w:t>
            </w:r>
            <w:r>
              <w:rPr>
                <w:color w:val="000000"/>
              </w:rPr>
              <w:noBreakHyphen/>
              <w:t>9</w:t>
            </w:r>
          </w:p>
        </w:tc>
        <w:tc>
          <w:tcPr>
            <w:tcW w:w="2553" w:type="dxa"/>
          </w:tcPr>
          <w:p>
            <w:pPr>
              <w:pStyle w:val="nTable"/>
              <w:spacing w:after="40"/>
              <w:rPr>
                <w:color w:val="000000"/>
              </w:rPr>
            </w:pPr>
            <w:r>
              <w:rPr>
                <w:color w:val="000000"/>
              </w:rPr>
              <w:t>10 Apr 1987</w:t>
            </w:r>
          </w:p>
        </w:tc>
      </w:tr>
      <w:tr>
        <w:trPr>
          <w:cantSplit/>
        </w:trPr>
        <w:tc>
          <w:tcPr>
            <w:tcW w:w="4534" w:type="dxa"/>
            <w:gridSpan w:val="6"/>
          </w:tcPr>
          <w:p>
            <w:pPr>
              <w:pStyle w:val="nTable"/>
              <w:spacing w:after="40"/>
              <w:rPr>
                <w:color w:val="000000"/>
              </w:rPr>
            </w:pPr>
            <w:r>
              <w:rPr>
                <w:i/>
                <w:iCs/>
                <w:color w:val="000000"/>
              </w:rPr>
              <w:t>Poisons (Scheduled Substances) Amendment Order (No. 2) 1987</w:t>
            </w:r>
            <w:r>
              <w:rPr>
                <w:color w:val="000000"/>
              </w:rPr>
              <w:t xml:space="preserve"> published in </w:t>
            </w:r>
            <w:r>
              <w:rPr>
                <w:i/>
                <w:iCs/>
                <w:color w:val="000000"/>
              </w:rPr>
              <w:t>Gazette</w:t>
            </w:r>
            <w:r>
              <w:rPr>
                <w:color w:val="000000"/>
              </w:rPr>
              <w:t xml:space="preserve"> 26 Jun 1987 p. 2492</w:t>
            </w:r>
          </w:p>
        </w:tc>
        <w:tc>
          <w:tcPr>
            <w:tcW w:w="2553" w:type="dxa"/>
          </w:tcPr>
          <w:p>
            <w:pPr>
              <w:pStyle w:val="nTable"/>
              <w:spacing w:after="40"/>
              <w:rPr>
                <w:color w:val="000000"/>
              </w:rPr>
            </w:pPr>
            <w:r>
              <w:rPr>
                <w:color w:val="000000"/>
              </w:rPr>
              <w:t>26 Jun 1987</w:t>
            </w:r>
          </w:p>
        </w:tc>
      </w:tr>
      <w:tr>
        <w:trPr>
          <w:cantSplit/>
        </w:trPr>
        <w:tc>
          <w:tcPr>
            <w:tcW w:w="4534" w:type="dxa"/>
            <w:gridSpan w:val="6"/>
          </w:tcPr>
          <w:p>
            <w:pPr>
              <w:pStyle w:val="nTable"/>
              <w:spacing w:after="40"/>
              <w:rPr>
                <w:color w:val="000000"/>
              </w:rPr>
            </w:pPr>
            <w:r>
              <w:rPr>
                <w:i/>
                <w:iCs/>
                <w:color w:val="000000"/>
              </w:rPr>
              <w:t>Poisons (Scheduled Substances) Amendment Order (No. 3) 1987</w:t>
            </w:r>
            <w:r>
              <w:rPr>
                <w:color w:val="000000"/>
              </w:rPr>
              <w:t xml:space="preserve"> published in </w:t>
            </w:r>
            <w:r>
              <w:rPr>
                <w:i/>
                <w:iCs/>
                <w:color w:val="000000"/>
              </w:rPr>
              <w:t>Gazette</w:t>
            </w:r>
            <w:r>
              <w:rPr>
                <w:color w:val="000000"/>
              </w:rPr>
              <w:t xml:space="preserve"> 18 Sep 1987 p. 3597</w:t>
            </w:r>
            <w:r>
              <w:rPr>
                <w:color w:val="000000"/>
              </w:rPr>
              <w:noBreakHyphen/>
              <w:t>600</w:t>
            </w:r>
          </w:p>
        </w:tc>
        <w:tc>
          <w:tcPr>
            <w:tcW w:w="2553" w:type="dxa"/>
          </w:tcPr>
          <w:p>
            <w:pPr>
              <w:pStyle w:val="nTable"/>
              <w:spacing w:after="40"/>
              <w:rPr>
                <w:color w:val="000000"/>
              </w:rPr>
            </w:pPr>
            <w:r>
              <w:rPr>
                <w:color w:val="000000"/>
              </w:rPr>
              <w:t>18 Sep 1987</w:t>
            </w:r>
          </w:p>
        </w:tc>
      </w:tr>
      <w:tr>
        <w:trPr>
          <w:cantSplit/>
        </w:trPr>
        <w:tc>
          <w:tcPr>
            <w:tcW w:w="4534" w:type="dxa"/>
            <w:gridSpan w:val="6"/>
          </w:tcPr>
          <w:p>
            <w:pPr>
              <w:pStyle w:val="nTable"/>
              <w:spacing w:after="40"/>
              <w:rPr>
                <w:color w:val="000000"/>
              </w:rPr>
            </w:pPr>
            <w:r>
              <w:rPr>
                <w:i/>
                <w:iCs/>
                <w:color w:val="000000"/>
              </w:rPr>
              <w:t xml:space="preserve">Poisons (Scheduled Substances) Amendment Order 1988 </w:t>
            </w:r>
            <w:r>
              <w:rPr>
                <w:color w:val="000000"/>
              </w:rPr>
              <w:t xml:space="preserve">published in </w:t>
            </w:r>
            <w:r>
              <w:rPr>
                <w:i/>
                <w:iCs/>
                <w:color w:val="000000"/>
              </w:rPr>
              <w:t>Gazette</w:t>
            </w:r>
            <w:r>
              <w:rPr>
                <w:color w:val="000000"/>
              </w:rPr>
              <w:t xml:space="preserve"> 5 Feb 1988 p. 333</w:t>
            </w:r>
            <w:r>
              <w:rPr>
                <w:color w:val="000000"/>
              </w:rPr>
              <w:noBreakHyphen/>
              <w:t>48</w:t>
            </w:r>
          </w:p>
        </w:tc>
        <w:tc>
          <w:tcPr>
            <w:tcW w:w="2553" w:type="dxa"/>
          </w:tcPr>
          <w:p>
            <w:pPr>
              <w:pStyle w:val="nTable"/>
              <w:spacing w:after="40"/>
              <w:rPr>
                <w:color w:val="000000"/>
              </w:rPr>
            </w:pPr>
            <w:r>
              <w:rPr>
                <w:color w:val="000000"/>
              </w:rPr>
              <w:t>5 Feb 1988 (see cl. 2)</w:t>
            </w:r>
          </w:p>
        </w:tc>
      </w:tr>
      <w:tr>
        <w:trPr>
          <w:cantSplit/>
        </w:trPr>
        <w:tc>
          <w:tcPr>
            <w:tcW w:w="4534" w:type="dxa"/>
            <w:gridSpan w:val="6"/>
          </w:tcPr>
          <w:p>
            <w:pPr>
              <w:pStyle w:val="nTable"/>
              <w:spacing w:after="40"/>
              <w:rPr>
                <w:color w:val="000000"/>
              </w:rPr>
            </w:pPr>
            <w:r>
              <w:rPr>
                <w:i/>
                <w:iCs/>
                <w:color w:val="000000"/>
              </w:rPr>
              <w:t>Poisons (Scheduled Substances) Amendment Order (No. 2) 1988</w:t>
            </w:r>
            <w:r>
              <w:rPr>
                <w:color w:val="000000"/>
              </w:rPr>
              <w:t xml:space="preserve"> published in </w:t>
            </w:r>
            <w:r>
              <w:rPr>
                <w:i/>
                <w:iCs/>
                <w:color w:val="000000"/>
              </w:rPr>
              <w:t>Gazette</w:t>
            </w:r>
            <w:r>
              <w:rPr>
                <w:color w:val="000000"/>
              </w:rPr>
              <w:t xml:space="preserve"> 2 Sep 1988 p. 3397</w:t>
            </w:r>
            <w:r>
              <w:rPr>
                <w:color w:val="000000"/>
              </w:rPr>
              <w:noBreakHyphen/>
              <w:t>402</w:t>
            </w:r>
          </w:p>
        </w:tc>
        <w:tc>
          <w:tcPr>
            <w:tcW w:w="2553" w:type="dxa"/>
          </w:tcPr>
          <w:p>
            <w:pPr>
              <w:pStyle w:val="nTable"/>
              <w:spacing w:after="40"/>
              <w:rPr>
                <w:color w:val="000000"/>
              </w:rPr>
            </w:pPr>
            <w:r>
              <w:rPr>
                <w:color w:val="000000"/>
              </w:rPr>
              <w:t>2 Sep 1988 (see cl. 2)</w:t>
            </w:r>
          </w:p>
        </w:tc>
      </w:tr>
      <w:tr>
        <w:trPr>
          <w:cantSplit/>
        </w:trPr>
        <w:tc>
          <w:tcPr>
            <w:tcW w:w="4534" w:type="dxa"/>
            <w:gridSpan w:val="6"/>
          </w:tcPr>
          <w:p>
            <w:pPr>
              <w:pStyle w:val="nTable"/>
              <w:spacing w:after="40"/>
              <w:rPr>
                <w:color w:val="000000"/>
              </w:rPr>
            </w:pPr>
            <w:r>
              <w:rPr>
                <w:i/>
                <w:iCs/>
                <w:color w:val="000000"/>
              </w:rPr>
              <w:t>Poisons (Scheduled Substances) Amendment Order (No. 4) 1988</w:t>
            </w:r>
            <w:r>
              <w:rPr>
                <w:color w:val="000000"/>
              </w:rPr>
              <w:t xml:space="preserve"> published in </w:t>
            </w:r>
            <w:r>
              <w:rPr>
                <w:i/>
                <w:iCs/>
                <w:color w:val="000000"/>
              </w:rPr>
              <w:t>Gazette</w:t>
            </w:r>
            <w:r>
              <w:rPr>
                <w:color w:val="000000"/>
              </w:rPr>
              <w:t xml:space="preserve"> 9 Dec 1988 p. 4822</w:t>
            </w:r>
          </w:p>
        </w:tc>
        <w:tc>
          <w:tcPr>
            <w:tcW w:w="2553" w:type="dxa"/>
          </w:tcPr>
          <w:p>
            <w:pPr>
              <w:pStyle w:val="nTable"/>
              <w:spacing w:after="40"/>
              <w:rPr>
                <w:color w:val="000000"/>
              </w:rPr>
            </w:pPr>
            <w:r>
              <w:rPr>
                <w:color w:val="000000"/>
              </w:rPr>
              <w:t>9 Dec 1988 (see cl. 2)</w:t>
            </w:r>
          </w:p>
        </w:tc>
      </w:tr>
      <w:tr>
        <w:trPr>
          <w:cantSplit/>
        </w:trPr>
        <w:tc>
          <w:tcPr>
            <w:tcW w:w="4534" w:type="dxa"/>
            <w:gridSpan w:val="6"/>
          </w:tcPr>
          <w:p>
            <w:pPr>
              <w:pStyle w:val="nTable"/>
              <w:spacing w:after="40"/>
              <w:rPr>
                <w:color w:val="000000"/>
              </w:rPr>
            </w:pPr>
            <w:r>
              <w:rPr>
                <w:i/>
                <w:iCs/>
                <w:color w:val="000000"/>
              </w:rPr>
              <w:t>Poisons (Scheduled Substances) Amendment Order (No. 3) 1988</w:t>
            </w:r>
            <w:r>
              <w:rPr>
                <w:color w:val="000000"/>
              </w:rPr>
              <w:t xml:space="preserve"> published in </w:t>
            </w:r>
            <w:r>
              <w:rPr>
                <w:i/>
                <w:iCs/>
                <w:color w:val="000000"/>
              </w:rPr>
              <w:t>Gazette</w:t>
            </w:r>
            <w:r>
              <w:rPr>
                <w:color w:val="000000"/>
              </w:rPr>
              <w:t xml:space="preserve"> 13 Jan 1989 p. 67</w:t>
            </w:r>
            <w:r>
              <w:rPr>
                <w:color w:val="000000"/>
              </w:rPr>
              <w:noBreakHyphen/>
              <w:t xml:space="preserve">72 </w:t>
            </w:r>
            <w:r>
              <w:rPr>
                <w:iCs/>
                <w:color w:val="000000"/>
              </w:rPr>
              <w:t>(erratum</w:t>
            </w:r>
            <w:r>
              <w:rPr>
                <w:i/>
                <w:iCs/>
                <w:color w:val="000000"/>
              </w:rPr>
              <w:t xml:space="preserve"> </w:t>
            </w:r>
            <w:r>
              <w:rPr>
                <w:color w:val="000000"/>
              </w:rPr>
              <w:t>21 Apr 1989 p. 1160)</w:t>
            </w:r>
          </w:p>
        </w:tc>
        <w:tc>
          <w:tcPr>
            <w:tcW w:w="2553" w:type="dxa"/>
          </w:tcPr>
          <w:p>
            <w:pPr>
              <w:pStyle w:val="nTable"/>
              <w:spacing w:after="40"/>
              <w:rPr>
                <w:color w:val="000000"/>
              </w:rPr>
            </w:pPr>
            <w:r>
              <w:rPr>
                <w:color w:val="000000"/>
              </w:rPr>
              <w:t>13 Jan 1989 (see cl. 2)</w:t>
            </w:r>
          </w:p>
        </w:tc>
      </w:tr>
      <w:tr>
        <w:trPr>
          <w:cantSplit/>
        </w:trPr>
        <w:tc>
          <w:tcPr>
            <w:tcW w:w="4534" w:type="dxa"/>
            <w:gridSpan w:val="6"/>
          </w:tcPr>
          <w:p>
            <w:pPr>
              <w:pStyle w:val="nTable"/>
              <w:spacing w:after="40"/>
              <w:rPr>
                <w:color w:val="000000"/>
              </w:rPr>
            </w:pPr>
            <w:r>
              <w:rPr>
                <w:i/>
                <w:iCs/>
                <w:color w:val="000000"/>
              </w:rPr>
              <w:t>Poisons (Scheduled Substances) Amendment Order 1989</w:t>
            </w:r>
            <w:r>
              <w:rPr>
                <w:color w:val="000000"/>
              </w:rPr>
              <w:t xml:space="preserve"> published in </w:t>
            </w:r>
            <w:r>
              <w:rPr>
                <w:i/>
                <w:iCs/>
                <w:color w:val="000000"/>
              </w:rPr>
              <w:t>Gazette</w:t>
            </w:r>
            <w:r>
              <w:rPr>
                <w:color w:val="000000"/>
              </w:rPr>
              <w:t xml:space="preserve"> 14 Apr 1989 p. 1098</w:t>
            </w:r>
            <w:r>
              <w:rPr>
                <w:color w:val="000000"/>
              </w:rPr>
              <w:noBreakHyphen/>
              <w:t>103</w:t>
            </w:r>
          </w:p>
        </w:tc>
        <w:tc>
          <w:tcPr>
            <w:tcW w:w="2553" w:type="dxa"/>
          </w:tcPr>
          <w:p>
            <w:pPr>
              <w:pStyle w:val="nTable"/>
              <w:spacing w:after="40"/>
              <w:rPr>
                <w:color w:val="000000"/>
              </w:rPr>
            </w:pPr>
            <w:r>
              <w:rPr>
                <w:color w:val="000000"/>
              </w:rPr>
              <w:t>14 Apr 1989</w:t>
            </w:r>
          </w:p>
        </w:tc>
      </w:tr>
      <w:tr>
        <w:trPr>
          <w:cantSplit/>
        </w:trPr>
        <w:tc>
          <w:tcPr>
            <w:tcW w:w="4534" w:type="dxa"/>
            <w:gridSpan w:val="6"/>
          </w:tcPr>
          <w:p>
            <w:pPr>
              <w:pStyle w:val="nTable"/>
              <w:spacing w:after="40"/>
              <w:rPr>
                <w:color w:val="000000"/>
              </w:rPr>
            </w:pPr>
            <w:r>
              <w:rPr>
                <w:i/>
                <w:iCs/>
                <w:color w:val="000000"/>
              </w:rPr>
              <w:t>Poisons (Scheduled Substances) Amendment Order (No. 2) 1989</w:t>
            </w:r>
            <w:r>
              <w:rPr>
                <w:color w:val="000000"/>
              </w:rPr>
              <w:t xml:space="preserve"> published in </w:t>
            </w:r>
            <w:r>
              <w:rPr>
                <w:i/>
                <w:iCs/>
                <w:color w:val="000000"/>
              </w:rPr>
              <w:t>Gazette</w:t>
            </w:r>
            <w:r>
              <w:t xml:space="preserve"> 16 Jun 1989 p. 1740</w:t>
            </w:r>
            <w:r>
              <w:noBreakHyphen/>
              <w:t>1</w:t>
            </w:r>
          </w:p>
        </w:tc>
        <w:tc>
          <w:tcPr>
            <w:tcW w:w="2553" w:type="dxa"/>
          </w:tcPr>
          <w:p>
            <w:pPr>
              <w:pStyle w:val="nTable"/>
              <w:spacing w:after="40"/>
              <w:rPr>
                <w:color w:val="000000"/>
              </w:rPr>
            </w:pPr>
            <w:r>
              <w:rPr>
                <w:color w:val="000000"/>
              </w:rPr>
              <w:t>16 Jun 1989</w:t>
            </w:r>
          </w:p>
        </w:tc>
      </w:tr>
      <w:tr>
        <w:trPr>
          <w:cantSplit/>
        </w:trPr>
        <w:tc>
          <w:tcPr>
            <w:tcW w:w="4534" w:type="dxa"/>
            <w:gridSpan w:val="6"/>
          </w:tcPr>
          <w:p>
            <w:pPr>
              <w:pStyle w:val="nTable"/>
              <w:spacing w:after="40"/>
              <w:rPr>
                <w:color w:val="000000"/>
              </w:rPr>
            </w:pPr>
            <w:r>
              <w:rPr>
                <w:i/>
                <w:iCs/>
                <w:color w:val="000000"/>
              </w:rPr>
              <w:t>Poisons (Scheduled Substances) Amendment Order (No. 3) 1989</w:t>
            </w:r>
            <w:r>
              <w:rPr>
                <w:color w:val="000000"/>
              </w:rPr>
              <w:t xml:space="preserve"> published in </w:t>
            </w:r>
            <w:r>
              <w:rPr>
                <w:i/>
                <w:iCs/>
                <w:color w:val="000000"/>
              </w:rPr>
              <w:t>Gazette</w:t>
            </w:r>
            <w:r>
              <w:t xml:space="preserve"> 14 Jul 1989 p. 2154</w:t>
            </w:r>
          </w:p>
        </w:tc>
        <w:tc>
          <w:tcPr>
            <w:tcW w:w="2553" w:type="dxa"/>
          </w:tcPr>
          <w:p>
            <w:pPr>
              <w:pStyle w:val="nTable"/>
              <w:spacing w:after="40"/>
              <w:rPr>
                <w:color w:val="000000"/>
              </w:rPr>
            </w:pPr>
            <w:r>
              <w:rPr>
                <w:color w:val="000000"/>
              </w:rPr>
              <w:t>21 Jul 1989 (see cl. 2)</w:t>
            </w:r>
          </w:p>
        </w:tc>
      </w:tr>
      <w:tr>
        <w:trPr>
          <w:cantSplit/>
        </w:trPr>
        <w:tc>
          <w:tcPr>
            <w:tcW w:w="4534" w:type="dxa"/>
            <w:gridSpan w:val="6"/>
          </w:tcPr>
          <w:p>
            <w:pPr>
              <w:pStyle w:val="nTable"/>
              <w:spacing w:after="40"/>
              <w:rPr>
                <w:color w:val="000000"/>
              </w:rPr>
            </w:pPr>
            <w:r>
              <w:rPr>
                <w:i/>
                <w:iCs/>
                <w:color w:val="000000"/>
              </w:rPr>
              <w:t>Poisons (Scheduled Substances) Amendment Order 1990</w:t>
            </w:r>
            <w:r>
              <w:rPr>
                <w:color w:val="000000"/>
              </w:rPr>
              <w:t xml:space="preserve"> published in </w:t>
            </w:r>
            <w:r>
              <w:rPr>
                <w:i/>
                <w:iCs/>
                <w:color w:val="000000"/>
              </w:rPr>
              <w:t>Gazette</w:t>
            </w:r>
            <w:r>
              <w:rPr>
                <w:color w:val="000000"/>
              </w:rPr>
              <w:t xml:space="preserve"> 25 May 1990 p. 2397</w:t>
            </w:r>
          </w:p>
        </w:tc>
        <w:tc>
          <w:tcPr>
            <w:tcW w:w="2553" w:type="dxa"/>
          </w:tcPr>
          <w:p>
            <w:pPr>
              <w:pStyle w:val="nTable"/>
              <w:spacing w:after="40"/>
              <w:rPr>
                <w:color w:val="000000"/>
              </w:rPr>
            </w:pPr>
            <w:r>
              <w:rPr>
                <w:color w:val="000000"/>
              </w:rPr>
              <w:t>25 May 1990 (see cl. 2)</w:t>
            </w:r>
          </w:p>
        </w:tc>
      </w:tr>
      <w:tr>
        <w:trPr>
          <w:cantSplit/>
        </w:trPr>
        <w:tc>
          <w:tcPr>
            <w:tcW w:w="4534" w:type="dxa"/>
            <w:gridSpan w:val="6"/>
          </w:tcPr>
          <w:p>
            <w:pPr>
              <w:pStyle w:val="nTable"/>
              <w:spacing w:after="40"/>
              <w:rPr>
                <w:color w:val="000000"/>
              </w:rPr>
            </w:pPr>
            <w:r>
              <w:rPr>
                <w:i/>
                <w:iCs/>
                <w:color w:val="000000"/>
              </w:rPr>
              <w:t>Poisons (Scheduled Substances) Amendment Order (No. 2) 1990</w:t>
            </w:r>
            <w:r>
              <w:rPr>
                <w:color w:val="000000"/>
              </w:rPr>
              <w:t xml:space="preserve"> published in </w:t>
            </w:r>
            <w:r>
              <w:rPr>
                <w:i/>
                <w:iCs/>
                <w:color w:val="000000"/>
              </w:rPr>
              <w:t>Gazette</w:t>
            </w:r>
            <w:r>
              <w:rPr>
                <w:color w:val="000000"/>
              </w:rPr>
              <w:t xml:space="preserve"> 20 Jul 1990 p. 3469</w:t>
            </w:r>
            <w:r>
              <w:rPr>
                <w:color w:val="000000"/>
              </w:rPr>
              <w:noBreakHyphen/>
              <w:t>81</w:t>
            </w:r>
          </w:p>
        </w:tc>
        <w:tc>
          <w:tcPr>
            <w:tcW w:w="2553" w:type="dxa"/>
          </w:tcPr>
          <w:p>
            <w:pPr>
              <w:pStyle w:val="nTable"/>
              <w:spacing w:after="40"/>
              <w:rPr>
                <w:color w:val="000000"/>
              </w:rPr>
            </w:pPr>
            <w:r>
              <w:rPr>
                <w:color w:val="000000"/>
              </w:rPr>
              <w:t>20 Jul 1990 (see cl. 2)</w:t>
            </w:r>
          </w:p>
        </w:tc>
      </w:tr>
      <w:tr>
        <w:trPr>
          <w:cantSplit/>
        </w:trPr>
        <w:tc>
          <w:tcPr>
            <w:tcW w:w="4534" w:type="dxa"/>
            <w:gridSpan w:val="6"/>
          </w:tcPr>
          <w:p>
            <w:pPr>
              <w:pStyle w:val="nTable"/>
              <w:spacing w:after="40"/>
              <w:rPr>
                <w:color w:val="000000"/>
              </w:rPr>
            </w:pPr>
            <w:r>
              <w:rPr>
                <w:i/>
                <w:iCs/>
                <w:color w:val="000000"/>
              </w:rPr>
              <w:t>Poisons (Scheduled Substances) Amendment Order (No. 3) 1990</w:t>
            </w:r>
            <w:r>
              <w:rPr>
                <w:color w:val="000000"/>
              </w:rPr>
              <w:t xml:space="preserve"> published in </w:t>
            </w:r>
            <w:r>
              <w:rPr>
                <w:i/>
                <w:iCs/>
                <w:color w:val="000000"/>
              </w:rPr>
              <w:t>Gazette</w:t>
            </w:r>
            <w:r>
              <w:rPr>
                <w:color w:val="000000"/>
              </w:rPr>
              <w:t xml:space="preserve"> 14 Sep 1990 p. 4769</w:t>
            </w:r>
            <w:r>
              <w:rPr>
                <w:color w:val="000000"/>
              </w:rPr>
              <w:noBreakHyphen/>
              <w:t>71</w:t>
            </w:r>
          </w:p>
        </w:tc>
        <w:tc>
          <w:tcPr>
            <w:tcW w:w="2553" w:type="dxa"/>
          </w:tcPr>
          <w:p>
            <w:pPr>
              <w:pStyle w:val="nTable"/>
              <w:spacing w:after="40"/>
              <w:rPr>
                <w:color w:val="000000"/>
              </w:rPr>
            </w:pPr>
            <w:r>
              <w:rPr>
                <w:color w:val="000000"/>
              </w:rPr>
              <w:t>14 Sep 1990 (see cl. 2)</w:t>
            </w:r>
          </w:p>
        </w:tc>
      </w:tr>
      <w:tr>
        <w:trPr>
          <w:cantSplit/>
        </w:trPr>
        <w:tc>
          <w:tcPr>
            <w:tcW w:w="4534" w:type="dxa"/>
            <w:gridSpan w:val="6"/>
          </w:tcPr>
          <w:p>
            <w:pPr>
              <w:pStyle w:val="nTable"/>
              <w:spacing w:after="40"/>
              <w:rPr>
                <w:color w:val="000000"/>
              </w:rPr>
            </w:pPr>
            <w:r>
              <w:rPr>
                <w:i/>
                <w:iCs/>
                <w:color w:val="000000"/>
              </w:rPr>
              <w:t>Poisons (Scheduled Substances) Amendment Order (No. 4) 1990</w:t>
            </w:r>
            <w:r>
              <w:rPr>
                <w:color w:val="000000"/>
              </w:rPr>
              <w:t xml:space="preserve"> published in </w:t>
            </w:r>
            <w:r>
              <w:rPr>
                <w:i/>
                <w:iCs/>
                <w:color w:val="000000"/>
              </w:rPr>
              <w:t>Gazette</w:t>
            </w:r>
            <w:r>
              <w:rPr>
                <w:color w:val="000000"/>
              </w:rPr>
              <w:t xml:space="preserve"> 30 Nov 1990 p. 5903</w:t>
            </w:r>
            <w:r>
              <w:rPr>
                <w:color w:val="000000"/>
              </w:rPr>
              <w:noBreakHyphen/>
              <w:t>8</w:t>
            </w:r>
          </w:p>
        </w:tc>
        <w:tc>
          <w:tcPr>
            <w:tcW w:w="2553" w:type="dxa"/>
          </w:tcPr>
          <w:p>
            <w:pPr>
              <w:pStyle w:val="nTable"/>
              <w:spacing w:after="40"/>
              <w:rPr>
                <w:color w:val="000000"/>
              </w:rPr>
            </w:pPr>
            <w:r>
              <w:rPr>
                <w:color w:val="000000"/>
              </w:rPr>
              <w:t>30 Nov 1990</w:t>
            </w:r>
          </w:p>
        </w:tc>
      </w:tr>
      <w:tr>
        <w:trPr>
          <w:cantSplit/>
        </w:trPr>
        <w:tc>
          <w:tcPr>
            <w:tcW w:w="4534" w:type="dxa"/>
            <w:gridSpan w:val="6"/>
          </w:tcPr>
          <w:p>
            <w:pPr>
              <w:pStyle w:val="nTable"/>
              <w:spacing w:after="40"/>
              <w:rPr>
                <w:color w:val="000000"/>
              </w:rPr>
            </w:pPr>
            <w:r>
              <w:rPr>
                <w:i/>
                <w:iCs/>
                <w:color w:val="000000"/>
              </w:rPr>
              <w:t>Poisons (Scheduled Substances) Amendment Order 1991</w:t>
            </w:r>
            <w:r>
              <w:rPr>
                <w:color w:val="000000"/>
              </w:rPr>
              <w:t xml:space="preserve"> published in </w:t>
            </w:r>
            <w:r>
              <w:rPr>
                <w:i/>
                <w:iCs/>
                <w:color w:val="000000"/>
              </w:rPr>
              <w:t>Gazette</w:t>
            </w:r>
            <w:r>
              <w:rPr>
                <w:color w:val="000000"/>
              </w:rPr>
              <w:t xml:space="preserve"> 5 Apr 1991 p. 1405</w:t>
            </w:r>
            <w:r>
              <w:rPr>
                <w:color w:val="000000"/>
              </w:rPr>
              <w:noBreakHyphen/>
              <w:t>12</w:t>
            </w:r>
          </w:p>
        </w:tc>
        <w:tc>
          <w:tcPr>
            <w:tcW w:w="2553" w:type="dxa"/>
          </w:tcPr>
          <w:p>
            <w:pPr>
              <w:pStyle w:val="nTable"/>
              <w:spacing w:after="40"/>
              <w:rPr>
                <w:color w:val="000000"/>
              </w:rPr>
            </w:pPr>
            <w:r>
              <w:rPr>
                <w:color w:val="000000"/>
              </w:rPr>
              <w:t>5 Apr 1991</w:t>
            </w:r>
          </w:p>
        </w:tc>
      </w:tr>
      <w:tr>
        <w:trPr>
          <w:cantSplit/>
        </w:trPr>
        <w:tc>
          <w:tcPr>
            <w:tcW w:w="4534" w:type="dxa"/>
            <w:gridSpan w:val="6"/>
          </w:tcPr>
          <w:p>
            <w:pPr>
              <w:pStyle w:val="nTable"/>
              <w:spacing w:after="40"/>
              <w:rPr>
                <w:color w:val="000000"/>
              </w:rPr>
            </w:pPr>
            <w:r>
              <w:rPr>
                <w:i/>
                <w:iCs/>
                <w:color w:val="000000"/>
              </w:rPr>
              <w:t>Poisons (Scheduled Substances) Amendment Order (No. 2) 1991</w:t>
            </w:r>
            <w:r>
              <w:rPr>
                <w:color w:val="000000"/>
              </w:rPr>
              <w:t xml:space="preserve"> published in </w:t>
            </w:r>
            <w:r>
              <w:rPr>
                <w:i/>
                <w:iCs/>
                <w:color w:val="000000"/>
              </w:rPr>
              <w:t>Gazette</w:t>
            </w:r>
            <w:r>
              <w:rPr>
                <w:color w:val="000000"/>
              </w:rPr>
              <w:t xml:space="preserve"> 12 Jul 1991 p. 3438</w:t>
            </w:r>
            <w:r>
              <w:rPr>
                <w:color w:val="000000"/>
              </w:rPr>
              <w:noBreakHyphen/>
              <w:t>9</w:t>
            </w:r>
          </w:p>
        </w:tc>
        <w:tc>
          <w:tcPr>
            <w:tcW w:w="2553" w:type="dxa"/>
          </w:tcPr>
          <w:p>
            <w:pPr>
              <w:pStyle w:val="nTable"/>
              <w:spacing w:after="40"/>
              <w:rPr>
                <w:color w:val="000000"/>
              </w:rPr>
            </w:pPr>
            <w:r>
              <w:rPr>
                <w:color w:val="000000"/>
              </w:rPr>
              <w:t>12 Jul 1991</w:t>
            </w:r>
          </w:p>
        </w:tc>
      </w:tr>
      <w:tr>
        <w:trPr>
          <w:cantSplit/>
        </w:trPr>
        <w:tc>
          <w:tcPr>
            <w:tcW w:w="4534" w:type="dxa"/>
            <w:gridSpan w:val="6"/>
          </w:tcPr>
          <w:p>
            <w:pPr>
              <w:pStyle w:val="nTable"/>
              <w:spacing w:after="40"/>
              <w:rPr>
                <w:color w:val="000000"/>
              </w:rPr>
            </w:pPr>
            <w:r>
              <w:rPr>
                <w:i/>
                <w:iCs/>
                <w:color w:val="000000"/>
              </w:rPr>
              <w:t>Poisons (Scheduled Substances) Amendment Order (No. 3) 1991</w:t>
            </w:r>
            <w:r>
              <w:rPr>
                <w:color w:val="000000"/>
              </w:rPr>
              <w:t xml:space="preserve"> published in </w:t>
            </w:r>
            <w:r>
              <w:rPr>
                <w:i/>
                <w:iCs/>
                <w:color w:val="000000"/>
              </w:rPr>
              <w:t>Gazette</w:t>
            </w:r>
            <w:r>
              <w:rPr>
                <w:color w:val="000000"/>
              </w:rPr>
              <w:t xml:space="preserve"> 18 Oct 1991 p. 5333</w:t>
            </w:r>
            <w:r>
              <w:rPr>
                <w:color w:val="000000"/>
              </w:rPr>
              <w:noBreakHyphen/>
              <w:t>43</w:t>
            </w:r>
          </w:p>
        </w:tc>
        <w:tc>
          <w:tcPr>
            <w:tcW w:w="2553" w:type="dxa"/>
          </w:tcPr>
          <w:p>
            <w:pPr>
              <w:pStyle w:val="nTable"/>
              <w:spacing w:after="40"/>
              <w:rPr>
                <w:color w:val="000000"/>
              </w:rPr>
            </w:pPr>
            <w:r>
              <w:rPr>
                <w:color w:val="000000"/>
              </w:rPr>
              <w:t>18 Oct 1991 (see cl. 2)</w:t>
            </w:r>
          </w:p>
        </w:tc>
      </w:tr>
      <w:tr>
        <w:trPr>
          <w:cantSplit/>
        </w:trPr>
        <w:tc>
          <w:tcPr>
            <w:tcW w:w="4534" w:type="dxa"/>
            <w:gridSpan w:val="6"/>
          </w:tcPr>
          <w:p>
            <w:pPr>
              <w:pStyle w:val="nTable"/>
              <w:spacing w:after="40"/>
              <w:rPr>
                <w:color w:val="000000"/>
              </w:rPr>
            </w:pPr>
            <w:r>
              <w:rPr>
                <w:i/>
                <w:iCs/>
                <w:color w:val="000000"/>
              </w:rPr>
              <w:t>Poisons (Scheduled Substances) Amendment Order (No. 4) 1991</w:t>
            </w:r>
            <w:r>
              <w:rPr>
                <w:color w:val="000000"/>
              </w:rPr>
              <w:t xml:space="preserve"> published in </w:t>
            </w:r>
            <w:r>
              <w:rPr>
                <w:i/>
                <w:iCs/>
                <w:color w:val="000000"/>
              </w:rPr>
              <w:t>Gazette</w:t>
            </w:r>
            <w:r>
              <w:rPr>
                <w:color w:val="000000"/>
              </w:rPr>
              <w:t xml:space="preserve"> 18 Oct 1991 p. 5343</w:t>
            </w:r>
            <w:r>
              <w:rPr>
                <w:color w:val="000000"/>
              </w:rPr>
              <w:noBreakHyphen/>
              <w:t>4</w:t>
            </w:r>
          </w:p>
        </w:tc>
        <w:tc>
          <w:tcPr>
            <w:tcW w:w="2553" w:type="dxa"/>
          </w:tcPr>
          <w:p>
            <w:pPr>
              <w:pStyle w:val="nTable"/>
              <w:spacing w:after="40"/>
              <w:rPr>
                <w:color w:val="000000"/>
              </w:rPr>
            </w:pPr>
            <w:r>
              <w:rPr>
                <w:color w:val="000000"/>
              </w:rPr>
              <w:t>31 Dec 1991 (see cl. 2)</w:t>
            </w:r>
          </w:p>
        </w:tc>
      </w:tr>
      <w:tr>
        <w:trPr>
          <w:cantSplit/>
        </w:trPr>
        <w:tc>
          <w:tcPr>
            <w:tcW w:w="4534" w:type="dxa"/>
            <w:gridSpan w:val="6"/>
          </w:tcPr>
          <w:p>
            <w:pPr>
              <w:pStyle w:val="nTable"/>
              <w:spacing w:after="40"/>
              <w:rPr>
                <w:color w:val="000000"/>
              </w:rPr>
            </w:pPr>
            <w:r>
              <w:rPr>
                <w:i/>
                <w:iCs/>
                <w:color w:val="000000"/>
              </w:rPr>
              <w:t>Poisons (Scheduled Substances) Amendment Order (No. 5) 1991</w:t>
            </w:r>
            <w:r>
              <w:rPr>
                <w:color w:val="000000"/>
              </w:rPr>
              <w:t xml:space="preserve"> published in </w:t>
            </w:r>
            <w:r>
              <w:rPr>
                <w:i/>
                <w:iCs/>
                <w:color w:val="000000"/>
              </w:rPr>
              <w:t>Gazette</w:t>
            </w:r>
            <w:r>
              <w:rPr>
                <w:color w:val="000000"/>
              </w:rPr>
              <w:t xml:space="preserve"> 18 Oct 1991 p. 5349</w:t>
            </w:r>
          </w:p>
        </w:tc>
        <w:tc>
          <w:tcPr>
            <w:tcW w:w="2553" w:type="dxa"/>
          </w:tcPr>
          <w:p>
            <w:pPr>
              <w:pStyle w:val="nTable"/>
              <w:spacing w:after="40"/>
              <w:rPr>
                <w:color w:val="000000"/>
              </w:rPr>
            </w:pPr>
            <w:r>
              <w:rPr>
                <w:color w:val="000000"/>
              </w:rPr>
              <w:t>18 Oct 1991</w:t>
            </w:r>
          </w:p>
        </w:tc>
      </w:tr>
      <w:tr>
        <w:trPr>
          <w:cantSplit/>
        </w:trPr>
        <w:tc>
          <w:tcPr>
            <w:tcW w:w="4534" w:type="dxa"/>
            <w:gridSpan w:val="6"/>
          </w:tcPr>
          <w:p>
            <w:pPr>
              <w:pStyle w:val="nTable"/>
              <w:spacing w:after="40"/>
              <w:rPr>
                <w:color w:val="000000"/>
              </w:rPr>
            </w:pPr>
            <w:r>
              <w:rPr>
                <w:i/>
                <w:iCs/>
                <w:color w:val="000000"/>
              </w:rPr>
              <w:t>Poisons (Scheduled Substances) Amendment Order (No. 6) 1991</w:t>
            </w:r>
            <w:r>
              <w:rPr>
                <w:color w:val="000000"/>
              </w:rPr>
              <w:t xml:space="preserve"> published in </w:t>
            </w:r>
            <w:r>
              <w:rPr>
                <w:i/>
                <w:iCs/>
                <w:color w:val="000000"/>
              </w:rPr>
              <w:t>Gazette</w:t>
            </w:r>
            <w:r>
              <w:rPr>
                <w:color w:val="000000"/>
              </w:rPr>
              <w:t xml:space="preserve"> 29 Nov 1991 p. 5990</w:t>
            </w:r>
            <w:r>
              <w:rPr>
                <w:color w:val="000000"/>
              </w:rPr>
              <w:noBreakHyphen/>
              <w:t>1</w:t>
            </w:r>
          </w:p>
        </w:tc>
        <w:tc>
          <w:tcPr>
            <w:tcW w:w="2553" w:type="dxa"/>
          </w:tcPr>
          <w:p>
            <w:pPr>
              <w:pStyle w:val="nTable"/>
              <w:spacing w:after="40"/>
              <w:rPr>
                <w:color w:val="000000"/>
              </w:rPr>
            </w:pPr>
            <w:r>
              <w:rPr>
                <w:color w:val="000000"/>
              </w:rPr>
              <w:t>29 Nov 1991</w:t>
            </w:r>
          </w:p>
        </w:tc>
      </w:tr>
      <w:tr>
        <w:trPr>
          <w:cantSplit/>
        </w:trPr>
        <w:tc>
          <w:tcPr>
            <w:tcW w:w="4534" w:type="dxa"/>
            <w:gridSpan w:val="6"/>
          </w:tcPr>
          <w:p>
            <w:pPr>
              <w:pStyle w:val="nTable"/>
              <w:spacing w:after="40"/>
              <w:rPr>
                <w:color w:val="000000"/>
              </w:rPr>
            </w:pPr>
            <w:r>
              <w:rPr>
                <w:i/>
                <w:iCs/>
                <w:color w:val="000000"/>
              </w:rPr>
              <w:t>Poisons (Scheduled Substances) Amendment Order 1992</w:t>
            </w:r>
            <w:r>
              <w:rPr>
                <w:color w:val="000000"/>
              </w:rPr>
              <w:t xml:space="preserve"> published in </w:t>
            </w:r>
            <w:r>
              <w:rPr>
                <w:i/>
                <w:iCs/>
                <w:color w:val="000000"/>
              </w:rPr>
              <w:t>Gazette</w:t>
            </w:r>
            <w:r>
              <w:rPr>
                <w:color w:val="000000"/>
              </w:rPr>
              <w:t xml:space="preserve"> 16 Apr 1992 p. 1630</w:t>
            </w:r>
            <w:r>
              <w:rPr>
                <w:color w:val="000000"/>
              </w:rPr>
              <w:noBreakHyphen/>
              <w:t>4</w:t>
            </w:r>
          </w:p>
        </w:tc>
        <w:tc>
          <w:tcPr>
            <w:tcW w:w="2553" w:type="dxa"/>
          </w:tcPr>
          <w:p>
            <w:pPr>
              <w:pStyle w:val="nTable"/>
              <w:spacing w:after="40"/>
              <w:rPr>
                <w:color w:val="000000"/>
              </w:rPr>
            </w:pPr>
            <w:r>
              <w:rPr>
                <w:color w:val="000000"/>
              </w:rPr>
              <w:t>16 Apr 1992</w:t>
            </w:r>
          </w:p>
        </w:tc>
      </w:tr>
      <w:tr>
        <w:trPr>
          <w:cantSplit/>
        </w:trPr>
        <w:tc>
          <w:tcPr>
            <w:tcW w:w="4534" w:type="dxa"/>
            <w:gridSpan w:val="6"/>
          </w:tcPr>
          <w:p>
            <w:pPr>
              <w:pStyle w:val="nTable"/>
              <w:spacing w:after="40"/>
              <w:rPr>
                <w:color w:val="000000"/>
              </w:rPr>
            </w:pPr>
            <w:r>
              <w:rPr>
                <w:i/>
                <w:iCs/>
                <w:color w:val="000000"/>
              </w:rPr>
              <w:t>Poisons (Scheduled Substances) Amendment Order (No. 2) 1992</w:t>
            </w:r>
            <w:r>
              <w:rPr>
                <w:color w:val="000000"/>
              </w:rPr>
              <w:t xml:space="preserve"> published in </w:t>
            </w:r>
            <w:r>
              <w:rPr>
                <w:i/>
                <w:iCs/>
                <w:color w:val="000000"/>
              </w:rPr>
              <w:t>Gazette</w:t>
            </w:r>
            <w:r>
              <w:rPr>
                <w:color w:val="000000"/>
              </w:rPr>
              <w:t xml:space="preserve"> 7 Aug 1992 p. 3849</w:t>
            </w:r>
            <w:r>
              <w:rPr>
                <w:color w:val="000000"/>
              </w:rPr>
              <w:noBreakHyphen/>
              <w:t>56</w:t>
            </w:r>
          </w:p>
        </w:tc>
        <w:tc>
          <w:tcPr>
            <w:tcW w:w="2553" w:type="dxa"/>
          </w:tcPr>
          <w:p>
            <w:pPr>
              <w:pStyle w:val="nTable"/>
              <w:spacing w:after="40"/>
              <w:rPr>
                <w:color w:val="000000"/>
              </w:rPr>
            </w:pPr>
            <w:r>
              <w:rPr>
                <w:color w:val="000000"/>
              </w:rPr>
              <w:t>7 Aug 1992</w:t>
            </w:r>
          </w:p>
        </w:tc>
      </w:tr>
      <w:tr>
        <w:trPr>
          <w:cantSplit/>
        </w:trPr>
        <w:tc>
          <w:tcPr>
            <w:tcW w:w="4534" w:type="dxa"/>
            <w:gridSpan w:val="6"/>
          </w:tcPr>
          <w:p>
            <w:pPr>
              <w:pStyle w:val="nTable"/>
              <w:spacing w:after="40"/>
              <w:rPr>
                <w:color w:val="000000"/>
              </w:rPr>
            </w:pPr>
            <w:r>
              <w:rPr>
                <w:i/>
                <w:iCs/>
                <w:color w:val="000000"/>
              </w:rPr>
              <w:t>Poisons (Scheduled Substances) Amendment Order (No. 3) 1992</w:t>
            </w:r>
            <w:r>
              <w:rPr>
                <w:color w:val="000000"/>
              </w:rPr>
              <w:t xml:space="preserve"> published in </w:t>
            </w:r>
            <w:r>
              <w:rPr>
                <w:i/>
                <w:iCs/>
                <w:color w:val="000000"/>
              </w:rPr>
              <w:t>Gazette</w:t>
            </w:r>
            <w:r>
              <w:rPr>
                <w:color w:val="000000"/>
              </w:rPr>
              <w:t xml:space="preserve"> 7 Aug 1992 p. 3866</w:t>
            </w:r>
            <w:r>
              <w:rPr>
                <w:color w:val="000000"/>
              </w:rPr>
              <w:noBreakHyphen/>
              <w:t>7</w:t>
            </w:r>
          </w:p>
        </w:tc>
        <w:tc>
          <w:tcPr>
            <w:tcW w:w="2553" w:type="dxa"/>
          </w:tcPr>
          <w:p>
            <w:pPr>
              <w:pStyle w:val="nTable"/>
              <w:spacing w:after="40"/>
              <w:rPr>
                <w:color w:val="000000"/>
              </w:rPr>
            </w:pPr>
            <w:r>
              <w:rPr>
                <w:color w:val="000000"/>
              </w:rPr>
              <w:t>7 Aug 1992 (see cl. 2)</w:t>
            </w:r>
          </w:p>
        </w:tc>
      </w:tr>
      <w:tr>
        <w:trPr>
          <w:cantSplit/>
        </w:trPr>
        <w:tc>
          <w:tcPr>
            <w:tcW w:w="4534" w:type="dxa"/>
            <w:gridSpan w:val="6"/>
          </w:tcPr>
          <w:p>
            <w:pPr>
              <w:pStyle w:val="nTable"/>
              <w:spacing w:after="40"/>
              <w:rPr>
                <w:color w:val="000000"/>
              </w:rPr>
            </w:pPr>
            <w:r>
              <w:rPr>
                <w:i/>
                <w:iCs/>
                <w:color w:val="000000"/>
              </w:rPr>
              <w:t>Poisons (Scheduled Substances) Amendment Order 1993</w:t>
            </w:r>
            <w:r>
              <w:rPr>
                <w:color w:val="000000"/>
              </w:rPr>
              <w:t xml:space="preserve"> published in </w:t>
            </w:r>
            <w:r>
              <w:rPr>
                <w:i/>
                <w:iCs/>
                <w:color w:val="000000"/>
              </w:rPr>
              <w:t>Gazette</w:t>
            </w:r>
            <w:r>
              <w:rPr>
                <w:color w:val="000000"/>
              </w:rPr>
              <w:t xml:space="preserve"> 28 May 1993 p. 2597</w:t>
            </w:r>
            <w:r>
              <w:rPr>
                <w:color w:val="000000"/>
              </w:rPr>
              <w:noBreakHyphen/>
              <w:t>605</w:t>
            </w:r>
          </w:p>
        </w:tc>
        <w:tc>
          <w:tcPr>
            <w:tcW w:w="2553" w:type="dxa"/>
          </w:tcPr>
          <w:p>
            <w:pPr>
              <w:pStyle w:val="nTable"/>
              <w:spacing w:after="40"/>
              <w:rPr>
                <w:color w:val="000000"/>
              </w:rPr>
            </w:pPr>
            <w:r>
              <w:rPr>
                <w:color w:val="000000"/>
              </w:rPr>
              <w:t>28 May 1993</w:t>
            </w:r>
          </w:p>
        </w:tc>
      </w:tr>
      <w:tr>
        <w:trPr>
          <w:cantSplit/>
        </w:trPr>
        <w:tc>
          <w:tcPr>
            <w:tcW w:w="4534" w:type="dxa"/>
            <w:gridSpan w:val="6"/>
          </w:tcPr>
          <w:p>
            <w:pPr>
              <w:pStyle w:val="nTable"/>
              <w:spacing w:after="40"/>
              <w:rPr>
                <w:color w:val="000000"/>
              </w:rPr>
            </w:pPr>
            <w:r>
              <w:rPr>
                <w:i/>
                <w:iCs/>
                <w:color w:val="000000"/>
              </w:rPr>
              <w:t>Poisons (Scheduled Substances) Amendment Order (No. 2) 1993</w:t>
            </w:r>
            <w:r>
              <w:rPr>
                <w:color w:val="000000"/>
              </w:rPr>
              <w:t xml:space="preserve"> published in </w:t>
            </w:r>
            <w:r>
              <w:rPr>
                <w:i/>
                <w:iCs/>
                <w:color w:val="000000"/>
              </w:rPr>
              <w:t>Gazette</w:t>
            </w:r>
            <w:r>
              <w:rPr>
                <w:color w:val="000000"/>
              </w:rPr>
              <w:t xml:space="preserve"> 25 Jun 1993 p. 3086</w:t>
            </w:r>
            <w:r>
              <w:rPr>
                <w:color w:val="000000"/>
              </w:rPr>
              <w:noBreakHyphen/>
              <w:t>90</w:t>
            </w:r>
          </w:p>
        </w:tc>
        <w:tc>
          <w:tcPr>
            <w:tcW w:w="2553" w:type="dxa"/>
          </w:tcPr>
          <w:p>
            <w:pPr>
              <w:pStyle w:val="nTable"/>
              <w:spacing w:after="40"/>
              <w:rPr>
                <w:color w:val="000000"/>
              </w:rPr>
            </w:pPr>
            <w:r>
              <w:rPr>
                <w:color w:val="000000"/>
              </w:rPr>
              <w:t>25 Jun 1993</w:t>
            </w:r>
          </w:p>
        </w:tc>
      </w:tr>
      <w:tr>
        <w:trPr>
          <w:cantSplit/>
        </w:trPr>
        <w:tc>
          <w:tcPr>
            <w:tcW w:w="4534" w:type="dxa"/>
            <w:gridSpan w:val="6"/>
          </w:tcPr>
          <w:p>
            <w:pPr>
              <w:pStyle w:val="nTable"/>
              <w:spacing w:after="40"/>
              <w:rPr>
                <w:color w:val="000000"/>
              </w:rPr>
            </w:pPr>
            <w:r>
              <w:rPr>
                <w:i/>
                <w:iCs/>
                <w:color w:val="000000"/>
              </w:rPr>
              <w:t>Poisons (Scheduled Substances) Amendment Order (No. 3) 1993</w:t>
            </w:r>
            <w:r>
              <w:rPr>
                <w:color w:val="000000"/>
              </w:rPr>
              <w:t xml:space="preserve"> published in </w:t>
            </w:r>
            <w:r>
              <w:rPr>
                <w:i/>
                <w:iCs/>
                <w:color w:val="000000"/>
              </w:rPr>
              <w:t>Gazette</w:t>
            </w:r>
            <w:r>
              <w:rPr>
                <w:color w:val="000000"/>
              </w:rPr>
              <w:t xml:space="preserve"> 17 Sep 1993 p. 5065</w:t>
            </w:r>
            <w:r>
              <w:rPr>
                <w:color w:val="000000"/>
              </w:rPr>
              <w:noBreakHyphen/>
              <w:t>8</w:t>
            </w:r>
          </w:p>
        </w:tc>
        <w:tc>
          <w:tcPr>
            <w:tcW w:w="2553" w:type="dxa"/>
          </w:tcPr>
          <w:p>
            <w:pPr>
              <w:pStyle w:val="nTable"/>
              <w:spacing w:after="40"/>
              <w:rPr>
                <w:color w:val="000000"/>
              </w:rPr>
            </w:pPr>
            <w:r>
              <w:rPr>
                <w:color w:val="000000"/>
              </w:rPr>
              <w:t>17 Sep 1993</w:t>
            </w:r>
          </w:p>
        </w:tc>
      </w:tr>
      <w:tr>
        <w:trPr>
          <w:cantSplit/>
        </w:trPr>
        <w:tc>
          <w:tcPr>
            <w:tcW w:w="4534" w:type="dxa"/>
            <w:gridSpan w:val="6"/>
          </w:tcPr>
          <w:p>
            <w:pPr>
              <w:pStyle w:val="nTable"/>
              <w:spacing w:after="40"/>
              <w:rPr>
                <w:color w:val="000000"/>
              </w:rPr>
            </w:pPr>
            <w:r>
              <w:rPr>
                <w:i/>
                <w:iCs/>
                <w:color w:val="000000"/>
              </w:rPr>
              <w:t>Poisons (Scheduled Substances) Amendment Order (No. 4) 1993</w:t>
            </w:r>
            <w:r>
              <w:rPr>
                <w:color w:val="000000"/>
              </w:rPr>
              <w:t xml:space="preserve"> published in </w:t>
            </w:r>
            <w:r>
              <w:rPr>
                <w:i/>
                <w:iCs/>
                <w:color w:val="000000"/>
              </w:rPr>
              <w:t>Gazette</w:t>
            </w:r>
            <w:r>
              <w:rPr>
                <w:color w:val="000000"/>
              </w:rPr>
              <w:t xml:space="preserve"> 17 Sep 1993 p. 5068</w:t>
            </w:r>
            <w:r>
              <w:rPr>
                <w:color w:val="000000"/>
              </w:rPr>
              <w:noBreakHyphen/>
              <w:t>9</w:t>
            </w:r>
          </w:p>
        </w:tc>
        <w:tc>
          <w:tcPr>
            <w:tcW w:w="2553" w:type="dxa"/>
          </w:tcPr>
          <w:p>
            <w:pPr>
              <w:pStyle w:val="nTable"/>
              <w:spacing w:after="40"/>
              <w:rPr>
                <w:color w:val="000000"/>
              </w:rPr>
            </w:pPr>
            <w:r>
              <w:rPr>
                <w:color w:val="000000"/>
              </w:rPr>
              <w:t>14 Dec 1993 (see cl. 2)</w:t>
            </w:r>
          </w:p>
        </w:tc>
      </w:tr>
      <w:tr>
        <w:trPr>
          <w:cantSplit/>
        </w:trPr>
        <w:tc>
          <w:tcPr>
            <w:tcW w:w="4534" w:type="dxa"/>
            <w:gridSpan w:val="6"/>
          </w:tcPr>
          <w:p>
            <w:pPr>
              <w:pStyle w:val="nTable"/>
              <w:spacing w:after="40"/>
              <w:rPr>
                <w:color w:val="000000"/>
              </w:rPr>
            </w:pPr>
            <w:r>
              <w:rPr>
                <w:i/>
                <w:iCs/>
                <w:color w:val="000000"/>
              </w:rPr>
              <w:t>Poisons (Scheduled Substances) Amendment Order (No. 5) 1993</w:t>
            </w:r>
            <w:r>
              <w:rPr>
                <w:color w:val="000000"/>
              </w:rPr>
              <w:t xml:space="preserve"> published in </w:t>
            </w:r>
            <w:r>
              <w:rPr>
                <w:i/>
                <w:iCs/>
                <w:color w:val="000000"/>
              </w:rPr>
              <w:t>Gazette</w:t>
            </w:r>
            <w:r>
              <w:rPr>
                <w:color w:val="000000"/>
              </w:rPr>
              <w:t xml:space="preserve"> 12 Nov 1993 p. 6146</w:t>
            </w:r>
          </w:p>
        </w:tc>
        <w:tc>
          <w:tcPr>
            <w:tcW w:w="2553" w:type="dxa"/>
          </w:tcPr>
          <w:p>
            <w:pPr>
              <w:pStyle w:val="nTable"/>
              <w:spacing w:after="40"/>
              <w:rPr>
                <w:color w:val="000000"/>
              </w:rPr>
            </w:pPr>
            <w:r>
              <w:rPr>
                <w:color w:val="000000"/>
              </w:rPr>
              <w:t>12 Nov 1993</w:t>
            </w:r>
          </w:p>
        </w:tc>
      </w:tr>
      <w:tr>
        <w:trPr>
          <w:cantSplit/>
        </w:trPr>
        <w:tc>
          <w:tcPr>
            <w:tcW w:w="4534" w:type="dxa"/>
            <w:gridSpan w:val="6"/>
          </w:tcPr>
          <w:p>
            <w:pPr>
              <w:pStyle w:val="nTable"/>
              <w:spacing w:after="40"/>
              <w:rPr>
                <w:color w:val="000000"/>
              </w:rPr>
            </w:pPr>
            <w:r>
              <w:rPr>
                <w:i/>
                <w:iCs/>
                <w:color w:val="000000"/>
              </w:rPr>
              <w:t>Poisons (Scheduled Substances) Amendment Order 1994</w:t>
            </w:r>
            <w:r>
              <w:rPr>
                <w:color w:val="000000"/>
              </w:rPr>
              <w:t xml:space="preserve"> published in </w:t>
            </w:r>
            <w:r>
              <w:rPr>
                <w:i/>
                <w:iCs/>
                <w:color w:val="000000"/>
              </w:rPr>
              <w:t>Gazette</w:t>
            </w:r>
            <w:r>
              <w:rPr>
                <w:color w:val="000000"/>
              </w:rPr>
              <w:t xml:space="preserve"> 4 Mar 1994 p. 841</w:t>
            </w:r>
            <w:r>
              <w:rPr>
                <w:color w:val="000000"/>
              </w:rPr>
              <w:noBreakHyphen/>
              <w:t>7</w:t>
            </w:r>
          </w:p>
        </w:tc>
        <w:tc>
          <w:tcPr>
            <w:tcW w:w="2553" w:type="dxa"/>
          </w:tcPr>
          <w:p>
            <w:pPr>
              <w:pStyle w:val="nTable"/>
              <w:spacing w:after="40"/>
              <w:rPr>
                <w:color w:val="000000"/>
              </w:rPr>
            </w:pPr>
            <w:r>
              <w:rPr>
                <w:color w:val="000000"/>
              </w:rPr>
              <w:t>4 Mar 1994 (see cl. 2)</w:t>
            </w:r>
          </w:p>
        </w:tc>
      </w:tr>
      <w:tr>
        <w:trPr>
          <w:cantSplit/>
        </w:trPr>
        <w:tc>
          <w:tcPr>
            <w:tcW w:w="2266" w:type="dxa"/>
          </w:tcPr>
          <w:p>
            <w:pPr>
              <w:pStyle w:val="nTable"/>
              <w:spacing w:after="40"/>
            </w:pPr>
            <w:r>
              <w:rPr>
                <w:i/>
              </w:rPr>
              <w:t>Poisons Amendment Act 1994</w:t>
            </w:r>
          </w:p>
        </w:tc>
        <w:tc>
          <w:tcPr>
            <w:tcW w:w="1134" w:type="dxa"/>
            <w:gridSpan w:val="2"/>
          </w:tcPr>
          <w:p>
            <w:pPr>
              <w:pStyle w:val="nTable"/>
              <w:spacing w:after="40"/>
            </w:pPr>
            <w:r>
              <w:t>12 of 1994</w:t>
            </w:r>
          </w:p>
        </w:tc>
        <w:tc>
          <w:tcPr>
            <w:tcW w:w="1134" w:type="dxa"/>
            <w:gridSpan w:val="3"/>
          </w:tcPr>
          <w:p>
            <w:pPr>
              <w:pStyle w:val="nTable"/>
              <w:spacing w:after="40"/>
            </w:pPr>
            <w:r>
              <w:t>15 Apr 1994</w:t>
            </w:r>
          </w:p>
        </w:tc>
        <w:tc>
          <w:tcPr>
            <w:tcW w:w="2553" w:type="dxa"/>
          </w:tcPr>
          <w:p>
            <w:pPr>
              <w:pStyle w:val="nTable"/>
              <w:spacing w:after="40"/>
            </w:pPr>
            <w:r>
              <w:t>s. 1 and 2: 15 Apr 1994;</w:t>
            </w:r>
            <w:r>
              <w:br/>
              <w:t xml:space="preserve">Act other than s. 1 and 2: 27 May 1994 (see s. 2 and </w:t>
            </w:r>
            <w:r>
              <w:rPr>
                <w:i/>
              </w:rPr>
              <w:t>Gazette</w:t>
            </w:r>
            <w:r>
              <w:t xml:space="preserve"> 27 May 1994 p. 2205)</w:t>
            </w:r>
          </w:p>
        </w:tc>
      </w:tr>
      <w:tr>
        <w:trPr>
          <w:cantSplit/>
        </w:trPr>
        <w:tc>
          <w:tcPr>
            <w:tcW w:w="2266" w:type="dxa"/>
          </w:tcPr>
          <w:p>
            <w:pPr>
              <w:pStyle w:val="nTable"/>
              <w:spacing w:after="40"/>
            </w:pPr>
            <w:r>
              <w:rPr>
                <w:i/>
              </w:rPr>
              <w:t>Acts Amendment (Public Sector Management) Act 1994</w:t>
            </w:r>
            <w:r>
              <w:t xml:space="preserve"> s. 3(2)</w:t>
            </w:r>
          </w:p>
        </w:tc>
        <w:tc>
          <w:tcPr>
            <w:tcW w:w="1134" w:type="dxa"/>
            <w:gridSpan w:val="2"/>
          </w:tcPr>
          <w:p>
            <w:pPr>
              <w:pStyle w:val="nTable"/>
              <w:spacing w:after="40"/>
            </w:pPr>
            <w:r>
              <w:t>32 of 1994</w:t>
            </w:r>
          </w:p>
        </w:tc>
        <w:tc>
          <w:tcPr>
            <w:tcW w:w="1134" w:type="dxa"/>
            <w:gridSpan w:val="3"/>
          </w:tcPr>
          <w:p>
            <w:pPr>
              <w:pStyle w:val="nTable"/>
              <w:spacing w:after="40"/>
            </w:pPr>
            <w:r>
              <w:t>29 Jun 1994</w:t>
            </w:r>
          </w:p>
        </w:tc>
        <w:tc>
          <w:tcPr>
            <w:tcW w:w="2553" w:type="dxa"/>
          </w:tcPr>
          <w:p>
            <w:pPr>
              <w:pStyle w:val="nTable"/>
              <w:spacing w:after="40"/>
            </w:pPr>
            <w:r>
              <w:t xml:space="preserve">1 Oct 1994 (see s. 2 and </w:t>
            </w:r>
            <w:r>
              <w:rPr>
                <w:i/>
              </w:rPr>
              <w:t>Gazette</w:t>
            </w:r>
            <w:r>
              <w:t xml:space="preserve"> 30 Sep 1994 p. 4948)</w:t>
            </w:r>
          </w:p>
        </w:tc>
      </w:tr>
      <w:tr>
        <w:trPr>
          <w:cantSplit/>
        </w:trPr>
        <w:tc>
          <w:tcPr>
            <w:tcW w:w="4534" w:type="dxa"/>
            <w:gridSpan w:val="6"/>
          </w:tcPr>
          <w:p>
            <w:pPr>
              <w:pStyle w:val="nTable"/>
              <w:spacing w:after="40"/>
              <w:rPr>
                <w:color w:val="000000"/>
              </w:rPr>
            </w:pPr>
            <w:r>
              <w:rPr>
                <w:i/>
                <w:iCs/>
                <w:color w:val="000000"/>
              </w:rPr>
              <w:t>Poisons (Scheduled Substances) Amendment Order (No. 2) 1994</w:t>
            </w:r>
            <w:r>
              <w:rPr>
                <w:color w:val="000000"/>
              </w:rPr>
              <w:t xml:space="preserve"> published in </w:t>
            </w:r>
            <w:r>
              <w:rPr>
                <w:i/>
                <w:iCs/>
                <w:color w:val="000000"/>
              </w:rPr>
              <w:t>Gazette</w:t>
            </w:r>
            <w:r>
              <w:rPr>
                <w:color w:val="000000"/>
              </w:rPr>
              <w:t xml:space="preserve"> 2 Sep 1994 p. 4529</w:t>
            </w:r>
            <w:r>
              <w:rPr>
                <w:color w:val="000000"/>
              </w:rPr>
              <w:noBreakHyphen/>
              <w:t>32</w:t>
            </w:r>
          </w:p>
        </w:tc>
        <w:tc>
          <w:tcPr>
            <w:tcW w:w="2553" w:type="dxa"/>
          </w:tcPr>
          <w:p>
            <w:pPr>
              <w:pStyle w:val="nTable"/>
              <w:spacing w:after="40"/>
              <w:rPr>
                <w:color w:val="000000"/>
              </w:rPr>
            </w:pPr>
            <w:r>
              <w:rPr>
                <w:color w:val="000000"/>
              </w:rPr>
              <w:t>2 Sep 1994 (see cl. 2)</w:t>
            </w:r>
          </w:p>
        </w:tc>
      </w:tr>
      <w:tr>
        <w:trPr>
          <w:cantSplit/>
        </w:trPr>
        <w:tc>
          <w:tcPr>
            <w:tcW w:w="4534" w:type="dxa"/>
            <w:gridSpan w:val="6"/>
          </w:tcPr>
          <w:p>
            <w:pPr>
              <w:pStyle w:val="nTable"/>
              <w:spacing w:after="40"/>
              <w:rPr>
                <w:color w:val="000000"/>
              </w:rPr>
            </w:pPr>
            <w:r>
              <w:rPr>
                <w:i/>
                <w:iCs/>
                <w:color w:val="000000"/>
              </w:rPr>
              <w:t>Poisons (Scheduled Substances) Amendment Order (No. 3) 1994</w:t>
            </w:r>
            <w:r>
              <w:rPr>
                <w:color w:val="000000"/>
              </w:rPr>
              <w:t xml:space="preserve"> published in </w:t>
            </w:r>
            <w:r>
              <w:rPr>
                <w:i/>
                <w:iCs/>
                <w:color w:val="000000"/>
              </w:rPr>
              <w:t>Gazette</w:t>
            </w:r>
            <w:r>
              <w:rPr>
                <w:color w:val="000000"/>
              </w:rPr>
              <w:t xml:space="preserve"> 23 Dec 1994 p. 7076</w:t>
            </w:r>
            <w:r>
              <w:rPr>
                <w:color w:val="000000"/>
              </w:rPr>
              <w:noBreakHyphen/>
              <w:t>81</w:t>
            </w:r>
          </w:p>
        </w:tc>
        <w:tc>
          <w:tcPr>
            <w:tcW w:w="2553" w:type="dxa"/>
          </w:tcPr>
          <w:p>
            <w:pPr>
              <w:pStyle w:val="nTable"/>
              <w:spacing w:after="40"/>
              <w:rPr>
                <w:color w:val="000000"/>
              </w:rPr>
            </w:pPr>
            <w:r>
              <w:rPr>
                <w:color w:val="000000"/>
              </w:rPr>
              <w:t>23 Dec 1994 (see cl. 2)</w:t>
            </w:r>
          </w:p>
        </w:tc>
      </w:tr>
      <w:tr>
        <w:trPr>
          <w:cantSplit/>
        </w:trPr>
        <w:tc>
          <w:tcPr>
            <w:tcW w:w="4534" w:type="dxa"/>
            <w:gridSpan w:val="6"/>
          </w:tcPr>
          <w:p>
            <w:pPr>
              <w:pStyle w:val="nTable"/>
              <w:spacing w:after="40"/>
              <w:rPr>
                <w:color w:val="000000"/>
              </w:rPr>
            </w:pPr>
            <w:r>
              <w:rPr>
                <w:i/>
                <w:iCs/>
                <w:color w:val="000000"/>
              </w:rPr>
              <w:t>Poisons (Scheduled Substances) Amendment Order 1995</w:t>
            </w:r>
            <w:r>
              <w:rPr>
                <w:color w:val="000000"/>
              </w:rPr>
              <w:t xml:space="preserve"> published in </w:t>
            </w:r>
            <w:r>
              <w:rPr>
                <w:i/>
                <w:iCs/>
                <w:color w:val="000000"/>
              </w:rPr>
              <w:t>Gazette</w:t>
            </w:r>
            <w:r>
              <w:rPr>
                <w:color w:val="000000"/>
              </w:rPr>
              <w:t xml:space="preserve"> 28 Apr 1995 p. 1467</w:t>
            </w:r>
            <w:r>
              <w:rPr>
                <w:color w:val="000000"/>
              </w:rPr>
              <w:noBreakHyphen/>
              <w:t>78</w:t>
            </w:r>
          </w:p>
        </w:tc>
        <w:tc>
          <w:tcPr>
            <w:tcW w:w="2553" w:type="dxa"/>
          </w:tcPr>
          <w:p>
            <w:pPr>
              <w:pStyle w:val="nTable"/>
              <w:spacing w:after="40"/>
              <w:rPr>
                <w:color w:val="000000"/>
              </w:rPr>
            </w:pPr>
            <w:r>
              <w:rPr>
                <w:color w:val="000000"/>
              </w:rPr>
              <w:t>28 Apr 1995 (see cl. 2)</w:t>
            </w:r>
          </w:p>
        </w:tc>
      </w:tr>
      <w:tr>
        <w:trPr>
          <w:cantSplit/>
        </w:trPr>
        <w:tc>
          <w:tcPr>
            <w:tcW w:w="4534" w:type="dxa"/>
            <w:gridSpan w:val="6"/>
          </w:tcPr>
          <w:p>
            <w:pPr>
              <w:pStyle w:val="nTable"/>
              <w:spacing w:after="40"/>
              <w:rPr>
                <w:color w:val="000000"/>
              </w:rPr>
            </w:pPr>
            <w:r>
              <w:rPr>
                <w:i/>
                <w:iCs/>
                <w:color w:val="000000"/>
              </w:rPr>
              <w:t>Poisons (Scheduled Substances) Amendment Order (No. 2) 1995</w:t>
            </w:r>
            <w:r>
              <w:rPr>
                <w:color w:val="000000"/>
              </w:rPr>
              <w:t xml:space="preserve"> published in </w:t>
            </w:r>
            <w:r>
              <w:rPr>
                <w:i/>
                <w:iCs/>
                <w:color w:val="000000"/>
              </w:rPr>
              <w:t>Gazette</w:t>
            </w:r>
            <w:r>
              <w:rPr>
                <w:color w:val="000000"/>
              </w:rPr>
              <w:t xml:space="preserve"> 28 Apr 1995 p. 1478</w:t>
            </w:r>
            <w:r>
              <w:rPr>
                <w:color w:val="000000"/>
              </w:rPr>
              <w:noBreakHyphen/>
              <w:t>81</w:t>
            </w:r>
          </w:p>
        </w:tc>
        <w:tc>
          <w:tcPr>
            <w:tcW w:w="2553" w:type="dxa"/>
          </w:tcPr>
          <w:p>
            <w:pPr>
              <w:pStyle w:val="nTable"/>
              <w:spacing w:after="40"/>
              <w:rPr>
                <w:color w:val="000000"/>
              </w:rPr>
            </w:pPr>
            <w:r>
              <w:rPr>
                <w:color w:val="000000"/>
              </w:rPr>
              <w:t>1 Jun 1995 (see cl. 2)</w:t>
            </w:r>
          </w:p>
        </w:tc>
      </w:tr>
      <w:tr>
        <w:trPr>
          <w:cantSplit/>
        </w:trPr>
        <w:tc>
          <w:tcPr>
            <w:tcW w:w="4534" w:type="dxa"/>
            <w:gridSpan w:val="6"/>
          </w:tcPr>
          <w:p>
            <w:pPr>
              <w:pStyle w:val="nTable"/>
              <w:spacing w:after="40"/>
              <w:rPr>
                <w:color w:val="000000"/>
              </w:rPr>
            </w:pPr>
            <w:r>
              <w:rPr>
                <w:i/>
                <w:iCs/>
                <w:color w:val="000000"/>
              </w:rPr>
              <w:t>Poisons (Scheduled Substances) Amendment Order (No. 3) 1995</w:t>
            </w:r>
            <w:r>
              <w:rPr>
                <w:color w:val="000000"/>
              </w:rPr>
              <w:t xml:space="preserve"> published in </w:t>
            </w:r>
            <w:r>
              <w:rPr>
                <w:i/>
                <w:iCs/>
                <w:color w:val="000000"/>
              </w:rPr>
              <w:t>Gazette</w:t>
            </w:r>
            <w:r>
              <w:rPr>
                <w:color w:val="000000"/>
              </w:rPr>
              <w:t xml:space="preserve"> 5 Sep 1995 p. 4163</w:t>
            </w:r>
            <w:r>
              <w:rPr>
                <w:color w:val="000000"/>
              </w:rPr>
              <w:noBreakHyphen/>
              <w:t>8</w:t>
            </w:r>
          </w:p>
        </w:tc>
        <w:tc>
          <w:tcPr>
            <w:tcW w:w="2553" w:type="dxa"/>
          </w:tcPr>
          <w:p>
            <w:pPr>
              <w:pStyle w:val="nTable"/>
              <w:spacing w:after="40"/>
              <w:rPr>
                <w:color w:val="000000"/>
              </w:rPr>
            </w:pPr>
            <w:r>
              <w:rPr>
                <w:color w:val="000000"/>
              </w:rPr>
              <w:t>5 Sep 1995 (see cl. 2)</w:t>
            </w:r>
          </w:p>
        </w:tc>
      </w:tr>
      <w:tr>
        <w:trPr>
          <w:cantSplit/>
        </w:trPr>
        <w:tc>
          <w:tcPr>
            <w:tcW w:w="2266" w:type="dxa"/>
          </w:tcPr>
          <w:p>
            <w:pPr>
              <w:pStyle w:val="nTable"/>
              <w:spacing w:after="40"/>
            </w:pPr>
            <w:r>
              <w:rPr>
                <w:i/>
              </w:rPr>
              <w:t>Poisons Amendment Act 1995</w:t>
            </w:r>
          </w:p>
        </w:tc>
        <w:tc>
          <w:tcPr>
            <w:tcW w:w="1134" w:type="dxa"/>
            <w:gridSpan w:val="2"/>
          </w:tcPr>
          <w:p>
            <w:pPr>
              <w:pStyle w:val="nTable"/>
              <w:spacing w:after="40"/>
            </w:pPr>
            <w:r>
              <w:t>48 of 1995</w:t>
            </w:r>
          </w:p>
        </w:tc>
        <w:tc>
          <w:tcPr>
            <w:tcW w:w="1134" w:type="dxa"/>
            <w:gridSpan w:val="3"/>
          </w:tcPr>
          <w:p>
            <w:pPr>
              <w:pStyle w:val="nTable"/>
              <w:spacing w:after="40"/>
            </w:pPr>
            <w:r>
              <w:t>6 Nov 1995</w:t>
            </w:r>
          </w:p>
        </w:tc>
        <w:tc>
          <w:tcPr>
            <w:tcW w:w="2553" w:type="dxa"/>
          </w:tcPr>
          <w:p>
            <w:pPr>
              <w:pStyle w:val="nTable"/>
              <w:spacing w:after="40"/>
            </w:pPr>
            <w:r>
              <w:t>s. 1 and 2: 6 Nov 1995;</w:t>
            </w:r>
            <w:r>
              <w:br/>
              <w:t xml:space="preserve">Act other than s. 1 and 2: 20 Mar 1996 (see s. 2 and </w:t>
            </w:r>
            <w:r>
              <w:rPr>
                <w:i/>
              </w:rPr>
              <w:t>Gazette</w:t>
            </w:r>
            <w:r>
              <w:t xml:space="preserve"> 19 Mar 1996 p. 1203)</w:t>
            </w:r>
          </w:p>
        </w:tc>
      </w:tr>
      <w:tr>
        <w:trPr>
          <w:cantSplit/>
        </w:trPr>
        <w:tc>
          <w:tcPr>
            <w:tcW w:w="4534" w:type="dxa"/>
            <w:gridSpan w:val="6"/>
          </w:tcPr>
          <w:p>
            <w:pPr>
              <w:pStyle w:val="nTable"/>
              <w:spacing w:after="40"/>
              <w:rPr>
                <w:color w:val="000000"/>
              </w:rPr>
            </w:pPr>
            <w:r>
              <w:rPr>
                <w:i/>
                <w:iCs/>
                <w:color w:val="000000"/>
              </w:rPr>
              <w:t>Poisons (Scheduled Substances) Amendment Order 1996</w:t>
            </w:r>
            <w:r>
              <w:rPr>
                <w:color w:val="000000"/>
              </w:rPr>
              <w:t xml:space="preserve"> published in </w:t>
            </w:r>
            <w:r>
              <w:rPr>
                <w:i/>
                <w:iCs/>
                <w:color w:val="000000"/>
              </w:rPr>
              <w:t>Gazette</w:t>
            </w:r>
            <w:r>
              <w:rPr>
                <w:color w:val="000000"/>
              </w:rPr>
              <w:t xml:space="preserve"> 19 Jan 1996 p. 263</w:t>
            </w:r>
            <w:r>
              <w:rPr>
                <w:color w:val="000000"/>
              </w:rPr>
              <w:noBreakHyphen/>
              <w:t>7</w:t>
            </w:r>
          </w:p>
        </w:tc>
        <w:tc>
          <w:tcPr>
            <w:tcW w:w="2553" w:type="dxa"/>
          </w:tcPr>
          <w:p>
            <w:pPr>
              <w:pStyle w:val="nTable"/>
              <w:spacing w:after="40"/>
              <w:rPr>
                <w:color w:val="000000"/>
              </w:rPr>
            </w:pPr>
            <w:r>
              <w:rPr>
                <w:color w:val="000000"/>
              </w:rPr>
              <w:t>19 Jan 1996 (see cl. 2)</w:t>
            </w:r>
          </w:p>
        </w:tc>
      </w:tr>
      <w:tr>
        <w:trPr>
          <w:cantSplit/>
        </w:trPr>
        <w:tc>
          <w:tcPr>
            <w:tcW w:w="4534" w:type="dxa"/>
            <w:gridSpan w:val="6"/>
          </w:tcPr>
          <w:p>
            <w:pPr>
              <w:pStyle w:val="nTable"/>
              <w:spacing w:after="40"/>
            </w:pPr>
            <w:r>
              <w:rPr>
                <w:i/>
              </w:rPr>
              <w:t xml:space="preserve">Poisons (Appendix A Amendment) Order 1996 </w:t>
            </w:r>
            <w:r>
              <w:t xml:space="preserve">published in </w:t>
            </w:r>
            <w:r>
              <w:rPr>
                <w:i/>
              </w:rPr>
              <w:t xml:space="preserve">Gazette </w:t>
            </w:r>
            <w:r>
              <w:t>19 Mar 1996 p. 1207</w:t>
            </w:r>
            <w:r>
              <w:noBreakHyphen/>
              <w:t>10</w:t>
            </w:r>
          </w:p>
        </w:tc>
        <w:tc>
          <w:tcPr>
            <w:tcW w:w="2553" w:type="dxa"/>
          </w:tcPr>
          <w:p>
            <w:pPr>
              <w:pStyle w:val="nTable"/>
              <w:spacing w:after="40"/>
            </w:pPr>
            <w:r>
              <w:t xml:space="preserve">20 Mar 1996 (see cl. 2 and </w:t>
            </w:r>
            <w:r>
              <w:rPr>
                <w:i/>
              </w:rPr>
              <w:t xml:space="preserve">Gazette </w:t>
            </w:r>
            <w:r>
              <w:t>19 Mar 1996 p. 1203)</w:t>
            </w:r>
          </w:p>
        </w:tc>
      </w:tr>
      <w:tr>
        <w:trPr>
          <w:cantSplit/>
        </w:trPr>
        <w:tc>
          <w:tcPr>
            <w:tcW w:w="7087" w:type="dxa"/>
            <w:gridSpan w:val="7"/>
          </w:tcPr>
          <w:p>
            <w:pPr>
              <w:pStyle w:val="nTable"/>
              <w:spacing w:after="40"/>
              <w:rPr>
                <w:b/>
              </w:rPr>
            </w:pPr>
            <w:r>
              <w:rPr>
                <w:b/>
              </w:rPr>
              <w:t xml:space="preserve">Reprint of the </w:t>
            </w:r>
            <w:r>
              <w:rPr>
                <w:b/>
                <w:i/>
              </w:rPr>
              <w:t>Poisons Act 1964</w:t>
            </w:r>
            <w:r>
              <w:rPr>
                <w:i/>
              </w:rPr>
              <w:t xml:space="preserve"> </w:t>
            </w:r>
            <w:r>
              <w:rPr>
                <w:b/>
              </w:rPr>
              <w:t xml:space="preserve">as at 9 Apr 1996 </w:t>
            </w:r>
            <w:r>
              <w:t>(includes amendments listed above)</w:t>
            </w:r>
          </w:p>
        </w:tc>
      </w:tr>
      <w:tr>
        <w:trPr>
          <w:cantSplit/>
        </w:trPr>
        <w:tc>
          <w:tcPr>
            <w:tcW w:w="2266" w:type="dxa"/>
          </w:tcPr>
          <w:p>
            <w:pPr>
              <w:pStyle w:val="nTable"/>
              <w:spacing w:after="40"/>
            </w:pPr>
            <w:r>
              <w:rPr>
                <w:i/>
              </w:rPr>
              <w:t>Local Government (Consequential Amendments) Act 1996</w:t>
            </w:r>
            <w:r>
              <w:t xml:space="preserve"> s. 4</w:t>
            </w:r>
          </w:p>
        </w:tc>
        <w:tc>
          <w:tcPr>
            <w:tcW w:w="1134" w:type="dxa"/>
            <w:gridSpan w:val="2"/>
          </w:tcPr>
          <w:p>
            <w:pPr>
              <w:pStyle w:val="nTable"/>
              <w:keepNext/>
              <w:spacing w:after="40"/>
            </w:pPr>
            <w:r>
              <w:t>14 of 1996</w:t>
            </w:r>
          </w:p>
        </w:tc>
        <w:tc>
          <w:tcPr>
            <w:tcW w:w="1134" w:type="dxa"/>
            <w:gridSpan w:val="3"/>
          </w:tcPr>
          <w:p>
            <w:pPr>
              <w:pStyle w:val="nTable"/>
              <w:spacing w:after="40"/>
            </w:pPr>
            <w:r>
              <w:t>28 Jun 1996</w:t>
            </w:r>
          </w:p>
        </w:tc>
        <w:tc>
          <w:tcPr>
            <w:tcW w:w="2553" w:type="dxa"/>
          </w:tcPr>
          <w:p>
            <w:pPr>
              <w:pStyle w:val="nTable"/>
              <w:spacing w:after="40"/>
            </w:pPr>
            <w:r>
              <w:t>1 Jul 1996 (see s. 2)</w:t>
            </w:r>
          </w:p>
        </w:tc>
      </w:tr>
      <w:tr>
        <w:trPr>
          <w:cantSplit/>
        </w:trPr>
        <w:tc>
          <w:tcPr>
            <w:tcW w:w="4534" w:type="dxa"/>
            <w:gridSpan w:val="6"/>
          </w:tcPr>
          <w:p>
            <w:pPr>
              <w:pStyle w:val="nTable"/>
              <w:spacing w:after="40"/>
            </w:pPr>
            <w:r>
              <w:rPr>
                <w:i/>
              </w:rPr>
              <w:t xml:space="preserve">Poisons (Appendix A Amendment) Order (No. 2) 1996 </w:t>
            </w:r>
            <w:r>
              <w:t xml:space="preserve">published in </w:t>
            </w:r>
            <w:r>
              <w:rPr>
                <w:i/>
              </w:rPr>
              <w:t xml:space="preserve">Gazette </w:t>
            </w:r>
            <w:r>
              <w:t>17 Sep 1996 p. 4695</w:t>
            </w:r>
          </w:p>
        </w:tc>
        <w:tc>
          <w:tcPr>
            <w:tcW w:w="2553" w:type="dxa"/>
          </w:tcPr>
          <w:p>
            <w:pPr>
              <w:pStyle w:val="nTable"/>
              <w:spacing w:after="40"/>
            </w:pPr>
            <w:r>
              <w:t>24 Sep 1996 (see cl. 2)</w:t>
            </w:r>
          </w:p>
        </w:tc>
      </w:tr>
      <w:tr>
        <w:trPr>
          <w:cantSplit/>
        </w:trPr>
        <w:tc>
          <w:tcPr>
            <w:tcW w:w="4534" w:type="dxa"/>
            <w:gridSpan w:val="6"/>
          </w:tcPr>
          <w:p>
            <w:pPr>
              <w:pStyle w:val="nTable"/>
              <w:spacing w:after="40"/>
            </w:pPr>
            <w:r>
              <w:rPr>
                <w:i/>
              </w:rPr>
              <w:t xml:space="preserve">Poisons (Appendix A Amendment) Order 1998 </w:t>
            </w:r>
            <w:r>
              <w:t xml:space="preserve">published in </w:t>
            </w:r>
            <w:r>
              <w:rPr>
                <w:i/>
              </w:rPr>
              <w:t xml:space="preserve">Gazette </w:t>
            </w:r>
            <w:r>
              <w:t>10 Feb 1998 p. 723</w:t>
            </w:r>
          </w:p>
        </w:tc>
        <w:tc>
          <w:tcPr>
            <w:tcW w:w="2553" w:type="dxa"/>
          </w:tcPr>
          <w:p>
            <w:pPr>
              <w:pStyle w:val="nTable"/>
              <w:spacing w:after="40"/>
            </w:pPr>
            <w:r>
              <w:t>10 Feb 1998 (see cl. 2)</w:t>
            </w:r>
          </w:p>
        </w:tc>
      </w:tr>
      <w:tr>
        <w:trPr>
          <w:cantSplit/>
        </w:trPr>
        <w:tc>
          <w:tcPr>
            <w:tcW w:w="2266" w:type="dxa"/>
          </w:tcPr>
          <w:p>
            <w:pPr>
              <w:pStyle w:val="nTable"/>
              <w:spacing w:after="40"/>
            </w:pPr>
            <w:r>
              <w:rPr>
                <w:i/>
              </w:rPr>
              <w:t>Statutes (Repeals and Minor Amendments) Act (No. 2) 1998</w:t>
            </w:r>
            <w:r>
              <w:t xml:space="preserve"> s. 76</w:t>
            </w:r>
          </w:p>
        </w:tc>
        <w:tc>
          <w:tcPr>
            <w:tcW w:w="1134" w:type="dxa"/>
            <w:gridSpan w:val="2"/>
          </w:tcPr>
          <w:p>
            <w:pPr>
              <w:pStyle w:val="nTable"/>
              <w:keepNext/>
              <w:spacing w:after="40"/>
            </w:pPr>
            <w:r>
              <w:t>10 of 1998</w:t>
            </w:r>
          </w:p>
        </w:tc>
        <w:tc>
          <w:tcPr>
            <w:tcW w:w="1134" w:type="dxa"/>
            <w:gridSpan w:val="3"/>
          </w:tcPr>
          <w:p>
            <w:pPr>
              <w:pStyle w:val="nTable"/>
              <w:spacing w:after="40"/>
            </w:pPr>
            <w:r>
              <w:t>30 Apr 1998</w:t>
            </w:r>
          </w:p>
        </w:tc>
        <w:tc>
          <w:tcPr>
            <w:tcW w:w="2553" w:type="dxa"/>
          </w:tcPr>
          <w:p>
            <w:pPr>
              <w:pStyle w:val="nTable"/>
              <w:spacing w:after="40"/>
            </w:pPr>
            <w:r>
              <w:t>30 Apr 1998 (see s. 2(1))</w:t>
            </w:r>
          </w:p>
        </w:tc>
      </w:tr>
      <w:tr>
        <w:trPr>
          <w:cantSplit/>
        </w:trPr>
        <w:tc>
          <w:tcPr>
            <w:tcW w:w="4534" w:type="dxa"/>
            <w:gridSpan w:val="6"/>
          </w:tcPr>
          <w:p>
            <w:pPr>
              <w:pStyle w:val="nTable"/>
              <w:spacing w:after="40"/>
            </w:pPr>
            <w:r>
              <w:rPr>
                <w:i/>
              </w:rPr>
              <w:t xml:space="preserve">Poisons (Appendix A Amendment) Order (No. 2) 1998 </w:t>
            </w:r>
            <w:r>
              <w:t xml:space="preserve">published in </w:t>
            </w:r>
            <w:r>
              <w:rPr>
                <w:i/>
              </w:rPr>
              <w:t xml:space="preserve">Gazette </w:t>
            </w:r>
            <w:r>
              <w:t>7 Aug 1998 p. 4091</w:t>
            </w:r>
          </w:p>
        </w:tc>
        <w:tc>
          <w:tcPr>
            <w:tcW w:w="2553" w:type="dxa"/>
          </w:tcPr>
          <w:p>
            <w:pPr>
              <w:pStyle w:val="nTable"/>
              <w:spacing w:after="40"/>
            </w:pPr>
            <w:r>
              <w:t>22 Sep 1998 (see cl. 2)</w:t>
            </w:r>
          </w:p>
        </w:tc>
      </w:tr>
      <w:tr>
        <w:trPr>
          <w:cantSplit/>
        </w:trPr>
        <w:tc>
          <w:tcPr>
            <w:tcW w:w="7087" w:type="dxa"/>
            <w:gridSpan w:val="7"/>
          </w:tcPr>
          <w:p>
            <w:pPr>
              <w:pStyle w:val="nTable"/>
              <w:spacing w:after="40"/>
              <w:rPr>
                <w:b/>
              </w:rPr>
            </w:pPr>
            <w:r>
              <w:rPr>
                <w:b/>
              </w:rPr>
              <w:t xml:space="preserve">Reprint of the </w:t>
            </w:r>
            <w:r>
              <w:rPr>
                <w:b/>
                <w:i/>
              </w:rPr>
              <w:t>Poisons Act 1964</w:t>
            </w:r>
            <w:r>
              <w:rPr>
                <w:i/>
              </w:rPr>
              <w:t xml:space="preserve"> </w:t>
            </w:r>
            <w:r>
              <w:rPr>
                <w:b/>
              </w:rPr>
              <w:t xml:space="preserve">as at 22 Jan 1999 </w:t>
            </w:r>
            <w:r>
              <w:t>(includes amendments listed above)</w:t>
            </w:r>
          </w:p>
        </w:tc>
      </w:tr>
      <w:tr>
        <w:trPr>
          <w:cantSplit/>
        </w:trPr>
        <w:tc>
          <w:tcPr>
            <w:tcW w:w="2266" w:type="dxa"/>
          </w:tcPr>
          <w:p>
            <w:pPr>
              <w:pStyle w:val="nTable"/>
              <w:spacing w:after="40"/>
            </w:pPr>
            <w:r>
              <w:rPr>
                <w:i/>
              </w:rPr>
              <w:t>Acts Amendment and Repeal (Financial Sector Reform) Act 1999</w:t>
            </w:r>
            <w:r>
              <w:t xml:space="preserve"> s. 96</w:t>
            </w:r>
          </w:p>
        </w:tc>
        <w:tc>
          <w:tcPr>
            <w:tcW w:w="1134" w:type="dxa"/>
            <w:gridSpan w:val="2"/>
          </w:tcPr>
          <w:p>
            <w:pPr>
              <w:pStyle w:val="nTable"/>
              <w:keepNext/>
              <w:spacing w:after="40"/>
            </w:pPr>
            <w:r>
              <w:t>26 of 1999</w:t>
            </w:r>
          </w:p>
        </w:tc>
        <w:tc>
          <w:tcPr>
            <w:tcW w:w="1134" w:type="dxa"/>
            <w:gridSpan w:val="3"/>
          </w:tcPr>
          <w:p>
            <w:pPr>
              <w:pStyle w:val="nTable"/>
              <w:spacing w:after="40"/>
            </w:pPr>
            <w:r>
              <w:t>29 Jun 1999</w:t>
            </w:r>
          </w:p>
        </w:tc>
        <w:tc>
          <w:tcPr>
            <w:tcW w:w="2553" w:type="dxa"/>
          </w:tcPr>
          <w:p>
            <w:pPr>
              <w:pStyle w:val="nTable"/>
              <w:spacing w:after="40"/>
            </w:pPr>
            <w:r>
              <w:t xml:space="preserve">1 Jul 1999 (see s. 2(1) and </w:t>
            </w:r>
            <w:r>
              <w:rPr>
                <w:i/>
              </w:rPr>
              <w:t>Gazette</w:t>
            </w:r>
            <w:r>
              <w:t xml:space="preserve"> 30 Jun 1999 p. 2905)</w:t>
            </w:r>
          </w:p>
        </w:tc>
      </w:tr>
      <w:tr>
        <w:trPr>
          <w:cantSplit/>
        </w:trPr>
        <w:tc>
          <w:tcPr>
            <w:tcW w:w="4534" w:type="dxa"/>
            <w:gridSpan w:val="6"/>
          </w:tcPr>
          <w:p>
            <w:pPr>
              <w:pStyle w:val="nTable"/>
              <w:spacing w:after="40"/>
            </w:pPr>
            <w:r>
              <w:rPr>
                <w:i/>
              </w:rPr>
              <w:t xml:space="preserve">Poisons (Appendix A Amendment) Order 1999 </w:t>
            </w:r>
            <w:r>
              <w:t xml:space="preserve">published in </w:t>
            </w:r>
            <w:r>
              <w:rPr>
                <w:i/>
              </w:rPr>
              <w:t xml:space="preserve">Gazette </w:t>
            </w:r>
            <w:r>
              <w:t>8 Oct 1999 p. 4783</w:t>
            </w:r>
            <w:r>
              <w:noBreakHyphen/>
              <w:t>4</w:t>
            </w:r>
          </w:p>
        </w:tc>
        <w:tc>
          <w:tcPr>
            <w:tcW w:w="2553" w:type="dxa"/>
          </w:tcPr>
          <w:p>
            <w:pPr>
              <w:pStyle w:val="nTable"/>
              <w:spacing w:after="40"/>
            </w:pPr>
            <w:r>
              <w:t>8 Oct 1999</w:t>
            </w:r>
          </w:p>
        </w:tc>
      </w:tr>
      <w:tr>
        <w:trPr>
          <w:cantSplit/>
        </w:trPr>
        <w:tc>
          <w:tcPr>
            <w:tcW w:w="4534" w:type="dxa"/>
            <w:gridSpan w:val="6"/>
          </w:tcPr>
          <w:p>
            <w:pPr>
              <w:pStyle w:val="nTable"/>
              <w:spacing w:after="40"/>
            </w:pPr>
            <w:r>
              <w:rPr>
                <w:i/>
              </w:rPr>
              <w:t xml:space="preserve">Poisons (Appendix A Amendment) Order 2001 </w:t>
            </w:r>
            <w:r>
              <w:t xml:space="preserve">published in </w:t>
            </w:r>
            <w:r>
              <w:rPr>
                <w:i/>
              </w:rPr>
              <w:t xml:space="preserve">Gazette </w:t>
            </w:r>
            <w:r>
              <w:t>14 Sep 2001 p. 5080</w:t>
            </w:r>
          </w:p>
        </w:tc>
        <w:tc>
          <w:tcPr>
            <w:tcW w:w="2553" w:type="dxa"/>
          </w:tcPr>
          <w:p>
            <w:pPr>
              <w:pStyle w:val="nTable"/>
              <w:spacing w:after="40"/>
            </w:pPr>
            <w:r>
              <w:t>14 Sep 2001</w:t>
            </w:r>
          </w:p>
        </w:tc>
      </w:tr>
      <w:tr>
        <w:trPr>
          <w:cantSplit/>
        </w:trPr>
        <w:tc>
          <w:tcPr>
            <w:tcW w:w="4534" w:type="dxa"/>
            <w:gridSpan w:val="6"/>
          </w:tcPr>
          <w:p>
            <w:pPr>
              <w:pStyle w:val="nTable"/>
              <w:spacing w:after="40"/>
            </w:pPr>
            <w:r>
              <w:rPr>
                <w:i/>
              </w:rPr>
              <w:t xml:space="preserve">Poisons (Appendix A Amendment) Order 2002 </w:t>
            </w:r>
            <w:r>
              <w:t xml:space="preserve">published in </w:t>
            </w:r>
            <w:r>
              <w:rPr>
                <w:i/>
              </w:rPr>
              <w:t xml:space="preserve">Gazette </w:t>
            </w:r>
            <w:r>
              <w:t>8 Nov 2002 p. 5433</w:t>
            </w:r>
            <w:r>
              <w:noBreakHyphen/>
              <w:t>4</w:t>
            </w:r>
          </w:p>
        </w:tc>
        <w:tc>
          <w:tcPr>
            <w:tcW w:w="2553" w:type="dxa"/>
          </w:tcPr>
          <w:p>
            <w:pPr>
              <w:pStyle w:val="nTable"/>
              <w:spacing w:after="40"/>
            </w:pPr>
            <w:r>
              <w:t>8 Nov 2002 (see cl. 2)</w:t>
            </w:r>
          </w:p>
        </w:tc>
      </w:tr>
      <w:tr>
        <w:trPr>
          <w:cantSplit/>
        </w:trPr>
        <w:tc>
          <w:tcPr>
            <w:tcW w:w="2266" w:type="dxa"/>
          </w:tcPr>
          <w:p>
            <w:pPr>
              <w:pStyle w:val="nTable"/>
              <w:spacing w:after="40"/>
              <w:rPr>
                <w:i/>
              </w:rPr>
            </w:pPr>
            <w:r>
              <w:rPr>
                <w:i/>
              </w:rPr>
              <w:t>Nurses Amendment Act 2003</w:t>
            </w:r>
            <w:r>
              <w:t xml:space="preserve"> Pt. 3 Div. 4</w:t>
            </w:r>
          </w:p>
        </w:tc>
        <w:tc>
          <w:tcPr>
            <w:tcW w:w="1134" w:type="dxa"/>
            <w:gridSpan w:val="2"/>
          </w:tcPr>
          <w:p>
            <w:pPr>
              <w:pStyle w:val="nTable"/>
              <w:keepNext/>
              <w:spacing w:after="40"/>
            </w:pPr>
            <w:r>
              <w:t>9 of 2003</w:t>
            </w:r>
          </w:p>
        </w:tc>
        <w:tc>
          <w:tcPr>
            <w:tcW w:w="1134" w:type="dxa"/>
            <w:gridSpan w:val="3"/>
          </w:tcPr>
          <w:p>
            <w:pPr>
              <w:pStyle w:val="nTable"/>
              <w:spacing w:after="40"/>
            </w:pPr>
            <w:r>
              <w:t>9 Apr 2003</w:t>
            </w:r>
          </w:p>
        </w:tc>
        <w:tc>
          <w:tcPr>
            <w:tcW w:w="2553" w:type="dxa"/>
          </w:tcPr>
          <w:p>
            <w:pPr>
              <w:pStyle w:val="nTable"/>
              <w:spacing w:after="40"/>
            </w:pPr>
            <w:r>
              <w:t>9 Apr 2003 (see s. 2)</w:t>
            </w:r>
          </w:p>
        </w:tc>
      </w:tr>
      <w:tr>
        <w:trPr>
          <w:cantSplit/>
        </w:trPr>
        <w:tc>
          <w:tcPr>
            <w:tcW w:w="2266" w:type="dxa"/>
          </w:tcPr>
          <w:p>
            <w:pPr>
              <w:pStyle w:val="nTable"/>
              <w:spacing w:after="40"/>
              <w:rPr>
                <w:i/>
              </w:rPr>
            </w:pPr>
            <w:r>
              <w:rPr>
                <w:i/>
              </w:rPr>
              <w:t xml:space="preserve">Sentencing Legislation Amendment and Repeal Act 2003 </w:t>
            </w:r>
            <w:r>
              <w:t>s. 84</w:t>
            </w:r>
          </w:p>
        </w:tc>
        <w:tc>
          <w:tcPr>
            <w:tcW w:w="1134" w:type="dxa"/>
            <w:gridSpan w:val="2"/>
          </w:tcPr>
          <w:p>
            <w:pPr>
              <w:pStyle w:val="nTable"/>
              <w:keepNext/>
              <w:spacing w:after="40"/>
            </w:pPr>
            <w:r>
              <w:t>50 of 2003</w:t>
            </w:r>
          </w:p>
        </w:tc>
        <w:tc>
          <w:tcPr>
            <w:tcW w:w="1134" w:type="dxa"/>
            <w:gridSpan w:val="3"/>
          </w:tcPr>
          <w:p>
            <w:pPr>
              <w:pStyle w:val="nTable"/>
              <w:spacing w:after="40"/>
            </w:pPr>
            <w:r>
              <w:t>9 Jul 2003</w:t>
            </w:r>
          </w:p>
        </w:tc>
        <w:tc>
          <w:tcPr>
            <w:tcW w:w="2553" w:type="dxa"/>
          </w:tcPr>
          <w:p>
            <w:pPr>
              <w:pStyle w:val="nTable"/>
              <w:spacing w:after="40"/>
            </w:pPr>
            <w:r>
              <w:t>15</w:t>
            </w:r>
            <w:r>
              <w:rPr>
                <w:i/>
              </w:rPr>
              <w:t> </w:t>
            </w:r>
            <w:r>
              <w:t>May 2004 (see s. 2 and</w:t>
            </w:r>
            <w:r>
              <w:rPr>
                <w:i/>
              </w:rPr>
              <w:t xml:space="preserve"> Gazette </w:t>
            </w:r>
            <w:r>
              <w:t>14 May 2004 p. 1445)</w:t>
            </w:r>
          </w:p>
        </w:tc>
      </w:tr>
      <w:tr>
        <w:trPr>
          <w:cantSplit/>
        </w:trPr>
        <w:tc>
          <w:tcPr>
            <w:tcW w:w="4534" w:type="dxa"/>
            <w:gridSpan w:val="6"/>
          </w:tcPr>
          <w:p>
            <w:pPr>
              <w:pStyle w:val="nTable"/>
              <w:spacing w:after="40"/>
            </w:pPr>
            <w:r>
              <w:rPr>
                <w:i/>
              </w:rPr>
              <w:t xml:space="preserve">Poisons (Appendix A Amendment) Order 2003 </w:t>
            </w:r>
            <w:r>
              <w:t xml:space="preserve">published in </w:t>
            </w:r>
            <w:r>
              <w:rPr>
                <w:i/>
              </w:rPr>
              <w:t xml:space="preserve">Gazette </w:t>
            </w:r>
            <w:r>
              <w:t>10 Oct 2003 p. 4403</w:t>
            </w:r>
            <w:r>
              <w:noBreakHyphen/>
              <w:t>4</w:t>
            </w:r>
          </w:p>
        </w:tc>
        <w:tc>
          <w:tcPr>
            <w:tcW w:w="2553" w:type="dxa"/>
          </w:tcPr>
          <w:p>
            <w:pPr>
              <w:pStyle w:val="nTable"/>
              <w:spacing w:after="40"/>
            </w:pPr>
            <w:r>
              <w:t>10 Oct 2003 (see cl. 2)</w:t>
            </w:r>
          </w:p>
        </w:tc>
      </w:tr>
      <w:tr>
        <w:trPr>
          <w:cantSplit/>
        </w:trPr>
        <w:tc>
          <w:tcPr>
            <w:tcW w:w="4534" w:type="dxa"/>
            <w:gridSpan w:val="6"/>
          </w:tcPr>
          <w:p>
            <w:pPr>
              <w:pStyle w:val="nTable"/>
              <w:spacing w:after="40"/>
            </w:pPr>
            <w:r>
              <w:rPr>
                <w:i/>
              </w:rPr>
              <w:t xml:space="preserve">Poisons (Appendix A Amendment) Order (No. 2) 2003 </w:t>
            </w:r>
            <w:r>
              <w:t xml:space="preserve">published in </w:t>
            </w:r>
            <w:r>
              <w:rPr>
                <w:i/>
              </w:rPr>
              <w:t xml:space="preserve">Gazette </w:t>
            </w:r>
            <w:r>
              <w:t>10 Oct 2003 p. 4404</w:t>
            </w:r>
            <w:r>
              <w:noBreakHyphen/>
              <w:t>5</w:t>
            </w:r>
          </w:p>
        </w:tc>
        <w:tc>
          <w:tcPr>
            <w:tcW w:w="2553" w:type="dxa"/>
          </w:tcPr>
          <w:p>
            <w:pPr>
              <w:pStyle w:val="nTable"/>
              <w:spacing w:after="40"/>
            </w:pPr>
            <w:r>
              <w:t>1 Jan 2004 (see cl. 2)</w:t>
            </w:r>
          </w:p>
        </w:tc>
      </w:tr>
      <w:tr>
        <w:trPr>
          <w:cantSplit/>
        </w:trPr>
        <w:tc>
          <w:tcPr>
            <w:tcW w:w="2266" w:type="dxa"/>
          </w:tcPr>
          <w:p>
            <w:pPr>
              <w:pStyle w:val="nTable"/>
              <w:spacing w:after="40"/>
            </w:pPr>
            <w:r>
              <w:rPr>
                <w:i/>
              </w:rPr>
              <w:t>Industrial Hemp Act 2004</w:t>
            </w:r>
            <w:r>
              <w:t xml:space="preserve"> Pt. 8</w:t>
            </w:r>
          </w:p>
        </w:tc>
        <w:tc>
          <w:tcPr>
            <w:tcW w:w="1134" w:type="dxa"/>
            <w:gridSpan w:val="2"/>
          </w:tcPr>
          <w:p>
            <w:pPr>
              <w:pStyle w:val="nTable"/>
              <w:keepNext/>
              <w:spacing w:after="40"/>
            </w:pPr>
            <w:r>
              <w:t>1 of 2004</w:t>
            </w:r>
          </w:p>
        </w:tc>
        <w:tc>
          <w:tcPr>
            <w:tcW w:w="1134" w:type="dxa"/>
            <w:gridSpan w:val="3"/>
          </w:tcPr>
          <w:p>
            <w:pPr>
              <w:pStyle w:val="nTable"/>
              <w:spacing w:after="40"/>
            </w:pPr>
            <w:r>
              <w:t>12 Mar 2004</w:t>
            </w:r>
          </w:p>
        </w:tc>
        <w:tc>
          <w:tcPr>
            <w:tcW w:w="2553" w:type="dxa"/>
          </w:tcPr>
          <w:p>
            <w:pPr>
              <w:pStyle w:val="nTable"/>
              <w:spacing w:after="40"/>
            </w:pPr>
            <w:r>
              <w:t xml:space="preserve">19 May 2004 (see s. 2 and </w:t>
            </w:r>
            <w:r>
              <w:rPr>
                <w:i/>
              </w:rPr>
              <w:t>Gazette</w:t>
            </w:r>
            <w:r>
              <w:t xml:space="preserve"> 18 May 2004 p. 1561)</w:t>
            </w:r>
          </w:p>
        </w:tc>
      </w:tr>
      <w:tr>
        <w:trPr>
          <w:cantSplit/>
        </w:trPr>
        <w:tc>
          <w:tcPr>
            <w:tcW w:w="7087" w:type="dxa"/>
            <w:gridSpan w:val="7"/>
          </w:tcPr>
          <w:p>
            <w:pPr>
              <w:pStyle w:val="nTable"/>
              <w:spacing w:after="40"/>
              <w:rPr>
                <w:b/>
              </w:rPr>
            </w:pPr>
            <w:r>
              <w:rPr>
                <w:b/>
              </w:rPr>
              <w:t xml:space="preserve">Reprint 6: The </w:t>
            </w:r>
            <w:r>
              <w:rPr>
                <w:b/>
                <w:i/>
              </w:rPr>
              <w:t>Poisons Act 1964</w:t>
            </w:r>
            <w:r>
              <w:rPr>
                <w:i/>
              </w:rPr>
              <w:t xml:space="preserve"> </w:t>
            </w:r>
            <w:r>
              <w:rPr>
                <w:b/>
              </w:rPr>
              <w:t xml:space="preserve">as at 10 Sep 2004 </w:t>
            </w:r>
            <w:r>
              <w:t>(includes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vertAlign w:val="superscript"/>
              </w:rPr>
            </w:pPr>
            <w:r>
              <w:rPr>
                <w:i/>
                <w:snapToGrid w:val="0"/>
              </w:rPr>
              <w:t>Courts Legislation Amendment and Repeal Act 2004</w:t>
            </w:r>
            <w:r>
              <w:rPr>
                <w:snapToGrid w:val="0"/>
              </w:rPr>
              <w:t xml:space="preserve"> s. 141 </w:t>
            </w:r>
            <w:r>
              <w:rPr>
                <w:snapToGrid w:val="0"/>
                <w:vertAlign w:val="superscript"/>
              </w:rPr>
              <w:t>4</w:t>
            </w:r>
          </w:p>
        </w:tc>
        <w:tc>
          <w:tcPr>
            <w:tcW w:w="1134" w:type="dxa"/>
            <w:gridSpan w:val="2"/>
            <w:tcBorders>
              <w:top w:val="nil"/>
              <w:bottom w:val="nil"/>
            </w:tcBorders>
          </w:tcPr>
          <w:p>
            <w:pPr>
              <w:pStyle w:val="nTable"/>
              <w:spacing w:after="40"/>
              <w:rPr>
                <w:snapToGrid w:val="0"/>
              </w:rPr>
            </w:pPr>
            <w:r>
              <w:rPr>
                <w:snapToGrid w:val="0"/>
              </w:rPr>
              <w:t>59 of 2004 (as amended by No. 2 of 2008 s. 77(13))</w:t>
            </w:r>
          </w:p>
        </w:tc>
        <w:tc>
          <w:tcPr>
            <w:tcW w:w="1134" w:type="dxa"/>
            <w:gridSpan w:val="3"/>
            <w:tcBorders>
              <w:top w:val="nil"/>
              <w:bottom w:val="nil"/>
            </w:tcBorders>
          </w:tcPr>
          <w:p>
            <w:pPr>
              <w:pStyle w:val="nTable"/>
              <w:spacing w:after="40"/>
            </w:pPr>
            <w:r>
              <w:t>23 Nov 2004</w:t>
            </w:r>
          </w:p>
        </w:tc>
        <w:tc>
          <w:tcPr>
            <w:tcW w:w="2553" w:type="dxa"/>
            <w:tcBorders>
              <w:top w:val="nil"/>
              <w:bottom w:val="nil"/>
            </w:tcBorders>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pPr>
            <w:r>
              <w:rPr>
                <w:i/>
              </w:rPr>
              <w:t>State Administrative Tribunal (Conferral of Jurisdiction) Amendment and Repeal Act 2004</w:t>
            </w:r>
            <w:r>
              <w:t xml:space="preserve"> Pt. 2 Div. 107</w:t>
            </w:r>
            <w:r>
              <w:rPr>
                <w:vertAlign w:val="superscript"/>
              </w:rPr>
              <w:t> 5</w:t>
            </w:r>
          </w:p>
        </w:tc>
        <w:tc>
          <w:tcPr>
            <w:tcW w:w="1134" w:type="dxa"/>
            <w:gridSpan w:val="2"/>
            <w:tcBorders>
              <w:top w:val="nil"/>
              <w:bottom w:val="nil"/>
            </w:tcBorders>
          </w:tcPr>
          <w:p>
            <w:pPr>
              <w:pStyle w:val="nTable"/>
              <w:spacing w:after="40"/>
            </w:pPr>
            <w:r>
              <w:t>55 of 2004</w:t>
            </w:r>
          </w:p>
        </w:tc>
        <w:tc>
          <w:tcPr>
            <w:tcW w:w="1134" w:type="dxa"/>
            <w:gridSpan w:val="3"/>
            <w:tcBorders>
              <w:top w:val="nil"/>
              <w:bottom w:val="nil"/>
            </w:tcBorders>
          </w:tcPr>
          <w:p>
            <w:pPr>
              <w:pStyle w:val="nTable"/>
              <w:spacing w:after="40"/>
            </w:pPr>
            <w:r>
              <w:t>24 Nov 2004</w:t>
            </w:r>
          </w:p>
        </w:tc>
        <w:tc>
          <w:tcPr>
            <w:tcW w:w="2553"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80 and 82</w:t>
            </w:r>
          </w:p>
        </w:tc>
        <w:tc>
          <w:tcPr>
            <w:tcW w:w="1134" w:type="dxa"/>
            <w:gridSpan w:val="2"/>
            <w:tcBorders>
              <w:top w:val="nil"/>
              <w:bottom w:val="nil"/>
            </w:tcBorders>
          </w:tcPr>
          <w:p>
            <w:pPr>
              <w:pStyle w:val="nTable"/>
              <w:spacing w:after="40"/>
            </w:pPr>
            <w:r>
              <w:rPr>
                <w:snapToGrid w:val="0"/>
              </w:rPr>
              <w:t>84 of 2004</w:t>
            </w:r>
          </w:p>
        </w:tc>
        <w:tc>
          <w:tcPr>
            <w:tcW w:w="1134" w:type="dxa"/>
            <w:gridSpan w:val="3"/>
            <w:tcBorders>
              <w:top w:val="nil"/>
              <w:bottom w:val="nil"/>
            </w:tcBorders>
          </w:tcPr>
          <w:p>
            <w:pPr>
              <w:pStyle w:val="nTable"/>
              <w:spacing w:after="40"/>
            </w:pPr>
            <w:r>
              <w:t>16 Dec 2004</w:t>
            </w:r>
          </w:p>
        </w:tc>
        <w:tc>
          <w:tcPr>
            <w:tcW w:w="2553" w:type="dxa"/>
            <w:tcBorders>
              <w:top w:val="nil"/>
              <w:bottom w:val="nil"/>
            </w:tcBorders>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6" w:type="dxa"/>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11 </w:t>
            </w:r>
            <w:r>
              <w:rPr>
                <w:snapToGrid w:val="0"/>
                <w:vertAlign w:val="superscript"/>
              </w:rPr>
              <w:t>6, 7</w:t>
            </w:r>
          </w:p>
        </w:tc>
        <w:tc>
          <w:tcPr>
            <w:tcW w:w="1134" w:type="dxa"/>
            <w:gridSpan w:val="2"/>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3" w:type="dxa"/>
          </w:tcPr>
          <w:p>
            <w:pPr>
              <w:pStyle w:val="nTable"/>
              <w:spacing w:after="40"/>
            </w:pPr>
            <w:r>
              <w:t xml:space="preserve">1 Jul 2006 (see s. 2 and </w:t>
            </w:r>
            <w:r>
              <w:rPr>
                <w:i/>
              </w:rPr>
              <w:t>Gazette</w:t>
            </w:r>
            <w:r>
              <w:t xml:space="preserve"> 27 Jun 2006 p. 2347)</w:t>
            </w:r>
          </w:p>
        </w:tc>
      </w:tr>
      <w:tr>
        <w:trPr>
          <w:cantSplit/>
        </w:trPr>
        <w:tc>
          <w:tcPr>
            <w:tcW w:w="7087" w:type="dxa"/>
            <w:gridSpan w:val="7"/>
          </w:tcPr>
          <w:p>
            <w:pPr>
              <w:pStyle w:val="nTable"/>
              <w:spacing w:after="40"/>
              <w:rPr>
                <w:b/>
              </w:rPr>
            </w:pPr>
            <w:r>
              <w:rPr>
                <w:b/>
              </w:rPr>
              <w:t xml:space="preserve">Reprint 7: The </w:t>
            </w:r>
            <w:r>
              <w:rPr>
                <w:b/>
                <w:i/>
              </w:rPr>
              <w:t>Poisons Act 1964</w:t>
            </w:r>
            <w:r>
              <w:rPr>
                <w:i/>
              </w:rPr>
              <w:t xml:space="preserve"> </w:t>
            </w:r>
            <w:r>
              <w:rPr>
                <w:b/>
              </w:rPr>
              <w:t xml:space="preserve">as at 1 Sep 2006 </w:t>
            </w:r>
            <w:r>
              <w:t>(includes amendments listed above)</w:t>
            </w:r>
          </w:p>
        </w:tc>
      </w:tr>
      <w:tr>
        <w:trPr>
          <w:cantSplit/>
        </w:trPr>
        <w:tc>
          <w:tcPr>
            <w:tcW w:w="2266" w:type="dxa"/>
          </w:tcPr>
          <w:p>
            <w:pPr>
              <w:pStyle w:val="nTable"/>
              <w:spacing w:after="40"/>
              <w:ind w:left="-28"/>
              <w:rPr>
                <w:i/>
                <w:snapToGrid w:val="0"/>
              </w:rPr>
            </w:pPr>
            <w:r>
              <w:rPr>
                <w:i/>
                <w:snapToGrid w:val="0"/>
              </w:rPr>
              <w:t>Nurses and Midwives Act 2006</w:t>
            </w:r>
            <w:r>
              <w:rPr>
                <w:snapToGrid w:val="0"/>
              </w:rPr>
              <w:t xml:space="preserve"> Sch. 3 cl. 17</w:t>
            </w:r>
          </w:p>
        </w:tc>
        <w:tc>
          <w:tcPr>
            <w:tcW w:w="1134" w:type="dxa"/>
            <w:gridSpan w:val="2"/>
          </w:tcPr>
          <w:p>
            <w:pPr>
              <w:pStyle w:val="nTable"/>
              <w:spacing w:after="40"/>
              <w:rPr>
                <w:snapToGrid w:val="0"/>
              </w:rPr>
            </w:pPr>
            <w:r>
              <w:rPr>
                <w:snapToGrid w:val="0"/>
              </w:rPr>
              <w:t>50 of 2006</w:t>
            </w:r>
          </w:p>
        </w:tc>
        <w:tc>
          <w:tcPr>
            <w:tcW w:w="1134" w:type="dxa"/>
            <w:gridSpan w:val="3"/>
          </w:tcPr>
          <w:p>
            <w:pPr>
              <w:pStyle w:val="nTable"/>
              <w:spacing w:after="40"/>
            </w:pPr>
            <w:r>
              <w:t>6 Oct 2006</w:t>
            </w:r>
          </w:p>
        </w:tc>
        <w:tc>
          <w:tcPr>
            <w:tcW w:w="2553" w:type="dxa"/>
          </w:tcPr>
          <w:p>
            <w:pPr>
              <w:pStyle w:val="nTable"/>
              <w:spacing w:after="40"/>
            </w:pPr>
            <w:r>
              <w:rPr>
                <w:snapToGrid w:val="0"/>
              </w:rPr>
              <w:t xml:space="preserve">19 Sep 2007 (see s. 2 and </w:t>
            </w:r>
            <w:r>
              <w:rPr>
                <w:i/>
                <w:iCs/>
                <w:snapToGrid w:val="0"/>
              </w:rPr>
              <w:t>Gazette</w:t>
            </w:r>
            <w:r>
              <w:rPr>
                <w:snapToGrid w:val="0"/>
              </w:rPr>
              <w:t xml:space="preserve"> 18 Sep 2007 p. 4711)</w:t>
            </w:r>
          </w:p>
        </w:tc>
      </w:tr>
      <w:tr>
        <w:trPr>
          <w:cantSplit/>
        </w:trPr>
        <w:tc>
          <w:tcPr>
            <w:tcW w:w="2266" w:type="dxa"/>
          </w:tcPr>
          <w:p>
            <w:pPr>
              <w:pStyle w:val="nTable"/>
              <w:spacing w:after="40"/>
              <w:ind w:left="-28"/>
              <w:rPr>
                <w:snapToGrid w:val="0"/>
                <w:vertAlign w:val="superscript"/>
              </w:rPr>
            </w:pPr>
            <w:r>
              <w:rPr>
                <w:i/>
                <w:snapToGrid w:val="0"/>
              </w:rPr>
              <w:t>Criminal Investigation (Consequential Provisions) Act 2006</w:t>
            </w:r>
            <w:r>
              <w:rPr>
                <w:iCs/>
                <w:snapToGrid w:val="0"/>
              </w:rPr>
              <w:t xml:space="preserve"> s. 73</w:t>
            </w:r>
          </w:p>
        </w:tc>
        <w:tc>
          <w:tcPr>
            <w:tcW w:w="1134" w:type="dxa"/>
            <w:gridSpan w:val="2"/>
          </w:tcPr>
          <w:p>
            <w:pPr>
              <w:pStyle w:val="nTable"/>
              <w:spacing w:after="40"/>
              <w:rPr>
                <w:snapToGrid w:val="0"/>
              </w:rPr>
            </w:pPr>
            <w:r>
              <w:rPr>
                <w:snapToGrid w:val="0"/>
              </w:rPr>
              <w:t>59 of 2006</w:t>
            </w:r>
          </w:p>
        </w:tc>
        <w:tc>
          <w:tcPr>
            <w:tcW w:w="1134" w:type="dxa"/>
            <w:gridSpan w:val="3"/>
          </w:tcPr>
          <w:p>
            <w:pPr>
              <w:pStyle w:val="nTable"/>
              <w:spacing w:after="40"/>
            </w:pPr>
            <w:r>
              <w:t>16 Nov 2006</w:t>
            </w:r>
          </w:p>
        </w:tc>
        <w:tc>
          <w:tcPr>
            <w:tcW w:w="2553" w:type="dxa"/>
          </w:tcPr>
          <w:p>
            <w:pPr>
              <w:pStyle w:val="nTable"/>
              <w:spacing w:after="40"/>
            </w:pPr>
            <w:r>
              <w:rPr>
                <w:snapToGrid w:val="0"/>
              </w:rPr>
              <w:t xml:space="preserve">1 Jul 2007 (see s. 2 and </w:t>
            </w:r>
            <w:r>
              <w:rPr>
                <w:i/>
                <w:iCs/>
                <w:snapToGrid w:val="0"/>
              </w:rPr>
              <w:t>Gazette</w:t>
            </w:r>
            <w:r>
              <w:rPr>
                <w:snapToGrid w:val="0"/>
              </w:rPr>
              <w:t xml:space="preserve"> 22 Jun 2007 p. 2838)</w:t>
            </w:r>
          </w:p>
        </w:tc>
      </w:tr>
      <w:tr>
        <w:trPr>
          <w:cantSplit/>
        </w:trPr>
        <w:tc>
          <w:tcPr>
            <w:tcW w:w="2266" w:type="dxa"/>
          </w:tcPr>
          <w:p>
            <w:pPr>
              <w:pStyle w:val="nTable"/>
              <w:spacing w:after="40"/>
              <w:ind w:left="-28"/>
              <w:rPr>
                <w:iCs/>
                <w:snapToGrid w:val="0"/>
              </w:rPr>
            </w:pPr>
            <w:r>
              <w:rPr>
                <w:i/>
                <w:snapToGrid w:val="0"/>
              </w:rPr>
              <w:t>Chemistry Centre (WA) Act 2007</w:t>
            </w:r>
            <w:r>
              <w:rPr>
                <w:iCs/>
                <w:snapToGrid w:val="0"/>
              </w:rPr>
              <w:t xml:space="preserve"> s. 43</w:t>
            </w:r>
          </w:p>
        </w:tc>
        <w:tc>
          <w:tcPr>
            <w:tcW w:w="1134" w:type="dxa"/>
            <w:gridSpan w:val="2"/>
          </w:tcPr>
          <w:p>
            <w:pPr>
              <w:pStyle w:val="nTable"/>
              <w:spacing w:after="40"/>
              <w:rPr>
                <w:snapToGrid w:val="0"/>
              </w:rPr>
            </w:pPr>
            <w:r>
              <w:rPr>
                <w:snapToGrid w:val="0"/>
              </w:rPr>
              <w:t>10 of 2007</w:t>
            </w:r>
          </w:p>
        </w:tc>
        <w:tc>
          <w:tcPr>
            <w:tcW w:w="1134" w:type="dxa"/>
            <w:gridSpan w:val="3"/>
          </w:tcPr>
          <w:p>
            <w:pPr>
              <w:pStyle w:val="nTable"/>
              <w:spacing w:after="40"/>
            </w:pPr>
            <w:r>
              <w:t>29 Jun 2007</w:t>
            </w:r>
          </w:p>
        </w:tc>
        <w:tc>
          <w:tcPr>
            <w:tcW w:w="2553" w:type="dxa"/>
          </w:tcPr>
          <w:p>
            <w:pPr>
              <w:pStyle w:val="nTable"/>
              <w:spacing w:after="40"/>
            </w:pPr>
            <w:r>
              <w:rPr>
                <w:snapToGrid w:val="0"/>
              </w:rPr>
              <w:t xml:space="preserve">1 Aug 2007 (see s. 2(1) and </w:t>
            </w:r>
            <w:r>
              <w:rPr>
                <w:i/>
                <w:iCs/>
                <w:snapToGrid w:val="0"/>
              </w:rPr>
              <w:t>Gazette</w:t>
            </w:r>
            <w:r>
              <w:rPr>
                <w:snapToGrid w:val="0"/>
              </w:rPr>
              <w:t xml:space="preserve"> 27 Jul 2007 p. 3735)</w:t>
            </w:r>
          </w:p>
        </w:tc>
      </w:tr>
      <w:tr>
        <w:trPr>
          <w:cantSplit/>
        </w:trPr>
        <w:tc>
          <w:tcPr>
            <w:tcW w:w="2266"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93</w:t>
            </w:r>
          </w:p>
        </w:tc>
        <w:tc>
          <w:tcPr>
            <w:tcW w:w="1134" w:type="dxa"/>
            <w:gridSpan w:val="2"/>
          </w:tcPr>
          <w:p>
            <w:pPr>
              <w:pStyle w:val="nTable"/>
              <w:spacing w:after="40"/>
              <w:rPr>
                <w:snapToGrid w:val="0"/>
              </w:rPr>
            </w:pPr>
            <w:r>
              <w:rPr>
                <w:snapToGrid w:val="0"/>
              </w:rPr>
              <w:t>24 of 2007 (as amended by No. 46 of 2010 s. 66)</w:t>
            </w:r>
          </w:p>
        </w:tc>
        <w:tc>
          <w:tcPr>
            <w:tcW w:w="1134" w:type="dxa"/>
            <w:gridSpan w:val="3"/>
          </w:tcPr>
          <w:p>
            <w:pPr>
              <w:pStyle w:val="nTable"/>
              <w:spacing w:after="40"/>
            </w:pPr>
            <w:r>
              <w:rPr>
                <w:snapToGrid w:val="0"/>
              </w:rPr>
              <w:t>12 Oct 2007</w:t>
            </w:r>
          </w:p>
        </w:tc>
        <w:tc>
          <w:tcPr>
            <w:tcW w:w="2553" w:type="dxa"/>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blPrEx>
          <w:tblBorders>
            <w:top w:val="single" w:sz="8" w:space="0" w:color="auto"/>
            <w:bottom w:val="single" w:sz="8" w:space="0" w:color="auto"/>
            <w:insideH w:val="single" w:sz="8" w:space="0" w:color="auto"/>
          </w:tblBorders>
        </w:tblPrEx>
        <w:trPr>
          <w:cantSplit/>
        </w:trPr>
        <w:tc>
          <w:tcPr>
            <w:tcW w:w="2266" w:type="dxa"/>
            <w:tcBorders>
              <w:top w:val="nil"/>
              <w:bottom w:val="nil"/>
            </w:tcBorders>
          </w:tcPr>
          <w:p>
            <w:pPr>
              <w:pStyle w:val="nTable"/>
              <w:spacing w:after="40"/>
            </w:pPr>
            <w:r>
              <w:rPr>
                <w:i/>
                <w:snapToGrid w:val="0"/>
              </w:rPr>
              <w:t>Medical Practitioners Act 2008</w:t>
            </w:r>
            <w:r>
              <w:t xml:space="preserve"> Sch. 3 cl. 46</w:t>
            </w:r>
          </w:p>
        </w:tc>
        <w:tc>
          <w:tcPr>
            <w:tcW w:w="1134" w:type="dxa"/>
            <w:gridSpan w:val="2"/>
            <w:tcBorders>
              <w:top w:val="nil"/>
              <w:bottom w:val="nil"/>
            </w:tcBorders>
          </w:tcPr>
          <w:p>
            <w:pPr>
              <w:pStyle w:val="nTable"/>
              <w:spacing w:after="40"/>
            </w:pPr>
            <w:r>
              <w:t>22 of 2008</w:t>
            </w:r>
          </w:p>
        </w:tc>
        <w:tc>
          <w:tcPr>
            <w:tcW w:w="1134" w:type="dxa"/>
            <w:gridSpan w:val="3"/>
            <w:tcBorders>
              <w:top w:val="nil"/>
              <w:bottom w:val="nil"/>
            </w:tcBorders>
          </w:tcPr>
          <w:p>
            <w:pPr>
              <w:pStyle w:val="nTable"/>
              <w:spacing w:after="40"/>
            </w:pPr>
            <w:r>
              <w:t>27 May 2008</w:t>
            </w:r>
          </w:p>
        </w:tc>
        <w:tc>
          <w:tcPr>
            <w:tcW w:w="2553"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7"/>
            <w:tcBorders>
              <w:top w:val="nil"/>
              <w:bottom w:val="nil"/>
            </w:tcBorders>
          </w:tcPr>
          <w:p>
            <w:pPr>
              <w:pStyle w:val="nTable"/>
              <w:spacing w:after="40"/>
              <w:rPr>
                <w:b/>
              </w:rPr>
            </w:pPr>
            <w:r>
              <w:rPr>
                <w:b/>
              </w:rPr>
              <w:t xml:space="preserve">Reprint 8: The </w:t>
            </w:r>
            <w:r>
              <w:rPr>
                <w:b/>
                <w:i/>
              </w:rPr>
              <w:t>Poisons Act 1964</w:t>
            </w:r>
            <w:r>
              <w:rPr>
                <w:i/>
              </w:rPr>
              <w:t xml:space="preserve"> </w:t>
            </w:r>
            <w:r>
              <w:rPr>
                <w:b/>
              </w:rPr>
              <w:t xml:space="preserve">as at 13 Feb 2009 </w:t>
            </w:r>
            <w:r>
              <w:t xml:space="preserve">(includes amendments listed above except the </w:t>
            </w:r>
            <w:r>
              <w:rPr>
                <w:i/>
                <w:snapToGrid w:val="0"/>
              </w:rPr>
              <w:t>Biosecurity and Agriculture Management (Repeal and Consequential Provisions) Act 2007</w:t>
            </w:r>
            <w:r>
              <w:t>)</w:t>
            </w:r>
          </w:p>
        </w:tc>
      </w:tr>
      <w:tr>
        <w:trPr>
          <w:cantSplit/>
        </w:trPr>
        <w:tc>
          <w:tcPr>
            <w:tcW w:w="2266" w:type="dxa"/>
          </w:tcPr>
          <w:p>
            <w:pPr>
              <w:pStyle w:val="nTable"/>
              <w:spacing w:after="40"/>
              <w:ind w:right="113"/>
              <w:rPr>
                <w:rFonts w:ascii="Times" w:hAnsi="Times"/>
                <w:iCs/>
              </w:rPr>
            </w:pPr>
            <w:r>
              <w:rPr>
                <w:rFonts w:ascii="Times" w:hAnsi="Times"/>
                <w:i/>
              </w:rPr>
              <w:t>Statutes (Repeals and Miscellaneous Amendments) Act 2009</w:t>
            </w:r>
            <w:r>
              <w:rPr>
                <w:rFonts w:ascii="Times" w:hAnsi="Times"/>
                <w:iCs/>
              </w:rPr>
              <w:t xml:space="preserve"> s. 101</w:t>
            </w:r>
          </w:p>
        </w:tc>
        <w:tc>
          <w:tcPr>
            <w:tcW w:w="1134" w:type="dxa"/>
            <w:gridSpan w:val="2"/>
          </w:tcPr>
          <w:p>
            <w:pPr>
              <w:pStyle w:val="nTable"/>
              <w:spacing w:after="40"/>
              <w:rPr>
                <w:rFonts w:ascii="Times" w:hAnsi="Times"/>
              </w:rPr>
            </w:pPr>
            <w:r>
              <w:rPr>
                <w:rFonts w:ascii="Times" w:hAnsi="Times"/>
              </w:rPr>
              <w:t xml:space="preserve">8 of 2009 </w:t>
            </w:r>
          </w:p>
        </w:tc>
        <w:tc>
          <w:tcPr>
            <w:tcW w:w="1134" w:type="dxa"/>
            <w:gridSpan w:val="3"/>
          </w:tcPr>
          <w:p>
            <w:pPr>
              <w:pStyle w:val="nTable"/>
              <w:spacing w:after="40"/>
              <w:rPr>
                <w:rFonts w:ascii="Times" w:hAnsi="Times"/>
              </w:rPr>
            </w:pPr>
            <w:r>
              <w:rPr>
                <w:rFonts w:ascii="Times" w:hAnsi="Times"/>
              </w:rPr>
              <w:t>21 May 2009</w:t>
            </w:r>
          </w:p>
        </w:tc>
        <w:tc>
          <w:tcPr>
            <w:tcW w:w="2553" w:type="dxa"/>
          </w:tcPr>
          <w:p>
            <w:pPr>
              <w:pStyle w:val="nTable"/>
              <w:spacing w:after="40"/>
              <w:rPr>
                <w:rFonts w:ascii="Times" w:hAnsi="Times"/>
              </w:rPr>
            </w:pPr>
            <w:r>
              <w:rPr>
                <w:rFonts w:ascii="Times" w:hAnsi="Times"/>
              </w:rPr>
              <w:t>22 May 2009 (see s. 2(b))</w:t>
            </w:r>
          </w:p>
        </w:tc>
      </w:tr>
      <w:tr>
        <w:trPr>
          <w:cantSplit/>
        </w:trPr>
        <w:tc>
          <w:tcPr>
            <w:tcW w:w="2266" w:type="dxa"/>
          </w:tcPr>
          <w:p>
            <w:pPr>
              <w:pStyle w:val="nTable"/>
              <w:spacing w:after="40"/>
              <w:ind w:right="113"/>
              <w:rPr>
                <w:rFonts w:ascii="Times" w:hAnsi="Times"/>
                <w:iCs/>
              </w:rPr>
            </w:pPr>
            <w:r>
              <w:rPr>
                <w:rFonts w:ascii="Times" w:hAnsi="Times"/>
                <w:i/>
              </w:rPr>
              <w:t>Acts Amendment (Bankruptcy) Act 2009</w:t>
            </w:r>
            <w:r>
              <w:rPr>
                <w:rFonts w:ascii="Times" w:hAnsi="Times"/>
                <w:iCs/>
              </w:rPr>
              <w:t xml:space="preserve"> s. 67</w:t>
            </w:r>
          </w:p>
        </w:tc>
        <w:tc>
          <w:tcPr>
            <w:tcW w:w="1134" w:type="dxa"/>
            <w:gridSpan w:val="2"/>
          </w:tcPr>
          <w:p>
            <w:pPr>
              <w:pStyle w:val="nTable"/>
              <w:spacing w:after="40"/>
              <w:rPr>
                <w:rFonts w:ascii="Times" w:hAnsi="Times"/>
              </w:rPr>
            </w:pPr>
            <w:r>
              <w:rPr>
                <w:rFonts w:ascii="Times" w:hAnsi="Times"/>
              </w:rPr>
              <w:t>18 of 2009</w:t>
            </w:r>
          </w:p>
        </w:tc>
        <w:tc>
          <w:tcPr>
            <w:tcW w:w="1134" w:type="dxa"/>
            <w:gridSpan w:val="3"/>
          </w:tcPr>
          <w:p>
            <w:pPr>
              <w:pStyle w:val="nTable"/>
              <w:spacing w:after="40"/>
              <w:rPr>
                <w:rFonts w:ascii="Times" w:hAnsi="Times"/>
              </w:rPr>
            </w:pPr>
            <w:r>
              <w:rPr>
                <w:rFonts w:ascii="Times" w:hAnsi="Times"/>
              </w:rPr>
              <w:t>16 Sep 2009</w:t>
            </w:r>
          </w:p>
        </w:tc>
        <w:tc>
          <w:tcPr>
            <w:tcW w:w="2553" w:type="dxa"/>
          </w:tcPr>
          <w:p>
            <w:pPr>
              <w:pStyle w:val="nTable"/>
              <w:spacing w:after="40"/>
              <w:rPr>
                <w:rFonts w:ascii="Times" w:hAnsi="Times"/>
              </w:rPr>
            </w:pPr>
            <w:r>
              <w:rPr>
                <w:rFonts w:ascii="Times" w:hAnsi="Times"/>
              </w:rPr>
              <w:t>17 Sep 2009 (see s. 2(b))</w:t>
            </w:r>
          </w:p>
        </w:tc>
      </w:tr>
      <w:tr>
        <w:trPr>
          <w:cantSplit/>
        </w:trPr>
        <w:tc>
          <w:tcPr>
            <w:tcW w:w="2266" w:type="dxa"/>
          </w:tcPr>
          <w:p>
            <w:pPr>
              <w:pStyle w:val="nTable"/>
              <w:spacing w:after="40"/>
              <w:ind w:right="113"/>
              <w:rPr>
                <w:rFonts w:ascii="Times" w:hAnsi="Times"/>
                <w:i/>
              </w:rPr>
            </w:pPr>
            <w:r>
              <w:rPr>
                <w:rFonts w:ascii="Times" w:hAnsi="Times"/>
                <w:i/>
                <w:snapToGrid w:val="0"/>
              </w:rPr>
              <w:t xml:space="preserve">Health Practitioner Regulation National Law (WA) Act 2010 </w:t>
            </w:r>
            <w:r>
              <w:rPr>
                <w:rFonts w:ascii="Times" w:hAnsi="Times"/>
                <w:iCs/>
                <w:snapToGrid w:val="0"/>
              </w:rPr>
              <w:t>Pt. 5 Div. 40</w:t>
            </w:r>
          </w:p>
        </w:tc>
        <w:tc>
          <w:tcPr>
            <w:tcW w:w="1134" w:type="dxa"/>
            <w:gridSpan w:val="2"/>
          </w:tcPr>
          <w:p>
            <w:pPr>
              <w:pStyle w:val="nTable"/>
              <w:spacing w:after="40"/>
              <w:rPr>
                <w:rFonts w:ascii="Times" w:hAnsi="Times"/>
              </w:rPr>
            </w:pPr>
            <w:r>
              <w:rPr>
                <w:rFonts w:ascii="Times" w:hAnsi="Times"/>
                <w:snapToGrid w:val="0"/>
              </w:rPr>
              <w:t>35 of 2010</w:t>
            </w:r>
          </w:p>
        </w:tc>
        <w:tc>
          <w:tcPr>
            <w:tcW w:w="1134" w:type="dxa"/>
            <w:gridSpan w:val="3"/>
          </w:tcPr>
          <w:p>
            <w:pPr>
              <w:pStyle w:val="nTable"/>
              <w:spacing w:after="40"/>
              <w:rPr>
                <w:rFonts w:ascii="Times" w:hAnsi="Times"/>
              </w:rPr>
            </w:pPr>
            <w:r>
              <w:rPr>
                <w:rFonts w:ascii="Times" w:hAnsi="Times"/>
                <w:snapToGrid w:val="0"/>
              </w:rPr>
              <w:t>30 Aug 2010</w:t>
            </w:r>
          </w:p>
        </w:tc>
        <w:tc>
          <w:tcPr>
            <w:tcW w:w="2553" w:type="dxa"/>
          </w:tcPr>
          <w:p>
            <w:pPr>
              <w:pStyle w:val="nTable"/>
              <w:spacing w:after="40"/>
              <w:rPr>
                <w:rFonts w:ascii="Times" w:hAnsi="Times"/>
              </w:rPr>
            </w:pPr>
            <w:r>
              <w:rPr>
                <w:rFonts w:ascii="Times" w:hAnsi="Times"/>
                <w:snapToGrid w:val="0"/>
              </w:rPr>
              <w:t xml:space="preserve">18 Oct 2010 (see s. 2(b) and </w:t>
            </w:r>
            <w:r>
              <w:rPr>
                <w:rFonts w:ascii="Times" w:hAnsi="Times"/>
                <w:i/>
                <w:snapToGrid w:val="0"/>
              </w:rPr>
              <w:t xml:space="preserve">Gazette </w:t>
            </w:r>
            <w:r>
              <w:rPr>
                <w:rFonts w:ascii="Times" w:hAnsi="Times"/>
                <w:iCs/>
                <w:snapToGrid w:val="0"/>
              </w:rPr>
              <w:t>1 Oct 2010 p. 5075</w:t>
            </w:r>
            <w:r>
              <w:rPr>
                <w:rFonts w:ascii="Times" w:hAnsi="Times"/>
                <w:iCs/>
                <w:snapToGrid w:val="0"/>
              </w:rPr>
              <w:noBreakHyphen/>
              <w:t>6</w:t>
            </w:r>
            <w:r>
              <w:rPr>
                <w:rFonts w:ascii="Times" w:hAnsi="Times"/>
                <w:snapToGrid w:val="0"/>
              </w:rPr>
              <w:t>)</w:t>
            </w:r>
          </w:p>
        </w:tc>
      </w:tr>
      <w:tr>
        <w:trPr>
          <w:cantSplit/>
        </w:trPr>
        <w:tc>
          <w:tcPr>
            <w:tcW w:w="4534" w:type="dxa"/>
            <w:gridSpan w:val="6"/>
          </w:tcPr>
          <w:p>
            <w:pPr>
              <w:pStyle w:val="nTable"/>
              <w:spacing w:after="40"/>
              <w:rPr>
                <w:rFonts w:ascii="Times" w:hAnsi="Times"/>
              </w:rPr>
            </w:pPr>
            <w:r>
              <w:rPr>
                <w:rFonts w:ascii="Times" w:hAnsi="Times"/>
                <w:i/>
              </w:rPr>
              <w:t xml:space="preserve">Poisons (Appendix A Amendment) Order 2010 </w:t>
            </w:r>
            <w:r>
              <w:rPr>
                <w:rFonts w:ascii="Times" w:hAnsi="Times"/>
              </w:rPr>
              <w:t xml:space="preserve">published in </w:t>
            </w:r>
            <w:r>
              <w:rPr>
                <w:rFonts w:ascii="Times" w:hAnsi="Times"/>
                <w:i/>
              </w:rPr>
              <w:t xml:space="preserve">Gazette </w:t>
            </w:r>
            <w:r>
              <w:rPr>
                <w:rFonts w:ascii="Times" w:hAnsi="Times"/>
              </w:rPr>
              <w:t>22 Oct 2010 p. 5216</w:t>
            </w:r>
            <w:r>
              <w:rPr>
                <w:rFonts w:ascii="Times" w:hAnsi="Times"/>
              </w:rPr>
              <w:noBreakHyphen/>
              <w:t>17</w:t>
            </w:r>
          </w:p>
        </w:tc>
        <w:tc>
          <w:tcPr>
            <w:tcW w:w="2553" w:type="dxa"/>
          </w:tcPr>
          <w:p>
            <w:pPr>
              <w:pStyle w:val="nTable"/>
              <w:spacing w:after="40"/>
              <w:rPr>
                <w:rFonts w:ascii="Times" w:hAnsi="Times"/>
              </w:rPr>
            </w:pPr>
            <w:r>
              <w:rPr>
                <w:rFonts w:ascii="Times" w:hAnsi="Times"/>
                <w:snapToGrid w:val="0"/>
              </w:rPr>
              <w:t>cl. 1 and 2: 22 Oct 2010 (see cl. 2(a));</w:t>
            </w:r>
            <w:r>
              <w:rPr>
                <w:rFonts w:ascii="Times" w:hAnsi="Times"/>
                <w:snapToGrid w:val="0"/>
              </w:rPr>
              <w:br/>
              <w:t>Order other than cl. 1 and 2: 23 Oct 2010 (see cl. 2(b))</w:t>
            </w:r>
          </w:p>
        </w:tc>
      </w:tr>
      <w:tr>
        <w:trPr>
          <w:cantSplit/>
        </w:trPr>
        <w:tc>
          <w:tcPr>
            <w:tcW w:w="2266" w:type="dxa"/>
          </w:tcPr>
          <w:p>
            <w:pPr>
              <w:pStyle w:val="nTable"/>
              <w:spacing w:after="40"/>
              <w:ind w:right="113"/>
              <w:rPr>
                <w:rFonts w:ascii="Times" w:hAnsi="Times"/>
                <w:i/>
              </w:rPr>
            </w:pPr>
            <w:r>
              <w:rPr>
                <w:rFonts w:ascii="Times" w:hAnsi="Times"/>
                <w:i/>
                <w:snapToGrid w:val="0"/>
              </w:rPr>
              <w:t>Agriculture and Related Resources Protection Amendment Act 2010</w:t>
            </w:r>
            <w:r>
              <w:rPr>
                <w:rFonts w:ascii="Times" w:hAnsi="Times"/>
                <w:iCs/>
                <w:snapToGrid w:val="0"/>
              </w:rPr>
              <w:t> s. 71</w:t>
            </w:r>
          </w:p>
        </w:tc>
        <w:tc>
          <w:tcPr>
            <w:tcW w:w="1134" w:type="dxa"/>
            <w:gridSpan w:val="2"/>
          </w:tcPr>
          <w:p>
            <w:pPr>
              <w:pStyle w:val="nTable"/>
              <w:spacing w:after="40"/>
              <w:rPr>
                <w:rFonts w:ascii="Times" w:hAnsi="Times"/>
              </w:rPr>
            </w:pPr>
            <w:r>
              <w:rPr>
                <w:rFonts w:ascii="Times" w:hAnsi="Times"/>
                <w:snapToGrid w:val="0"/>
              </w:rPr>
              <w:t>46 of 2010</w:t>
            </w:r>
          </w:p>
        </w:tc>
        <w:tc>
          <w:tcPr>
            <w:tcW w:w="1134" w:type="dxa"/>
            <w:gridSpan w:val="3"/>
          </w:tcPr>
          <w:p>
            <w:pPr>
              <w:pStyle w:val="nTable"/>
              <w:spacing w:after="40"/>
              <w:rPr>
                <w:rFonts w:ascii="Times" w:hAnsi="Times"/>
              </w:rPr>
            </w:pPr>
            <w:r>
              <w:rPr>
                <w:rFonts w:ascii="Times" w:hAnsi="Times"/>
                <w:snapToGrid w:val="0"/>
              </w:rPr>
              <w:t>28 Oct 2010</w:t>
            </w:r>
          </w:p>
        </w:tc>
        <w:tc>
          <w:tcPr>
            <w:tcW w:w="2553" w:type="dxa"/>
          </w:tcPr>
          <w:p>
            <w:pPr>
              <w:pStyle w:val="nTable"/>
              <w:spacing w:after="40"/>
              <w:rPr>
                <w:rFonts w:ascii="Times" w:hAnsi="Times"/>
              </w:rPr>
            </w:pPr>
            <w:r>
              <w:rPr>
                <w:rFonts w:ascii="Times" w:hAnsi="Times"/>
                <w:snapToGrid w:val="0"/>
              </w:rPr>
              <w:t xml:space="preserve">18 Dec 2010 (see s. 2(b) and </w:t>
            </w:r>
            <w:r>
              <w:rPr>
                <w:rFonts w:ascii="Times" w:hAnsi="Times"/>
                <w:i/>
                <w:iCs/>
                <w:snapToGrid w:val="0"/>
              </w:rPr>
              <w:t>Gazette</w:t>
            </w:r>
            <w:r>
              <w:rPr>
                <w:rFonts w:ascii="Times" w:hAnsi="Times"/>
                <w:snapToGrid w:val="0"/>
              </w:rPr>
              <w:t xml:space="preserve"> 17 Dec 2010 p. 6349)</w:t>
            </w:r>
          </w:p>
        </w:tc>
      </w:tr>
      <w:tr>
        <w:trPr>
          <w:cantSplit/>
        </w:trPr>
        <w:tc>
          <w:tcPr>
            <w:tcW w:w="4534" w:type="dxa"/>
            <w:gridSpan w:val="6"/>
            <w:shd w:val="clear" w:color="auto" w:fill="auto"/>
          </w:tcPr>
          <w:p>
            <w:pPr>
              <w:pStyle w:val="nTable"/>
              <w:spacing w:after="40"/>
              <w:rPr>
                <w:rFonts w:ascii="Times" w:hAnsi="Times"/>
                <w:snapToGrid w:val="0"/>
              </w:rPr>
            </w:pPr>
            <w:r>
              <w:rPr>
                <w:rFonts w:ascii="Times" w:hAnsi="Times"/>
                <w:i/>
                <w:snapToGrid w:val="0"/>
              </w:rPr>
              <w:t>Poisons (Appendix A Amendment) Order 2011</w:t>
            </w:r>
            <w:r>
              <w:rPr>
                <w:rFonts w:ascii="Times" w:hAnsi="Times"/>
                <w:snapToGrid w:val="0"/>
              </w:rPr>
              <w:t xml:space="preserve"> published in </w:t>
            </w:r>
            <w:r>
              <w:rPr>
                <w:rFonts w:ascii="Times" w:hAnsi="Times"/>
                <w:i/>
                <w:snapToGrid w:val="0"/>
              </w:rPr>
              <w:t>Gazette</w:t>
            </w:r>
            <w:r>
              <w:rPr>
                <w:rFonts w:ascii="Times" w:hAnsi="Times"/>
                <w:snapToGrid w:val="0"/>
              </w:rPr>
              <w:t xml:space="preserve"> 17 Jun 2011 p. 2152</w:t>
            </w:r>
          </w:p>
        </w:tc>
        <w:tc>
          <w:tcPr>
            <w:tcW w:w="2553" w:type="dxa"/>
            <w:shd w:val="clear" w:color="auto" w:fill="auto"/>
          </w:tcPr>
          <w:p>
            <w:pPr>
              <w:pStyle w:val="nTable"/>
              <w:spacing w:after="40"/>
              <w:rPr>
                <w:rFonts w:ascii="Times" w:hAnsi="Times"/>
                <w:snapToGrid w:val="0"/>
              </w:rPr>
            </w:pPr>
            <w:r>
              <w:rPr>
                <w:rFonts w:ascii="Times" w:hAnsi="Times"/>
                <w:snapToGrid w:val="0"/>
              </w:rPr>
              <w:t>cl. 1 and 2: 17 Jun 2011 (see cl. 2(a));</w:t>
            </w:r>
            <w:r>
              <w:rPr>
                <w:rFonts w:ascii="Times" w:hAnsi="Times"/>
                <w:snapToGrid w:val="0"/>
              </w:rPr>
              <w:br/>
              <w:t>Order other than cl. 1 and 2: 18 Jun 2011 (see cl. 2(b))</w:t>
            </w:r>
          </w:p>
        </w:tc>
      </w:tr>
      <w:tr>
        <w:trPr>
          <w:cantSplit/>
        </w:trPr>
        <w:tc>
          <w:tcPr>
            <w:tcW w:w="4534" w:type="dxa"/>
            <w:gridSpan w:val="6"/>
            <w:shd w:val="clear" w:color="auto" w:fill="auto"/>
          </w:tcPr>
          <w:p>
            <w:pPr>
              <w:pStyle w:val="nTable"/>
              <w:spacing w:after="40"/>
              <w:rPr>
                <w:rFonts w:ascii="Times" w:hAnsi="Times"/>
                <w:i/>
                <w:snapToGrid w:val="0"/>
              </w:rPr>
            </w:pPr>
            <w:r>
              <w:rPr>
                <w:rFonts w:ascii="Times" w:hAnsi="Times"/>
                <w:i/>
                <w:snapToGrid w:val="0"/>
              </w:rPr>
              <w:t>Poisons (Appendix A Amendment) Order (No. 2) 2011</w:t>
            </w:r>
            <w:r>
              <w:rPr>
                <w:rFonts w:ascii="Times" w:hAnsi="Times"/>
                <w:snapToGrid w:val="0"/>
              </w:rPr>
              <w:t xml:space="preserve"> published in </w:t>
            </w:r>
            <w:r>
              <w:rPr>
                <w:rFonts w:ascii="Times" w:hAnsi="Times"/>
                <w:i/>
                <w:snapToGrid w:val="0"/>
              </w:rPr>
              <w:t>Gazette</w:t>
            </w:r>
            <w:r>
              <w:rPr>
                <w:rFonts w:ascii="Times" w:hAnsi="Times"/>
                <w:snapToGrid w:val="0"/>
              </w:rPr>
              <w:t xml:space="preserve"> 5 Aug 2011 p. 3182</w:t>
            </w:r>
            <w:r>
              <w:rPr>
                <w:rFonts w:ascii="Times" w:hAnsi="Times"/>
                <w:snapToGrid w:val="0"/>
              </w:rPr>
              <w:noBreakHyphen/>
              <w:t>3</w:t>
            </w:r>
          </w:p>
        </w:tc>
        <w:tc>
          <w:tcPr>
            <w:tcW w:w="2553" w:type="dxa"/>
            <w:shd w:val="clear" w:color="auto" w:fill="auto"/>
          </w:tcPr>
          <w:p>
            <w:pPr>
              <w:pStyle w:val="nTable"/>
              <w:spacing w:after="40"/>
              <w:rPr>
                <w:rFonts w:ascii="Times" w:hAnsi="Times"/>
                <w:snapToGrid w:val="0"/>
              </w:rPr>
            </w:pPr>
            <w:r>
              <w:rPr>
                <w:rFonts w:ascii="Times" w:hAnsi="Times"/>
                <w:snapToGrid w:val="0"/>
              </w:rPr>
              <w:t>cl. 1 and 2: 5 Aug 2011 (see cl. 2(a));</w:t>
            </w:r>
            <w:r>
              <w:rPr>
                <w:rFonts w:ascii="Times" w:hAnsi="Times"/>
                <w:snapToGrid w:val="0"/>
              </w:rPr>
              <w:br/>
              <w:t>Order other than cl. 1 and 2: 6 Aug 2011 (see cl. 2(b))</w:t>
            </w:r>
          </w:p>
        </w:tc>
      </w:tr>
      <w:tr>
        <w:trPr>
          <w:cantSplit/>
        </w:trPr>
        <w:tc>
          <w:tcPr>
            <w:tcW w:w="7087" w:type="dxa"/>
            <w:gridSpan w:val="7"/>
            <w:shd w:val="clear" w:color="auto" w:fill="auto"/>
          </w:tcPr>
          <w:p>
            <w:pPr>
              <w:pStyle w:val="nTable"/>
              <w:spacing w:after="40"/>
              <w:rPr>
                <w:snapToGrid w:val="0"/>
                <w:spacing w:val="-2"/>
              </w:rPr>
            </w:pPr>
            <w:r>
              <w:rPr>
                <w:b/>
              </w:rPr>
              <w:t xml:space="preserve">Reprint 9: The </w:t>
            </w:r>
            <w:r>
              <w:rPr>
                <w:b/>
                <w:i/>
              </w:rPr>
              <w:t>Poisons Act 1964</w:t>
            </w:r>
            <w:r>
              <w:rPr>
                <w:i/>
              </w:rPr>
              <w:t xml:space="preserve"> </w:t>
            </w:r>
            <w:r>
              <w:rPr>
                <w:b/>
              </w:rPr>
              <w:t xml:space="preserve">as at 19 Aug 2011 </w:t>
            </w:r>
            <w:r>
              <w:t xml:space="preserve">(includes amendments listed above except the </w:t>
            </w:r>
            <w:r>
              <w:rPr>
                <w:i/>
                <w:snapToGrid w:val="0"/>
              </w:rPr>
              <w:t>Biosecurity and Agriculture Management (Repeal and Consequential Provisions) Act 2007</w:t>
            </w:r>
            <w:r>
              <w:t>)</w:t>
            </w:r>
          </w:p>
        </w:tc>
      </w:tr>
      <w:tr>
        <w:trPr>
          <w:cantSplit/>
        </w:trPr>
        <w:tc>
          <w:tcPr>
            <w:tcW w:w="4534" w:type="dxa"/>
            <w:gridSpan w:val="6"/>
            <w:shd w:val="clear" w:color="auto" w:fill="auto"/>
          </w:tcPr>
          <w:p>
            <w:pPr>
              <w:pStyle w:val="nTable"/>
              <w:spacing w:after="40"/>
              <w:rPr>
                <w:rFonts w:ascii="Times" w:hAnsi="Times"/>
                <w:i/>
                <w:snapToGrid w:val="0"/>
              </w:rPr>
            </w:pPr>
            <w:r>
              <w:rPr>
                <w:rFonts w:ascii="Times" w:hAnsi="Times"/>
                <w:i/>
                <w:snapToGrid w:val="0"/>
              </w:rPr>
              <w:t>Poisons (Appendix A Amendment) Order 2012</w:t>
            </w:r>
            <w:r>
              <w:rPr>
                <w:rFonts w:ascii="Times" w:hAnsi="Times"/>
                <w:snapToGrid w:val="0"/>
              </w:rPr>
              <w:t xml:space="preserve"> published in </w:t>
            </w:r>
            <w:r>
              <w:rPr>
                <w:rFonts w:ascii="Times" w:hAnsi="Times"/>
                <w:i/>
                <w:snapToGrid w:val="0"/>
              </w:rPr>
              <w:t>Gazette</w:t>
            </w:r>
            <w:r>
              <w:rPr>
                <w:rFonts w:ascii="Times" w:hAnsi="Times"/>
                <w:snapToGrid w:val="0"/>
              </w:rPr>
              <w:t xml:space="preserve"> 10 Feb 2012 p. 651</w:t>
            </w:r>
          </w:p>
        </w:tc>
        <w:tc>
          <w:tcPr>
            <w:tcW w:w="2553" w:type="dxa"/>
            <w:shd w:val="clear" w:color="auto" w:fill="auto"/>
          </w:tcPr>
          <w:p>
            <w:pPr>
              <w:pStyle w:val="nTable"/>
              <w:spacing w:after="40"/>
              <w:rPr>
                <w:rFonts w:ascii="Times" w:hAnsi="Times"/>
                <w:snapToGrid w:val="0"/>
              </w:rPr>
            </w:pPr>
            <w:r>
              <w:rPr>
                <w:rFonts w:ascii="Times" w:hAnsi="Times"/>
                <w:snapToGrid w:val="0"/>
              </w:rPr>
              <w:t>cl. 1 and 2: 10 Feb 2012 (see cl. 2(a));</w:t>
            </w:r>
            <w:r>
              <w:rPr>
                <w:rFonts w:ascii="Times" w:hAnsi="Times"/>
                <w:snapToGrid w:val="0"/>
              </w:rPr>
              <w:br/>
              <w:t>Order other than cl. 1 and 2: 11 Feb 2012 (see cl. 2(b))</w:t>
            </w:r>
          </w:p>
        </w:tc>
      </w:tr>
      <w:tr>
        <w:trPr>
          <w:cantSplit/>
        </w:trPr>
        <w:tc>
          <w:tcPr>
            <w:tcW w:w="4534" w:type="dxa"/>
            <w:gridSpan w:val="6"/>
            <w:shd w:val="clear" w:color="auto" w:fill="auto"/>
          </w:tcPr>
          <w:p>
            <w:pPr>
              <w:pStyle w:val="nTable"/>
              <w:spacing w:after="40"/>
              <w:rPr>
                <w:rFonts w:ascii="Times" w:hAnsi="Times"/>
                <w:snapToGrid w:val="0"/>
              </w:rPr>
            </w:pPr>
            <w:r>
              <w:rPr>
                <w:rFonts w:ascii="Times" w:hAnsi="Times"/>
                <w:i/>
                <w:snapToGrid w:val="0"/>
              </w:rPr>
              <w:t>Poisons (Appendix A Amendment) Order (No. 2) 2012</w:t>
            </w:r>
            <w:r>
              <w:rPr>
                <w:rFonts w:ascii="Times" w:hAnsi="Times"/>
                <w:snapToGrid w:val="0"/>
              </w:rPr>
              <w:t xml:space="preserve"> published in </w:t>
            </w:r>
            <w:r>
              <w:rPr>
                <w:rFonts w:ascii="Times" w:hAnsi="Times"/>
                <w:i/>
                <w:snapToGrid w:val="0"/>
              </w:rPr>
              <w:t>Gazette</w:t>
            </w:r>
            <w:r>
              <w:rPr>
                <w:rFonts w:ascii="Times" w:hAnsi="Times"/>
                <w:snapToGrid w:val="0"/>
              </w:rPr>
              <w:t xml:space="preserve"> 31 Aug 2012 p. 4209</w:t>
            </w:r>
          </w:p>
        </w:tc>
        <w:tc>
          <w:tcPr>
            <w:tcW w:w="2553" w:type="dxa"/>
            <w:shd w:val="clear" w:color="auto" w:fill="auto"/>
          </w:tcPr>
          <w:p>
            <w:pPr>
              <w:pStyle w:val="nTable"/>
              <w:spacing w:after="40"/>
              <w:rPr>
                <w:rFonts w:ascii="Times" w:hAnsi="Times"/>
                <w:snapToGrid w:val="0"/>
              </w:rPr>
            </w:pPr>
            <w:r>
              <w:rPr>
                <w:rFonts w:ascii="Times" w:hAnsi="Times"/>
                <w:snapToGrid w:val="0"/>
              </w:rPr>
              <w:t>cl. 1 and 2: 31 Aug 2012 (see cl. 2(a));</w:t>
            </w:r>
            <w:r>
              <w:rPr>
                <w:rFonts w:ascii="Times" w:hAnsi="Times"/>
                <w:snapToGrid w:val="0"/>
              </w:rPr>
              <w:br/>
              <w:t>Order other than cl. 1 and 2: 1 Sep 2012 (see cl. 2(b))</w:t>
            </w:r>
          </w:p>
        </w:tc>
      </w:tr>
      <w:tr>
        <w:trPr>
          <w:cantSplit/>
        </w:trPr>
        <w:tc>
          <w:tcPr>
            <w:tcW w:w="4534" w:type="dxa"/>
            <w:gridSpan w:val="6"/>
            <w:shd w:val="clear" w:color="auto" w:fill="auto"/>
          </w:tcPr>
          <w:p>
            <w:pPr>
              <w:pStyle w:val="nTable"/>
              <w:spacing w:after="40"/>
              <w:rPr>
                <w:rFonts w:ascii="Times" w:hAnsi="Times"/>
                <w:i/>
                <w:snapToGrid w:val="0"/>
              </w:rPr>
            </w:pPr>
            <w:r>
              <w:rPr>
                <w:rFonts w:ascii="Times" w:hAnsi="Times"/>
                <w:i/>
                <w:snapToGrid w:val="0"/>
              </w:rPr>
              <w:t>Poisons (Appendix A Amendment) Order 2014</w:t>
            </w:r>
            <w:r>
              <w:rPr>
                <w:rFonts w:ascii="Times" w:hAnsi="Times"/>
                <w:snapToGrid w:val="0"/>
              </w:rPr>
              <w:t xml:space="preserve"> published in </w:t>
            </w:r>
            <w:r>
              <w:rPr>
                <w:rFonts w:ascii="Times" w:hAnsi="Times"/>
                <w:i/>
                <w:snapToGrid w:val="0"/>
              </w:rPr>
              <w:t>Gazette</w:t>
            </w:r>
            <w:r>
              <w:rPr>
                <w:rFonts w:ascii="Times" w:hAnsi="Times"/>
                <w:snapToGrid w:val="0"/>
              </w:rPr>
              <w:t xml:space="preserve"> 27 Jun 2014 p. 2328-30</w:t>
            </w:r>
          </w:p>
        </w:tc>
        <w:tc>
          <w:tcPr>
            <w:tcW w:w="2553" w:type="dxa"/>
            <w:shd w:val="clear" w:color="auto" w:fill="auto"/>
          </w:tcPr>
          <w:p>
            <w:pPr>
              <w:pStyle w:val="nTable"/>
              <w:spacing w:after="40"/>
              <w:rPr>
                <w:rFonts w:ascii="Times" w:hAnsi="Times"/>
                <w:snapToGrid w:val="0"/>
              </w:rPr>
            </w:pPr>
            <w:r>
              <w:rPr>
                <w:rFonts w:ascii="Times" w:hAnsi="Times"/>
                <w:snapToGrid w:val="0"/>
              </w:rPr>
              <w:t>cl. 1 and 2: 27 Jun 2014 (see cl. 2(a));</w:t>
            </w:r>
            <w:r>
              <w:rPr>
                <w:rFonts w:ascii="Times" w:hAnsi="Times"/>
                <w:snapToGrid w:val="0"/>
              </w:rPr>
              <w:br/>
              <w:t>Order other than cl. 1 and 2: 28 Jun 2014 (see cl. 2(b))</w:t>
            </w:r>
          </w:p>
        </w:tc>
      </w:tr>
      <w:tr>
        <w:trPr>
          <w:cantSplit/>
        </w:trPr>
        <w:tc>
          <w:tcPr>
            <w:tcW w:w="4534" w:type="dxa"/>
            <w:gridSpan w:val="6"/>
            <w:shd w:val="clear" w:color="auto" w:fill="auto"/>
          </w:tcPr>
          <w:p>
            <w:pPr>
              <w:pStyle w:val="nTable"/>
              <w:spacing w:after="40"/>
              <w:rPr>
                <w:rFonts w:ascii="Times" w:hAnsi="Times"/>
                <w:i/>
                <w:snapToGrid w:val="0"/>
              </w:rPr>
            </w:pPr>
            <w:r>
              <w:rPr>
                <w:rFonts w:ascii="Times" w:hAnsi="Times"/>
                <w:i/>
                <w:snapToGrid w:val="0"/>
              </w:rPr>
              <w:t>Poisons (Appendix A Amendment) Order 2016</w:t>
            </w:r>
            <w:r>
              <w:rPr>
                <w:rFonts w:ascii="Times" w:hAnsi="Times"/>
                <w:snapToGrid w:val="0"/>
              </w:rPr>
              <w:t xml:space="preserve"> published in </w:t>
            </w:r>
            <w:r>
              <w:rPr>
                <w:rFonts w:ascii="Times" w:hAnsi="Times"/>
                <w:i/>
                <w:snapToGrid w:val="0"/>
              </w:rPr>
              <w:t>Gazette</w:t>
            </w:r>
            <w:r>
              <w:rPr>
                <w:rFonts w:ascii="Times" w:hAnsi="Times"/>
                <w:snapToGrid w:val="0"/>
              </w:rPr>
              <w:t xml:space="preserve"> 6 May 2016 p. 1383-4</w:t>
            </w:r>
          </w:p>
        </w:tc>
        <w:tc>
          <w:tcPr>
            <w:tcW w:w="2553" w:type="dxa"/>
            <w:shd w:val="clear" w:color="auto" w:fill="auto"/>
          </w:tcPr>
          <w:p>
            <w:pPr>
              <w:pStyle w:val="nTable"/>
              <w:spacing w:after="40"/>
              <w:rPr>
                <w:rFonts w:ascii="Times" w:hAnsi="Times"/>
                <w:snapToGrid w:val="0"/>
              </w:rPr>
            </w:pPr>
            <w:r>
              <w:rPr>
                <w:rFonts w:ascii="Times" w:hAnsi="Times"/>
                <w:snapToGrid w:val="0"/>
              </w:rPr>
              <w:t>cl. 1 and 2: 6 May 2016 (see cl. 2(a));</w:t>
            </w:r>
            <w:r>
              <w:rPr>
                <w:rFonts w:ascii="Times" w:hAnsi="Times"/>
                <w:snapToGrid w:val="0"/>
              </w:rPr>
              <w:br/>
              <w:t>Order other than cl. 1 and 2: 7 May 2016 (see cl. 2(b))</w:t>
            </w:r>
          </w:p>
        </w:tc>
      </w:tr>
      <w:tr>
        <w:tblPrEx>
          <w:tblBorders>
            <w:top w:val="single" w:sz="8" w:space="0" w:color="auto"/>
            <w:bottom w:val="single" w:sz="8" w:space="0" w:color="auto"/>
            <w:insideH w:val="single" w:sz="8" w:space="0" w:color="auto"/>
          </w:tblBorders>
          <w:tblCellMar>
            <w:left w:w="57" w:type="dxa"/>
            <w:right w:w="57" w:type="dxa"/>
          </w:tblCellMar>
        </w:tblPrEx>
        <w:tc>
          <w:tcPr>
            <w:tcW w:w="2347" w:type="dxa"/>
            <w:gridSpan w:val="2"/>
            <w:tcBorders>
              <w:top w:val="nil"/>
              <w:bottom w:val="nil"/>
            </w:tcBorders>
          </w:tcPr>
          <w:p>
            <w:pPr>
              <w:pStyle w:val="nTable"/>
              <w:spacing w:after="40"/>
              <w:rPr>
                <w:noProof/>
                <w:snapToGrid w:val="0"/>
                <w:vertAlign w:val="superscript"/>
              </w:rPr>
            </w:pPr>
            <w:r>
              <w:rPr>
                <w:i/>
              </w:rPr>
              <w:t>Public Health (Consequential Provisions) Act 2016</w:t>
            </w:r>
            <w:r>
              <w:t xml:space="preserve"> Pt. 3 Div. 21</w:t>
            </w:r>
          </w:p>
        </w:tc>
        <w:tc>
          <w:tcPr>
            <w:tcW w:w="1118" w:type="dxa"/>
            <w:gridSpan w:val="2"/>
            <w:tcBorders>
              <w:top w:val="nil"/>
              <w:bottom w:val="nil"/>
            </w:tcBorders>
          </w:tcPr>
          <w:p>
            <w:pPr>
              <w:pStyle w:val="nTable"/>
              <w:spacing w:after="40"/>
            </w:pPr>
            <w:r>
              <w:t>19 of 2016</w:t>
            </w:r>
          </w:p>
        </w:tc>
        <w:tc>
          <w:tcPr>
            <w:tcW w:w="1057" w:type="dxa"/>
            <w:tcBorders>
              <w:top w:val="nil"/>
              <w:bottom w:val="nil"/>
            </w:tcBorders>
          </w:tcPr>
          <w:p>
            <w:pPr>
              <w:pStyle w:val="nTable"/>
              <w:spacing w:after="40"/>
            </w:pPr>
            <w:r>
              <w:t>25 Jul 2016</w:t>
            </w:r>
          </w:p>
        </w:tc>
        <w:tc>
          <w:tcPr>
            <w:tcW w:w="2565" w:type="dxa"/>
            <w:gridSpan w:val="2"/>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8" w:space="0" w:color="auto"/>
            <w:bottom w:val="single" w:sz="8" w:space="0" w:color="auto"/>
            <w:insideH w:val="single" w:sz="8" w:space="0" w:color="auto"/>
          </w:tblBorders>
          <w:tblCellMar>
            <w:left w:w="57" w:type="dxa"/>
            <w:right w:w="57" w:type="dxa"/>
          </w:tblCellMar>
        </w:tblPrEx>
        <w:tc>
          <w:tcPr>
            <w:tcW w:w="7087" w:type="dxa"/>
            <w:gridSpan w:val="7"/>
            <w:tcBorders>
              <w:top w:val="nil"/>
            </w:tcBorders>
          </w:tcPr>
          <w:p>
            <w:pPr>
              <w:pStyle w:val="nTable"/>
              <w:rPr>
                <w:b/>
                <w:snapToGrid w:val="0"/>
                <w:color w:val="FF0000"/>
              </w:rPr>
            </w:pPr>
            <w:r>
              <w:rPr>
                <w:b/>
                <w:color w:val="FF0000"/>
              </w:rPr>
              <w:t xml:space="preserve">This Act was repealed by the </w:t>
            </w:r>
            <w:r>
              <w:rPr>
                <w:b/>
                <w:i/>
                <w:color w:val="FF0000"/>
              </w:rPr>
              <w:t>Medicines and Poisons Act 2014</w:t>
            </w:r>
            <w:r>
              <w:rPr>
                <w:b/>
                <w:color w:val="FF0000"/>
              </w:rPr>
              <w:t xml:space="preserve"> (No. 13 of 2014) s. 137 as at 30 Jan 2017 (see s. 2(b) and </w:t>
            </w:r>
            <w:r>
              <w:rPr>
                <w:b/>
                <w:i/>
                <w:color w:val="FF0000"/>
              </w:rPr>
              <w:t xml:space="preserve">Gazette </w:t>
            </w:r>
            <w:r>
              <w:rPr>
                <w:b/>
                <w:color w:val="FF0000"/>
              </w:rPr>
              <w:t xml:space="preserve">17 Jan 2017 p. 403) </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3" w:name="_Toc473109420"/>
      <w:r>
        <w:t>Provisions that have not come into operation</w:t>
      </w:r>
      <w:bookmarkEnd w:id="10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tcBorders>
              <w:bottom w:val="single" w:sz="8" w:space="0" w:color="auto"/>
            </w:tcBorders>
          </w:tcPr>
          <w:p>
            <w:pPr>
              <w:pStyle w:val="nTable"/>
              <w:spacing w:after="40"/>
              <w:rPr>
                <w:b/>
                <w:snapToGrid w:val="0"/>
              </w:rPr>
            </w:pPr>
            <w:r>
              <w:rPr>
                <w:b/>
                <w:snapToGrid w:val="0"/>
              </w:rPr>
              <w:t>Assent</w:t>
            </w:r>
          </w:p>
        </w:tc>
        <w:tc>
          <w:tcPr>
            <w:tcW w:w="2552" w:type="dxa"/>
            <w:tcBorders>
              <w:bottom w:val="single" w:sz="8" w:space="0" w:color="auto"/>
            </w:tcBorders>
          </w:tcPr>
          <w:p>
            <w:pPr>
              <w:pStyle w:val="nTable"/>
              <w:spacing w:after="40"/>
              <w:rPr>
                <w:b/>
                <w:snapToGrid w:val="0"/>
              </w:rPr>
            </w:pPr>
            <w:r>
              <w:rPr>
                <w:b/>
                <w:snapToGrid w:val="0"/>
              </w:rPr>
              <w:t>Commencement</w:t>
            </w:r>
          </w:p>
        </w:tc>
      </w:tr>
      <w:tr>
        <w:tc>
          <w:tcPr>
            <w:tcW w:w="2268" w:type="dxa"/>
            <w:tcBorders>
              <w:top w:val="nil"/>
            </w:tcBorders>
          </w:tcPr>
          <w:p>
            <w:pPr>
              <w:pStyle w:val="nTable"/>
              <w:spacing w:after="40"/>
              <w:rPr>
                <w:noProof/>
                <w:snapToGrid w:val="0"/>
                <w:vertAlign w:val="superscript"/>
              </w:rPr>
            </w:pPr>
            <w:r>
              <w:rPr>
                <w:i/>
              </w:rPr>
              <w:t>Public Health (Consequential Provisions) Act 2016</w:t>
            </w:r>
            <w:r>
              <w:t xml:space="preserve"> Pt. 5 Div. 17 </w:t>
            </w:r>
            <w:r>
              <w:rPr>
                <w:vertAlign w:val="superscript"/>
              </w:rPr>
              <w:t>9</w:t>
            </w:r>
          </w:p>
        </w:tc>
        <w:tc>
          <w:tcPr>
            <w:tcW w:w="1118" w:type="dxa"/>
            <w:tcBorders>
              <w:top w:val="nil"/>
            </w:tcBorders>
          </w:tcPr>
          <w:p>
            <w:pPr>
              <w:pStyle w:val="nTable"/>
              <w:spacing w:after="40"/>
            </w:pPr>
            <w:r>
              <w:t>19 of 2016</w:t>
            </w:r>
          </w:p>
        </w:tc>
        <w:tc>
          <w:tcPr>
            <w:tcW w:w="1134" w:type="dxa"/>
            <w:tcBorders>
              <w:top w:val="nil"/>
            </w:tcBorders>
          </w:tcPr>
          <w:p>
            <w:pPr>
              <w:pStyle w:val="nTable"/>
              <w:spacing w:after="40"/>
            </w:pPr>
            <w:r>
              <w:t>25 Jul 2016</w:t>
            </w:r>
          </w:p>
        </w:tc>
        <w:tc>
          <w:tcPr>
            <w:tcW w:w="2552" w:type="dxa"/>
            <w:tcBorders>
              <w:top w:val="nil"/>
            </w:tcBorders>
          </w:tcPr>
          <w:p>
            <w:pPr>
              <w:pStyle w:val="nTable"/>
              <w:spacing w:after="40"/>
              <w:rPr>
                <w:snapToGrid w:val="0"/>
              </w:rPr>
            </w:pPr>
            <w:r>
              <w:t>To</w:t>
            </w:r>
            <w:r>
              <w:rPr>
                <w:snapToGrid w:val="0"/>
              </w:rPr>
              <w:t xml:space="preserve"> be proclaimed (see s. 2(1)(c))</w:t>
            </w:r>
          </w:p>
        </w:tc>
      </w:tr>
    </w:tbl>
    <w:p>
      <w:pPr>
        <w:pStyle w:val="nSubsection"/>
        <w:spacing w:before="120"/>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120"/>
      </w:pPr>
      <w:r>
        <w:rPr>
          <w:vertAlign w:val="superscript"/>
        </w:rPr>
        <w:t>3</w:t>
      </w:r>
      <w:r>
        <w:tab/>
        <w:t xml:space="preserve">The designation of Ministers may be altered by the Governor under the </w:t>
      </w:r>
      <w:r>
        <w:rPr>
          <w:i/>
        </w:rPr>
        <w:t>Alteration of Statutory Designations Act 1974</w:t>
      </w:r>
      <w:r>
        <w:t>.  As at the date of this compilation the former Minister for Agriculture is known as the Minister for</w:t>
      </w:r>
      <w:r>
        <w:rPr>
          <w:snapToGrid w:val="0"/>
        </w:rPr>
        <w:t xml:space="preserve"> Agriculture and Food</w:t>
      </w:r>
      <w:r>
        <w:t>.</w:t>
      </w:r>
    </w:p>
    <w:p>
      <w:pPr>
        <w:pStyle w:val="nSubsection"/>
        <w:keepNext/>
        <w:spacing w:before="120"/>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2 cl. 40 was repealed by the </w:t>
      </w:r>
      <w:r>
        <w:rPr>
          <w:i/>
          <w:iCs/>
          <w:snapToGrid w:val="0"/>
        </w:rPr>
        <w:t>Criminal Law and Evidence Amendment Act 2008</w:t>
      </w:r>
      <w:r>
        <w:rPr>
          <w:snapToGrid w:val="0"/>
        </w:rPr>
        <w:t xml:space="preserve"> s. 77(13).</w:t>
      </w:r>
    </w:p>
    <w:p>
      <w:pPr>
        <w:pStyle w:val="nSubsection"/>
        <w:keepLines/>
        <w:spacing w:before="120"/>
        <w:rPr>
          <w:snapToGrid w:val="0"/>
        </w:rPr>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 xml:space="preserve">The </w:t>
      </w:r>
      <w:r>
        <w:rPr>
          <w:i/>
        </w:rPr>
        <w:t>Machinery of Government (Miscellaneous Amendments) Act 2006</w:t>
      </w:r>
      <w: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pPr>
      <w:r>
        <w:rPr>
          <w:snapToGrid w:val="0"/>
          <w:vertAlign w:val="superscript"/>
        </w:rPr>
        <w:t>7</w:t>
      </w:r>
      <w:r>
        <w:rPr>
          <w:snapToGrid w:val="0"/>
        </w:rPr>
        <w:tab/>
      </w:r>
      <w:r>
        <w:t xml:space="preserve">The </w:t>
      </w:r>
      <w:r>
        <w:rPr>
          <w:i/>
        </w:rPr>
        <w:t>Machinery of Government (Miscellaneous Amendments) Act 2006</w:t>
      </w:r>
      <w:r>
        <w:t xml:space="preserve"> section 454 provides a general transitional provision for references to a chief executive officer by a title that was given by a provision of an Act where the provision was amended to remove that title, or repealed, by the </w:t>
      </w:r>
      <w:r>
        <w:rPr>
          <w:i/>
        </w:rPr>
        <w:t>Machinery of Government (Miscellaneous Amendments) Act 2006</w:t>
      </w:r>
      <w:r>
        <w:t>.</w:t>
      </w:r>
    </w:p>
    <w:p>
      <w:pPr>
        <w:pStyle w:val="BlankClose"/>
      </w:pPr>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Medicines and Poisons Act 2014 </w:t>
      </w:r>
      <w:r>
        <w:rPr>
          <w:snapToGrid w:val="0"/>
        </w:rPr>
        <w:t>s. 136, 140</w:t>
      </w:r>
      <w:r>
        <w:rPr>
          <w:snapToGrid w:val="0"/>
        </w:rPr>
        <w:noBreakHyphen/>
        <w:t>6</w:t>
      </w:r>
      <w:r>
        <w:rPr>
          <w:i/>
          <w:snapToGrid w:val="0"/>
        </w:rPr>
        <w:t xml:space="preserve"> </w:t>
      </w:r>
      <w:r>
        <w:rPr>
          <w:snapToGrid w:val="0"/>
        </w:rPr>
        <w:t>had not come into operation.  They read as follows:</w:t>
      </w:r>
    </w:p>
    <w:p>
      <w:pPr>
        <w:pStyle w:val="BlankOpen"/>
      </w:pPr>
    </w:p>
    <w:p>
      <w:pPr>
        <w:pStyle w:val="nzHeading5"/>
      </w:pPr>
      <w:r>
        <w:rPr>
          <w:rStyle w:val="CharSectno"/>
        </w:rPr>
        <w:t>136</w:t>
      </w:r>
      <w:r>
        <w:t>.</w:t>
      </w:r>
      <w:r>
        <w:tab/>
      </w:r>
      <w:r>
        <w:rPr>
          <w:i/>
        </w:rPr>
        <w:t>Interpretation Act 1984</w:t>
      </w:r>
      <w:r>
        <w:t xml:space="preserve"> not affected</w:t>
      </w:r>
    </w:p>
    <w:p>
      <w:pPr>
        <w:pStyle w:val="nzSubsection"/>
      </w:pPr>
      <w:r>
        <w:tab/>
      </w:r>
      <w:r>
        <w:tab/>
        <w:t xml:space="preserve">Except where the contrary intention appears, this Part does not prejudice or affect the application of the </w:t>
      </w:r>
      <w:r>
        <w:rPr>
          <w:i/>
        </w:rPr>
        <w:t>Interpretation Act 1984</w:t>
      </w:r>
      <w:r>
        <w:t xml:space="preserve"> to or in relation to the repeals effected by sections 137 and 138.</w:t>
      </w:r>
    </w:p>
    <w:p>
      <w:pPr>
        <w:pStyle w:val="nzHeading5"/>
      </w:pPr>
      <w:r>
        <w:rPr>
          <w:rStyle w:val="CharSectno"/>
        </w:rPr>
        <w:t>140</w:t>
      </w:r>
      <w:r>
        <w:t>.</w:t>
      </w:r>
      <w:r>
        <w:tab/>
        <w:t>Terms used</w:t>
      </w:r>
    </w:p>
    <w:p>
      <w:pPr>
        <w:pStyle w:val="nzSubsection"/>
      </w:pPr>
      <w:r>
        <w:tab/>
      </w:r>
      <w:r>
        <w:tab/>
        <w:t>In this Part —</w:t>
      </w:r>
    </w:p>
    <w:p>
      <w:pPr>
        <w:pStyle w:val="nzDefstart"/>
      </w:pPr>
      <w:r>
        <w:tab/>
      </w:r>
      <w:r>
        <w:rPr>
          <w:rStyle w:val="CharDefText"/>
        </w:rPr>
        <w:t>commencement day</w:t>
      </w:r>
      <w:r>
        <w:t xml:space="preserve"> means the day on which section 137 comes into operation;</w:t>
      </w:r>
    </w:p>
    <w:p>
      <w:pPr>
        <w:pStyle w:val="nzDefstart"/>
        <w:rPr>
          <w:iCs/>
        </w:rPr>
      </w:pPr>
      <w:r>
        <w:rPr>
          <w:b/>
        </w:rPr>
        <w:tab/>
      </w:r>
      <w:r>
        <w:rPr>
          <w:rStyle w:val="CharDefText"/>
        </w:rPr>
        <w:t>repealed Act</w:t>
      </w:r>
      <w:r>
        <w:t xml:space="preserve"> means the </w:t>
      </w:r>
      <w:r>
        <w:rPr>
          <w:i/>
        </w:rPr>
        <w:t>Poisons Act 1964</w:t>
      </w:r>
      <w:r>
        <w:rPr>
          <w:iCs/>
        </w:rPr>
        <w:t>.</w:t>
      </w:r>
    </w:p>
    <w:p>
      <w:pPr>
        <w:pStyle w:val="nzHeading5"/>
      </w:pPr>
      <w:r>
        <w:rPr>
          <w:rStyle w:val="CharSectno"/>
        </w:rPr>
        <w:t>141</w:t>
      </w:r>
      <w:r>
        <w:t>.</w:t>
      </w:r>
      <w:r>
        <w:tab/>
        <w:t>Continuation of licences and permits</w:t>
      </w:r>
    </w:p>
    <w:p>
      <w:pPr>
        <w:pStyle w:val="nzSubsection"/>
      </w:pPr>
      <w:r>
        <w:tab/>
        <w:t>(1)</w:t>
      </w:r>
      <w:r>
        <w:tab/>
        <w:t>A licence of a type prescribed by the regulations that was granted and in force under the repealed Act immediately before commencement day is to be taken on and from commencement day to be a licence of a type prescribed by the regulations granted under this Act, for the same term and subject to the same conditions as applied to the licence under the repealed Act.</w:t>
      </w:r>
    </w:p>
    <w:p>
      <w:pPr>
        <w:pStyle w:val="nzSubsection"/>
      </w:pPr>
      <w:r>
        <w:tab/>
        <w:t>(2)</w:t>
      </w:r>
      <w:r>
        <w:tab/>
        <w:t>A permit of a type prescribed by the regulations that was granted and in force under the repealed Act immediately before commencement day is to be taken on and from commencement day to be a permit of a type prescribed by the regulations granted under this Act, for the same term and subject to the same conditions as applied to the permit under the repealed Act.</w:t>
      </w:r>
    </w:p>
    <w:p>
      <w:pPr>
        <w:pStyle w:val="nzHeading5"/>
      </w:pPr>
      <w:r>
        <w:rPr>
          <w:rStyle w:val="CharSectno"/>
        </w:rPr>
        <w:t>142</w:t>
      </w:r>
      <w:r>
        <w:t>.</w:t>
      </w:r>
      <w:r>
        <w:tab/>
        <w:t>Existing applications for licences or permits</w:t>
      </w:r>
    </w:p>
    <w:p>
      <w:pPr>
        <w:pStyle w:val="nzSubsection"/>
      </w:pPr>
      <w:r>
        <w:tab/>
        <w:t>(1)</w:t>
      </w:r>
      <w:r>
        <w:tab/>
        <w:t>An application for a licence of a type prescribed by the regulations that was made under the repealed Act before commencement day and that was not finally determined before commencement day is to be taken to be an application for a licence of a type prescribed by the regulations made under this Act on commencement day.</w:t>
      </w:r>
    </w:p>
    <w:p>
      <w:pPr>
        <w:pStyle w:val="nzSubsection"/>
      </w:pPr>
      <w:r>
        <w:tab/>
        <w:t>(2)</w:t>
      </w:r>
      <w:r>
        <w:tab/>
        <w:t>An application for a permit of a type prescribed by the regulations that was made under the repealed Act before commencement day and that was not finally determined before commencement day is to be taken to be an application for a permit of a type prescribed by the regulations made under this Act on commencement day.</w:t>
      </w:r>
    </w:p>
    <w:p>
      <w:pPr>
        <w:pStyle w:val="nzHeading5"/>
      </w:pPr>
      <w:r>
        <w:rPr>
          <w:rStyle w:val="CharSectno"/>
        </w:rPr>
        <w:t>143</w:t>
      </w:r>
      <w:r>
        <w:t>.</w:t>
      </w:r>
      <w:r>
        <w:tab/>
        <w:t>Continuation of notices given to health professionals</w:t>
      </w:r>
    </w:p>
    <w:p>
      <w:pPr>
        <w:pStyle w:val="nzSubsection"/>
      </w:pPr>
      <w:r>
        <w:tab/>
        <w:t>(1)</w:t>
      </w:r>
      <w:r>
        <w:tab/>
        <w:t xml:space="preserve">In this section — </w:t>
      </w:r>
    </w:p>
    <w:p>
      <w:pPr>
        <w:pStyle w:val="nzDefstart"/>
      </w:pPr>
      <w:r>
        <w:tab/>
      </w:r>
      <w:r>
        <w:rPr>
          <w:rStyle w:val="CharDefText"/>
        </w:rPr>
        <w:t>notice under the repealed Act</w:t>
      </w:r>
      <w:r>
        <w:t xml:space="preserve"> means a notice given by the CEO pursuant to regulations made under section 64(2)(ha) of the repealed Act.</w:t>
      </w:r>
    </w:p>
    <w:p>
      <w:pPr>
        <w:pStyle w:val="nzSubsection"/>
      </w:pPr>
      <w:r>
        <w:tab/>
        <w:t>(2)</w:t>
      </w:r>
      <w:r>
        <w:tab/>
        <w:t xml:space="preserve">If, immediately before commencement day, the authority conferred on a person by section 23 of the repealed Act was subject to a notice under the repealed Act, then on and from commencement day — </w:t>
      </w:r>
    </w:p>
    <w:p>
      <w:pPr>
        <w:pStyle w:val="nzIndenta"/>
      </w:pPr>
      <w:r>
        <w:tab/>
        <w:t>(a)</w:t>
      </w:r>
      <w:r>
        <w:tab/>
        <w:t xml:space="preserve">for the purposes of this Act — </w:t>
      </w:r>
    </w:p>
    <w:p>
      <w:pPr>
        <w:pStyle w:val="nzIndenti"/>
      </w:pPr>
      <w:r>
        <w:tab/>
        <w:t>(i)</w:t>
      </w:r>
      <w:r>
        <w:tab/>
        <w:t>the notice is to be taken to have been notice given in accordance with section 29; and</w:t>
      </w:r>
    </w:p>
    <w:p>
      <w:pPr>
        <w:pStyle w:val="nzIndenti"/>
      </w:pPr>
      <w:r>
        <w:tab/>
        <w:t>(ii)</w:t>
      </w:r>
      <w:r>
        <w:tab/>
        <w:t>any condition or restriction imposed on the authority conferred on a person by section 23 of the repealed Act by the notice is to be taken to be a condition imposed by the CEO on the person’s professional authority under this Act; and</w:t>
      </w:r>
    </w:p>
    <w:p>
      <w:pPr>
        <w:pStyle w:val="nzIndenti"/>
      </w:pPr>
      <w:r>
        <w:tab/>
        <w:t>(iii)</w:t>
      </w:r>
      <w:r>
        <w:tab/>
        <w:t>if the notice totally revoked the authority conferred on a person by section 23 of the repealed Act, the CEO is be taken to have cancelled the person’s professional authority under this Act;</w:t>
      </w:r>
    </w:p>
    <w:p>
      <w:pPr>
        <w:pStyle w:val="nzIndenta"/>
      </w:pPr>
      <w:r>
        <w:tab/>
      </w:r>
      <w:r>
        <w:tab/>
        <w:t>and</w:t>
      </w:r>
    </w:p>
    <w:p>
      <w:pPr>
        <w:pStyle w:val="nzIndenta"/>
      </w:pPr>
      <w:r>
        <w:tab/>
        <w:t>(b)</w:t>
      </w:r>
      <w:r>
        <w:tab/>
        <w:t>the notice that is taken to have been given under this Act has effect for the same term as the notice under the repealed Act.</w:t>
      </w:r>
    </w:p>
    <w:p>
      <w:pPr>
        <w:pStyle w:val="nzHeading5"/>
      </w:pPr>
      <w:r>
        <w:rPr>
          <w:rStyle w:val="CharSectno"/>
        </w:rPr>
        <w:t>144</w:t>
      </w:r>
      <w:r>
        <w:t>.</w:t>
      </w:r>
      <w:r>
        <w:tab/>
        <w:t>Continuation of notices in relation to Schedule 6 poisons</w:t>
      </w:r>
    </w:p>
    <w:p>
      <w:pPr>
        <w:pStyle w:val="nzSubsection"/>
      </w:pPr>
      <w:r>
        <w:tab/>
      </w:r>
      <w:r>
        <w:tab/>
        <w:t>If the CEO gave a person a notice under regulations made under section 64(2)(hb) of the repealed Act in relation to a Schedule 6 poison and that notice was in effect immediately before commencement day the CEO is to be taken to have given the person a compliance notice under this Act on the same terms as the notice given under the repealed Act.</w:t>
      </w:r>
    </w:p>
    <w:p>
      <w:pPr>
        <w:pStyle w:val="nzHeading5"/>
      </w:pPr>
      <w:r>
        <w:rPr>
          <w:rStyle w:val="CharSectno"/>
        </w:rPr>
        <w:t>145</w:t>
      </w:r>
      <w:r>
        <w:t>.</w:t>
      </w:r>
      <w:r>
        <w:tab/>
        <w:t>Continuation of notices in relation to Schedule 7 poisons</w:t>
      </w:r>
    </w:p>
    <w:p>
      <w:pPr>
        <w:pStyle w:val="nzSubsection"/>
      </w:pPr>
      <w:r>
        <w:tab/>
      </w:r>
      <w:r>
        <w:tab/>
        <w:t>A notice given by the CEO under section 24(5) of the repealed Act in relation to a Schedule 7 poison that was in effect immediately before commencement day continues to have effect as if it was a Schedule 7 notice on the same terms as the notice given under the repealed Act.</w:t>
      </w:r>
    </w:p>
    <w:p>
      <w:pPr>
        <w:pStyle w:val="nzHeading5"/>
      </w:pPr>
      <w:r>
        <w:rPr>
          <w:rStyle w:val="CharSectno"/>
        </w:rPr>
        <w:t>146</w:t>
      </w:r>
      <w:r>
        <w:t>.</w:t>
      </w:r>
      <w:r>
        <w:tab/>
        <w:t>Transitional regulations</w:t>
      </w:r>
    </w:p>
    <w:p>
      <w:pPr>
        <w:pStyle w:val="nz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pPr>
        <w:pStyle w:val="nzSubsection"/>
      </w:pPr>
      <w:r>
        <w:tab/>
        <w:t>(2)</w:t>
      </w:r>
      <w:r>
        <w:tab/>
        <w:t xml:space="preserve">In subsection (1) — </w:t>
      </w:r>
    </w:p>
    <w:p>
      <w:pPr>
        <w:pStyle w:val="nzDefstart"/>
      </w:pPr>
      <w:r>
        <w:tab/>
      </w:r>
      <w:r>
        <w:rPr>
          <w:rStyle w:val="CharDefText"/>
        </w:rPr>
        <w:t>transitional matter</w:t>
      </w:r>
      <w:r>
        <w:t xml:space="preserve"> means a matter that needs to be dealt with for the transition required because of this Act.</w:t>
      </w:r>
    </w:p>
    <w:p>
      <w:pPr>
        <w:pStyle w:val="nzSubsection"/>
        <w:keepNext/>
      </w:pPr>
      <w:r>
        <w:tab/>
        <w:t>(3)</w:t>
      </w:r>
      <w:r>
        <w:tab/>
        <w:t xml:space="preserve">Regulations made under subsection (1) may provide that specific provisions of any written law — </w:t>
      </w:r>
    </w:p>
    <w:p>
      <w:pPr>
        <w:pStyle w:val="nzIndenta"/>
      </w:pPr>
      <w:r>
        <w:tab/>
        <w:t>(a)</w:t>
      </w:r>
      <w:r>
        <w:tab/>
        <w:t>do not apply in relation to any matter; or</w:t>
      </w:r>
    </w:p>
    <w:p>
      <w:pPr>
        <w:pStyle w:val="nzIndenta"/>
      </w:pPr>
      <w:r>
        <w:tab/>
        <w:t>(b)</w:t>
      </w:r>
      <w:r>
        <w:tab/>
        <w:t>apply with specific modifications in relation to any matter.</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nzSubsection"/>
      </w:pPr>
      <w:r>
        <w:tab/>
        <w:t>(5)</w:t>
      </w:r>
      <w:r>
        <w:tab/>
        <w:t xml:space="preserve">In subsection (4) — </w:t>
      </w:r>
    </w:p>
    <w:p>
      <w:pPr>
        <w:pStyle w:val="nzDefstart"/>
      </w:pPr>
      <w: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nz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BlankClose"/>
      </w:pPr>
    </w:p>
    <w:p>
      <w:pPr>
        <w:pStyle w:val="nSubsection"/>
        <w:keepNext/>
        <w:keepLines/>
        <w:spacing w:before="120"/>
      </w:pPr>
      <w:r>
        <w:rPr>
          <w:vertAlign w:val="superscript"/>
        </w:rPr>
        <w:t>9</w:t>
      </w:r>
      <w:r>
        <w:tab/>
      </w:r>
      <w:r>
        <w:rPr>
          <w:snapToGrid w:val="0"/>
        </w:rPr>
        <w:t xml:space="preserve">On the date as at which this compilation was prepared, the </w:t>
      </w:r>
      <w:r>
        <w:rPr>
          <w:i/>
          <w:noProof/>
        </w:rPr>
        <w:t>Public Health (Consequential Provisions) Act 2016</w:t>
      </w:r>
      <w:r>
        <w:rPr>
          <w:noProof/>
        </w:rPr>
        <w:t xml:space="preserve"> </w:t>
      </w:r>
      <w:r>
        <w:t>Pt. 5 Div. 17</w:t>
      </w:r>
      <w:r>
        <w:rPr>
          <w:snapToGrid w:val="0"/>
        </w:rPr>
        <w:t xml:space="preserve"> had not come into operation. It reads as follows:</w:t>
      </w: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17</w:t>
      </w:r>
      <w:r>
        <w:t> — </w:t>
      </w:r>
      <w:r>
        <w:rPr>
          <w:rStyle w:val="CharDivText"/>
          <w:i/>
        </w:rPr>
        <w:t>Poisons Act 1964</w:t>
      </w:r>
      <w:r>
        <w:rPr>
          <w:rStyle w:val="CharDivText"/>
        </w:rPr>
        <w:t xml:space="preserve"> amended</w:t>
      </w:r>
    </w:p>
    <w:p>
      <w:pPr>
        <w:pStyle w:val="nzHeading5"/>
      </w:pPr>
      <w:r>
        <w:rPr>
          <w:rStyle w:val="CharSectno"/>
        </w:rPr>
        <w:t>315</w:t>
      </w:r>
      <w:r>
        <w:t>.</w:t>
      </w:r>
      <w:r>
        <w:tab/>
        <w:t xml:space="preserve">Act </w:t>
      </w:r>
      <w:r>
        <w:rPr>
          <w:iCs/>
        </w:rPr>
        <w:t>amended</w:t>
      </w:r>
    </w:p>
    <w:p>
      <w:pPr>
        <w:pStyle w:val="nzSubsection"/>
      </w:pPr>
      <w:r>
        <w:tab/>
      </w:r>
      <w:r>
        <w:tab/>
        <w:t xml:space="preserve">This Division amends the </w:t>
      </w:r>
      <w:r>
        <w:rPr>
          <w:i/>
        </w:rPr>
        <w:t>Poisons Act 1964</w:t>
      </w:r>
      <w:r>
        <w:t>.</w:t>
      </w:r>
    </w:p>
    <w:p>
      <w:pPr>
        <w:pStyle w:val="nzHeading5"/>
      </w:pPr>
      <w:r>
        <w:rPr>
          <w:rStyle w:val="CharSectno"/>
        </w:rPr>
        <w:t>316</w:t>
      </w:r>
      <w:r>
        <w:t>.</w:t>
      </w:r>
      <w:r>
        <w:tab/>
        <w:t>Section 6 amended</w:t>
      </w:r>
    </w:p>
    <w:p>
      <w:pPr>
        <w:pStyle w:val="nzSubsection"/>
      </w:pPr>
      <w:r>
        <w:tab/>
        <w:t>(1)</w:t>
      </w:r>
      <w:r>
        <w:tab/>
        <w:t>In section 6(1) after “</w:t>
      </w:r>
      <w:r>
        <w:rPr>
          <w:i/>
        </w:rPr>
        <w:t>Health (Miscellaneous Provisions) Act 1911</w:t>
      </w:r>
      <w:r>
        <w:t>,” insert:</w:t>
      </w:r>
    </w:p>
    <w:p>
      <w:pPr>
        <w:pStyle w:val="BlankOpen"/>
      </w:pPr>
    </w:p>
    <w:p>
      <w:pPr>
        <w:pStyle w:val="nzSubsection"/>
      </w:pPr>
      <w:r>
        <w:tab/>
      </w:r>
      <w:r>
        <w:tab/>
        <w:t xml:space="preserve">and of the </w:t>
      </w:r>
      <w:r>
        <w:rPr>
          <w:i/>
        </w:rPr>
        <w:t>Public Health Act 2016</w:t>
      </w:r>
      <w:r>
        <w:t>,</w:t>
      </w:r>
    </w:p>
    <w:p>
      <w:pPr>
        <w:pStyle w:val="BlankClose"/>
      </w:pPr>
    </w:p>
    <w:p>
      <w:pPr>
        <w:pStyle w:val="nzSubsection"/>
      </w:pPr>
      <w:r>
        <w:tab/>
        <w:t>(2)</w:t>
      </w:r>
      <w:r>
        <w:tab/>
        <w:t xml:space="preserve">In section 6(1) delete “of the </w:t>
      </w:r>
      <w:r>
        <w:rPr>
          <w:i/>
          <w:iCs/>
        </w:rPr>
        <w:t>Health (Miscellaneous Provisions) Act 1911</w:t>
      </w:r>
      <w:r>
        <w:t>, and”.</w:t>
      </w:r>
    </w:p>
    <w:p>
      <w:pPr>
        <w:pStyle w:val="nzHeading5"/>
      </w:pPr>
      <w:r>
        <w:rPr>
          <w:rStyle w:val="CharSectno"/>
        </w:rPr>
        <w:t>317</w:t>
      </w:r>
      <w:r>
        <w:t>.</w:t>
      </w:r>
      <w:r>
        <w:tab/>
        <w:t>Section 60 amended</w:t>
      </w:r>
    </w:p>
    <w:p>
      <w:pPr>
        <w:pStyle w:val="nzSubsection"/>
      </w:pPr>
      <w:r>
        <w:tab/>
      </w:r>
      <w:r>
        <w:tab/>
        <w:t>Delete section 60(2) and insert:</w:t>
      </w:r>
    </w:p>
    <w:p>
      <w:pPr>
        <w:pStyle w:val="BlankOpen"/>
      </w:pPr>
    </w:p>
    <w:p>
      <w:pPr>
        <w:pStyle w:val="nzSubsection"/>
      </w:pPr>
      <w:r>
        <w:tab/>
        <w:t>(2)</w:t>
      </w:r>
      <w:r>
        <w:tab/>
        <w:t xml:space="preserve">In this section — </w:t>
      </w:r>
    </w:p>
    <w:p>
      <w:pPr>
        <w:pStyle w:val="nzDefstart"/>
      </w:pPr>
      <w:r>
        <w:tab/>
      </w:r>
      <w:r>
        <w:rPr>
          <w:rStyle w:val="CharDefText"/>
        </w:rPr>
        <w:t>analyst</w:t>
      </w:r>
      <w:r>
        <w:t xml:space="preserve"> has the meaning given in the </w:t>
      </w:r>
      <w:r>
        <w:rPr>
          <w:i/>
        </w:rPr>
        <w:t>Misuse of Drugs Act 1981</w:t>
      </w:r>
      <w:r>
        <w:t xml:space="preserve"> section 3(1).</w:t>
      </w:r>
    </w:p>
    <w:p>
      <w:pPr>
        <w:pStyle w:val="nzHeading5"/>
      </w:pPr>
      <w:r>
        <w:rPr>
          <w:rStyle w:val="CharSectno"/>
        </w:rPr>
        <w:t>318</w:t>
      </w:r>
      <w:r>
        <w:t>.</w:t>
      </w:r>
      <w:r>
        <w:tab/>
        <w:t>Section 64 amended</w:t>
      </w:r>
    </w:p>
    <w:p>
      <w:pPr>
        <w:pStyle w:val="nzSubsection"/>
      </w:pPr>
      <w:r>
        <w:tab/>
        <w:t>(1)</w:t>
      </w:r>
      <w:r>
        <w:tab/>
        <w:t>Delete section 64(3) and insert:</w:t>
      </w:r>
    </w:p>
    <w:p>
      <w:pPr>
        <w:pStyle w:val="BlankOpen"/>
      </w:pPr>
    </w:p>
    <w:p>
      <w:pPr>
        <w:pStyle w:val="nzSubsection"/>
      </w:pPr>
      <w:r>
        <w:tab/>
        <w:t>(3)</w:t>
      </w:r>
      <w:r>
        <w:tab/>
        <w:t xml:space="preserve">Regulations made under this section are in addition to, and not in derogation of, the following — </w:t>
      </w:r>
    </w:p>
    <w:p>
      <w:pPr>
        <w:pStyle w:val="nzIndenta"/>
      </w:pPr>
      <w:r>
        <w:tab/>
        <w:t>(a)</w:t>
      </w:r>
      <w:r>
        <w:tab/>
        <w:t xml:space="preserve">regulations made under the </w:t>
      </w:r>
      <w:r>
        <w:rPr>
          <w:i/>
          <w:iCs/>
        </w:rPr>
        <w:t>Health (Miscellaneous Provisions) Act 1911</w:t>
      </w:r>
      <w:r>
        <w:t xml:space="preserve"> or the </w:t>
      </w:r>
      <w:r>
        <w:rPr>
          <w:i/>
          <w:iCs/>
        </w:rPr>
        <w:t>Misuse of Drugs Act 1981</w:t>
      </w:r>
      <w:r>
        <w:t>;</w:t>
      </w:r>
    </w:p>
    <w:p>
      <w:pPr>
        <w:pStyle w:val="nzIndenta"/>
      </w:pPr>
      <w:r>
        <w:tab/>
        <w:t>(b)</w:t>
      </w:r>
      <w:r>
        <w:tab/>
        <w:t xml:space="preserve">regulations made under the </w:t>
      </w:r>
      <w:r>
        <w:rPr>
          <w:i/>
          <w:iCs/>
        </w:rPr>
        <w:t>Public Health Act 2016</w:t>
      </w:r>
      <w:r>
        <w:t>.</w:t>
      </w:r>
    </w:p>
    <w:p>
      <w:pPr>
        <w:pStyle w:val="nzSubsection"/>
      </w:pPr>
      <w:r>
        <w:tab/>
        <w:t>(4)</w:t>
      </w:r>
      <w:r>
        <w:tab/>
        <w:t>If and to the extent that there is an inconsistency between regulations made under this section and any regulations referred to in subsection (3)(a) or (b), the regulations made under this section prevail.</w:t>
      </w:r>
    </w:p>
    <w:p>
      <w:pPr>
        <w:pStyle w:val="BlankClose"/>
      </w:pPr>
    </w:p>
    <w:p>
      <w:pPr>
        <w:pStyle w:val="nzSubsection"/>
      </w:pPr>
      <w:r>
        <w:tab/>
        <w:t>(2)</w:t>
      </w:r>
      <w:r>
        <w:tab/>
        <w:t xml:space="preserve">In section 64(3)(a) delete “the </w:t>
      </w:r>
      <w:r>
        <w:rPr>
          <w:i/>
        </w:rPr>
        <w:t>Health (Miscellaneous Provisions) Act 1911</w:t>
      </w:r>
      <w:r>
        <w:t xml:space="preserve"> or”.</w:t>
      </w:r>
    </w:p>
    <w:p>
      <w:pPr>
        <w:pStyle w:val="BlankClose"/>
      </w:pPr>
    </w:p>
    <w:p>
      <w:pPr>
        <w:pStyle w:val="BlankClose"/>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105" w:name="_Toc473109421"/>
      <w:r>
        <w:rPr>
          <w:sz w:val="28"/>
        </w:rPr>
        <w:t>Defined terms</w:t>
      </w:r>
      <w:bookmarkEnd w:id="1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Advisory Committee</w:t>
      </w:r>
      <w:r>
        <w:tab/>
        <w:t>5(1)</w:t>
      </w:r>
    </w:p>
    <w:p>
      <w:pPr>
        <w:pStyle w:val="DefinedTerms"/>
      </w:pPr>
      <w:r>
        <w:t>analyst</w:t>
      </w:r>
      <w:r>
        <w:tab/>
        <w:t>60(2)</w:t>
      </w:r>
    </w:p>
    <w:p>
      <w:pPr>
        <w:pStyle w:val="DefinedTerms"/>
      </w:pPr>
      <w:r>
        <w:t>authorised officer</w:t>
      </w:r>
      <w:r>
        <w:tab/>
        <w:t>5(1)</w:t>
      </w:r>
    </w:p>
    <w:p>
      <w:pPr>
        <w:pStyle w:val="DefinedTerms"/>
      </w:pPr>
      <w:r>
        <w:t>automatic machine</w:t>
      </w:r>
      <w:r>
        <w:tab/>
        <w:t>5(1)</w:t>
      </w:r>
    </w:p>
    <w:p>
      <w:pPr>
        <w:pStyle w:val="DefinedTerms"/>
      </w:pPr>
      <w:r>
        <w:t>bloodborne infectious disease</w:t>
      </w:r>
      <w:r>
        <w:tab/>
        <w:t>5(1)</w:t>
      </w:r>
    </w:p>
    <w:p>
      <w:pPr>
        <w:pStyle w:val="DefinedTerms"/>
      </w:pPr>
      <w:r>
        <w:t>CEO</w:t>
      </w:r>
      <w:r>
        <w:tab/>
        <w:t>5(1)</w:t>
      </w:r>
    </w:p>
    <w:p>
      <w:pPr>
        <w:pStyle w:val="DefinedTerms"/>
      </w:pPr>
      <w:r>
        <w:t>container</w:t>
      </w:r>
      <w:r>
        <w:tab/>
        <w:t>5(1)</w:t>
      </w:r>
    </w:p>
    <w:p>
      <w:pPr>
        <w:pStyle w:val="DefinedTerms"/>
      </w:pPr>
      <w:r>
        <w:t>corresponding law</w:t>
      </w:r>
      <w:r>
        <w:tab/>
        <w:t>45(1)</w:t>
      </w:r>
    </w:p>
    <w:p>
      <w:pPr>
        <w:pStyle w:val="DefinedTerms"/>
      </w:pPr>
      <w:r>
        <w:t>dentist</w:t>
      </w:r>
      <w:r>
        <w:tab/>
        <w:t>5(1)</w:t>
      </w:r>
    </w:p>
    <w:p>
      <w:pPr>
        <w:pStyle w:val="DefinedTerms"/>
      </w:pPr>
      <w:r>
        <w:t>department</w:t>
      </w:r>
      <w:r>
        <w:tab/>
        <w:t>5(1)</w:t>
      </w:r>
    </w:p>
    <w:p>
      <w:pPr>
        <w:pStyle w:val="DefinedTerms"/>
      </w:pPr>
      <w:r>
        <w:t>document</w:t>
      </w:r>
      <w:r>
        <w:tab/>
        <w:t>5(1)</w:t>
      </w:r>
    </w:p>
    <w:p>
      <w:pPr>
        <w:pStyle w:val="DefinedTerms"/>
      </w:pPr>
      <w:r>
        <w:t>drug of addiction</w:t>
      </w:r>
      <w:r>
        <w:tab/>
        <w:t>5(1)</w:t>
      </w:r>
    </w:p>
    <w:p>
      <w:pPr>
        <w:pStyle w:val="DefinedTerms"/>
      </w:pPr>
      <w:r>
        <w:t>endorsed health practitioner</w:t>
      </w:r>
      <w:r>
        <w:tab/>
        <w:t>5(1)</w:t>
      </w:r>
    </w:p>
    <w:p>
      <w:pPr>
        <w:pStyle w:val="DefinedTerms"/>
      </w:pPr>
      <w:r>
        <w:t>friendly society</w:t>
      </w:r>
      <w:r>
        <w:tab/>
        <w:t>30(3)</w:t>
      </w:r>
    </w:p>
    <w:p>
      <w:pPr>
        <w:pStyle w:val="DefinedTerms"/>
      </w:pPr>
      <w:r>
        <w:t>internal use</w:t>
      </w:r>
      <w:r>
        <w:tab/>
        <w:t>5(1)</w:t>
      </w:r>
    </w:p>
    <w:p>
      <w:pPr>
        <w:pStyle w:val="DefinedTerms"/>
      </w:pPr>
      <w:r>
        <w:t>label</w:t>
      </w:r>
      <w:r>
        <w:tab/>
        <w:t>5(1)</w:t>
      </w:r>
    </w:p>
    <w:p>
      <w:pPr>
        <w:pStyle w:val="DefinedTerms"/>
      </w:pPr>
      <w:r>
        <w:t>labelled</w:t>
      </w:r>
      <w:r>
        <w:tab/>
        <w:t>5(1)</w:t>
      </w:r>
    </w:p>
    <w:p>
      <w:pPr>
        <w:pStyle w:val="DefinedTerms"/>
      </w:pPr>
      <w:r>
        <w:t>licence</w:t>
      </w:r>
      <w:r>
        <w:tab/>
        <w:t>5(1)</w:t>
      </w:r>
    </w:p>
    <w:p>
      <w:pPr>
        <w:pStyle w:val="DefinedTerms"/>
      </w:pPr>
      <w:r>
        <w:t>licensee</w:t>
      </w:r>
      <w:r>
        <w:tab/>
        <w:t>5(1)</w:t>
      </w:r>
    </w:p>
    <w:p>
      <w:pPr>
        <w:pStyle w:val="DefinedTerms"/>
      </w:pPr>
      <w:r>
        <w:t>medical practitioner</w:t>
      </w:r>
      <w:r>
        <w:tab/>
        <w:t>5(1)</w:t>
      </w:r>
    </w:p>
    <w:p>
      <w:pPr>
        <w:pStyle w:val="DefinedTerms"/>
      </w:pPr>
      <w:r>
        <w:t>medicine</w:t>
      </w:r>
      <w:r>
        <w:tab/>
        <w:t>5(1)</w:t>
      </w:r>
    </w:p>
    <w:p>
      <w:pPr>
        <w:pStyle w:val="DefinedTerms"/>
      </w:pPr>
      <w:r>
        <w:t>member</w:t>
      </w:r>
      <w:r>
        <w:tab/>
        <w:t>5(1)</w:t>
      </w:r>
    </w:p>
    <w:p>
      <w:pPr>
        <w:pStyle w:val="DefinedTerms"/>
      </w:pPr>
      <w:r>
        <w:t>needle and syringe programme</w:t>
      </w:r>
      <w:r>
        <w:tab/>
        <w:t>5(1)</w:t>
      </w:r>
    </w:p>
    <w:p>
      <w:pPr>
        <w:pStyle w:val="DefinedTerms"/>
      </w:pPr>
      <w:r>
        <w:t>nurse practitioner</w:t>
      </w:r>
      <w:r>
        <w:tab/>
        <w:t>5(1)</w:t>
      </w:r>
    </w:p>
    <w:p>
      <w:pPr>
        <w:pStyle w:val="DefinedTerms"/>
      </w:pPr>
      <w:r>
        <w:t>package</w:t>
      </w:r>
      <w:r>
        <w:tab/>
        <w:t>5(1)</w:t>
      </w:r>
    </w:p>
    <w:p>
      <w:pPr>
        <w:pStyle w:val="DefinedTerms"/>
      </w:pPr>
      <w:r>
        <w:t>pharmacist</w:t>
      </w:r>
      <w:r>
        <w:tab/>
        <w:t>5(1)</w:t>
      </w:r>
    </w:p>
    <w:p>
      <w:pPr>
        <w:pStyle w:val="DefinedTerms"/>
      </w:pPr>
      <w:r>
        <w:t>poison</w:t>
      </w:r>
      <w:r>
        <w:tab/>
        <w:t>5(1)</w:t>
      </w:r>
    </w:p>
    <w:p>
      <w:pPr>
        <w:pStyle w:val="DefinedTerms"/>
      </w:pPr>
      <w:r>
        <w:t>prohibited plant</w:t>
      </w:r>
      <w:r>
        <w:tab/>
        <w:t>5(1)</w:t>
      </w:r>
    </w:p>
    <w:p>
      <w:pPr>
        <w:pStyle w:val="DefinedTerms"/>
      </w:pPr>
      <w:r>
        <w:t>sale</w:t>
      </w:r>
      <w:r>
        <w:tab/>
        <w:t>5(1)</w:t>
      </w:r>
    </w:p>
    <w:p>
      <w:pPr>
        <w:pStyle w:val="DefinedTerms"/>
      </w:pPr>
      <w:r>
        <w:t>Schedule</w:t>
      </w:r>
      <w:r>
        <w:tab/>
        <w:t>5(1)</w:t>
      </w:r>
    </w:p>
    <w:p>
      <w:pPr>
        <w:pStyle w:val="DefinedTerms"/>
      </w:pPr>
      <w:r>
        <w:t>specified</w:t>
      </w:r>
      <w:r>
        <w:tab/>
        <w:t>5(1)</w:t>
      </w:r>
    </w:p>
    <w:p>
      <w:pPr>
        <w:pStyle w:val="DefinedTerms"/>
      </w:pPr>
      <w:r>
        <w:t>specified drug</w:t>
      </w:r>
      <w:r>
        <w:tab/>
        <w:t>5(1)</w:t>
      </w:r>
    </w:p>
    <w:p>
      <w:pPr>
        <w:pStyle w:val="DefinedTerms"/>
      </w:pPr>
      <w:r>
        <w:t>standard</w:t>
      </w:r>
      <w:r>
        <w:tab/>
        <w:t>5(1)</w:t>
      </w:r>
    </w:p>
    <w:p>
      <w:pPr>
        <w:pStyle w:val="DefinedTerms"/>
      </w:pPr>
      <w:r>
        <w:t>subsidiary legislation</w:t>
      </w:r>
      <w:r>
        <w:tab/>
        <w:t>21(2)</w:t>
      </w:r>
    </w:p>
    <w:p>
      <w:pPr>
        <w:pStyle w:val="DefinedTerms"/>
      </w:pPr>
      <w:r>
        <w:t>substance</w:t>
      </w:r>
      <w:r>
        <w:tab/>
        <w:t>5(1)</w:t>
      </w:r>
    </w:p>
    <w:p>
      <w:pPr>
        <w:pStyle w:val="DefinedTerms"/>
      </w:pPr>
      <w:r>
        <w:t>to sell</w:t>
      </w:r>
      <w:r>
        <w:tab/>
        <w:t>5(1)</w:t>
      </w:r>
    </w:p>
    <w:p>
      <w:pPr>
        <w:pStyle w:val="DefinedTerms"/>
      </w:pPr>
      <w:r>
        <w:t>veterinary surgeon</w:t>
      </w:r>
      <w:r>
        <w:tab/>
        <w:t>5(1)</w:t>
      </w:r>
    </w:p>
    <w:p>
      <w:pPr>
        <w:pStyle w:val="DefinedTerms"/>
      </w:pPr>
      <w:r>
        <w:t>wholesale dealing</w:t>
      </w:r>
      <w:r>
        <w:tab/>
        <w:t>5(1)</w:t>
      </w:r>
    </w:p>
    <w:p>
      <w:pPr>
        <w:pStyle w:val="DefinedTerms"/>
      </w:pPr>
      <w:r>
        <w:t>wholesale supplier</w:t>
      </w:r>
      <w:r>
        <w:tab/>
        <w:t>5(1)</w:t>
      </w:r>
    </w:p>
    <w:p/>
    <w:p>
      <w:pPr>
        <w:sectPr>
          <w:headerReference w:type="even" r:id="rId31"/>
          <w:headerReference w:type="default" r:id="rId32"/>
          <w:footerReference w:type="even"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fldChar w:fldCharType="begin"/>
    </w:r>
    <w:r>
      <w:instrText xml:space="preserve"> PAGE </w:instrText>
    </w:r>
    <w:r>
      <w:fldChar w:fldCharType="separate"/>
    </w:r>
    <w:r>
      <w:rPr>
        <w:noProof/>
      </w:rPr>
      <w:t>76</w:t>
    </w:r>
    <w: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09-j0-01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fldChar w:fldCharType="begin"/>
    </w:r>
    <w:r>
      <w:instrText xml:space="preserve"> PAGE </w:instrText>
    </w:r>
    <w:r>
      <w:fldChar w:fldCharType="separate"/>
    </w:r>
    <w:r>
      <w:rPr>
        <w:noProof/>
      </w:rPr>
      <w:t>78</w:t>
    </w:r>
    <w: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09-j0-01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0" w:name="Schedule"/>
    <w:bookmarkEnd w:id="1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Poisons Act 1964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Poisons Act 1964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6" w:name="DefinedTerms"/>
    <w:bookmarkEnd w:id="10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7" w:name="Coversheet"/>
    <w:bookmarkEnd w:id="1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Poisons Act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Poisons Act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0EE6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DE68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10B0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FE3C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889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9A7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61C3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50C2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6A2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1AB8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8B86F5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7"/>
  </w:num>
  <w:num w:numId="15">
    <w:abstractNumId w:val="21"/>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082841"/>
    <w:docVar w:name="WAFER_20140123145212" w:val="RemoveTocBookmarks,RemoveUnusedBookmarks,RemoveLanguageTags,UsedStyles,ResetPageSize,UpdateArrangement"/>
    <w:docVar w:name="WAFER_20140123145212_GUID" w:val="26a44915-f4d6-46ec-83d6-2dec87a45acf"/>
    <w:docVar w:name="WAFER_20140123152739" w:val="RemoveTocBookmarks,RunningHeaders"/>
    <w:docVar w:name="WAFER_20140123152739_GUID" w:val="e8de6585-dda0-49ea-b21b-7534c36437cd"/>
    <w:docVar w:name="WAFER_20140626164052" w:val="RemoveTocBookmarks,RunningHeaders"/>
    <w:docVar w:name="WAFER_20140626164052_GUID" w:val="495f51f3-94ed-447c-84a0-f8fff7ab5314"/>
    <w:docVar w:name="WAFER_20140704133908" w:val="RemoveTocBookmarks,RunningHeaders"/>
    <w:docVar w:name="WAFER_20140704133908_GUID" w:val="6127b885-f7ee-42ff-9371-afe9797df949"/>
    <w:docVar w:name="WAFER_20140708143934" w:val="RemoveTocBookmarks,RunningHeaders"/>
    <w:docVar w:name="WAFER_20140708143934_GUID" w:val="1f327142-a58b-4f90-a8b6-1fdcf74d84d3"/>
    <w:docVar w:name="WAFER_20150710092414" w:val="ResetPageSize,UpdateArrangement,UpdateNTable"/>
    <w:docVar w:name="WAFER_20150710092414_GUID" w:val="7fe16976-321f-4d9c-9ee4-06e454e0d3d2"/>
    <w:docVar w:name="WAFER_20151109112713" w:val="UpdateStyles,UsedStyles"/>
    <w:docVar w:name="WAFER_20151109112713_GUID" w:val="7a59b6d7-4f36-4f7e-af4b-c52ec4807174"/>
    <w:docVar w:name="WAFER_20160505121425" w:val="RemoveTocBookmarks,RemoveUnusedBookmarks,RemoveLanguageTags,UsedStyles,ResetPageSize"/>
    <w:docVar w:name="WAFER_20160505121425_GUID" w:val="01abc4e6-2947-48f4-b8ea-a2c010b5ef22"/>
    <w:docVar w:name="WAFER_20160505142107" w:val="RemoveTocBookmarks,RemoveUnusedBookmarks,RemoveLanguageTags,UsedStyles,ResetPageSize"/>
    <w:docVar w:name="WAFER_20160505142107_GUID" w:val="bef8eabd-4032-4f7b-a8d2-ccdb003c838e"/>
    <w:docVar w:name="WAFER_20170125082841" w:val="RemoveTocBookmarks,RemoveUnusedBookmarks,RemoveLanguageTags,UsedStyles,ResetPageSize"/>
    <w:docVar w:name="WAFER_20170125082841_GUID" w:val="7cdc3601-487c-47c5-8773-da612ce937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76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20478</Words>
  <Characters>98705</Characters>
  <Application>Microsoft Office Word</Application>
  <DocSecurity>0</DocSecurity>
  <Lines>2820</Lines>
  <Paragraphs>1678</Paragraphs>
  <ScaleCrop>false</ScaleCrop>
  <HeadingPairs>
    <vt:vector size="2" baseType="variant">
      <vt:variant>
        <vt:lpstr>Title</vt:lpstr>
      </vt:variant>
      <vt:variant>
        <vt:i4>1</vt:i4>
      </vt:variant>
    </vt:vector>
  </HeadingPairs>
  <TitlesOfParts>
    <vt:vector size="1" baseType="lpstr">
      <vt:lpstr>Poisons Act 1964</vt:lpstr>
    </vt:vector>
  </TitlesOfParts>
  <Manager/>
  <Company/>
  <LinksUpToDate>false</LinksUpToDate>
  <CharactersWithSpaces>117505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1964 - 09-j0-01</dc:title>
  <dc:subject/>
  <dc:creator/>
  <cp:keywords/>
  <dc:description/>
  <cp:lastModifiedBy>svcMRProcess</cp:lastModifiedBy>
  <cp:revision>4</cp:revision>
  <cp:lastPrinted>2013-04-24T04:39:00Z</cp:lastPrinted>
  <dcterms:created xsi:type="dcterms:W3CDTF">2018-09-06T22:38:00Z</dcterms:created>
  <dcterms:modified xsi:type="dcterms:W3CDTF">2018-09-06T22:38:00Z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DocumentType">
    <vt:lpwstr>Act</vt:lpwstr>
  </property>
  <property fmtid="{D5CDD505-2E9C-101B-9397-08002B2CF9AE}" pid="4" name="OwlsUID">
    <vt:i4>614</vt:i4>
  </property>
  <property fmtid="{D5CDD505-2E9C-101B-9397-08002B2CF9AE}" pid="5" name="ReprintNo">
    <vt:lpwstr>9</vt:lpwstr>
  </property>
  <property fmtid="{D5CDD505-2E9C-101B-9397-08002B2CF9AE}" pid="6" name="ReprintedAsAt">
    <vt:filetime>2011-08-18T16:00:00Z</vt:filetime>
  </property>
  <property fmtid="{D5CDD505-2E9C-101B-9397-08002B2CF9AE}" pid="7" name="AsAtDate">
    <vt:lpwstr>30 Jan 2017</vt:lpwstr>
  </property>
  <property fmtid="{D5CDD505-2E9C-101B-9397-08002B2CF9AE}" pid="8" name="Suffix">
    <vt:lpwstr>09-j0-01</vt:lpwstr>
  </property>
  <property fmtid="{D5CDD505-2E9C-101B-9397-08002B2CF9AE}" pid="9" name="Status">
    <vt:lpwstr>NIF</vt:lpwstr>
  </property>
  <property fmtid="{D5CDD505-2E9C-101B-9397-08002B2CF9AE}" pid="10" name="CommencementDate">
    <vt:lpwstr>20170130</vt:lpwstr>
  </property>
</Properties>
</file>